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98CCA" w14:textId="77777777" w:rsidR="00787F73" w:rsidRDefault="00742FB7" w:rsidP="00866155">
      <w:pPr>
        <w:pStyle w:val="NoSpacing"/>
        <w:spacing w:before="1540" w:after="240" w:line="360" w:lineRule="auto"/>
        <w:jc w:val="center"/>
      </w:pPr>
      <w:bookmarkStart w:id="0" w:name="_Hlk161586476"/>
      <w:bookmarkStart w:id="1" w:name="_Hlk162972531"/>
      <w:bookmarkEnd w:id="0"/>
      <w:r>
        <w:rPr>
          <w:noProof/>
        </w:rPr>
        <w:drawing>
          <wp:inline distT="0" distB="0" distL="0" distR="0" wp14:anchorId="3F3B11D0" wp14:editId="43573ADF">
            <wp:extent cx="3221200" cy="1623848"/>
            <wp:effectExtent l="0" t="0" r="0" b="0"/>
            <wp:docPr id="1" name="Picture 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A blue and white logo&#10;&#10;Description automatically generated"/>
                    <pic:cNvPicPr>
                      <a:picLocks noChangeAspect="1" noChangeArrowheads="1"/>
                    </pic:cNvPicPr>
                  </pic:nvPicPr>
                  <pic:blipFill>
                    <a:blip r:embed="rId8"/>
                    <a:srcRect r="19625"/>
                    <a:stretch>
                      <a:fillRect/>
                    </a:stretch>
                  </pic:blipFill>
                  <pic:spPr bwMode="auto">
                    <a:xfrm>
                      <a:off x="0" y="0"/>
                      <a:ext cx="3232689" cy="1629640"/>
                    </a:xfrm>
                    <a:prstGeom prst="rect">
                      <a:avLst/>
                    </a:prstGeom>
                  </pic:spPr>
                </pic:pic>
              </a:graphicData>
            </a:graphic>
          </wp:inline>
        </w:drawing>
      </w:r>
    </w:p>
    <w:p w14:paraId="132AE4E6" w14:textId="77777777" w:rsidR="00787F73" w:rsidRPr="00E26088" w:rsidRDefault="00EF320B" w:rsidP="0036386C">
      <w:pPr>
        <w:pStyle w:val="NoSpacing"/>
        <w:spacing w:before="1540" w:after="240"/>
        <w:jc w:val="center"/>
        <w:rPr>
          <w:sz w:val="24"/>
          <w:szCs w:val="24"/>
        </w:rPr>
      </w:pPr>
      <w:r w:rsidRPr="00E26088">
        <w:rPr>
          <w:noProof/>
          <w:sz w:val="24"/>
          <w:szCs w:val="24"/>
        </w:rPr>
        <mc:AlternateContent>
          <mc:Choice Requires="wps">
            <w:drawing>
              <wp:anchor distT="0" distB="0" distL="0" distR="0" simplePos="0" relativeHeight="58" behindDoc="0" locked="0" layoutInCell="0" allowOverlap="1" wp14:anchorId="64E11CA7" wp14:editId="1E55E107">
                <wp:simplePos x="0" y="0"/>
                <wp:positionH relativeFrom="margin">
                  <wp:posOffset>54610</wp:posOffset>
                </wp:positionH>
                <wp:positionV relativeFrom="margin">
                  <wp:align>bottom</wp:align>
                </wp:positionV>
                <wp:extent cx="5731510" cy="4478655"/>
                <wp:effectExtent l="0" t="0" r="0"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4478655"/>
                        </a:xfrm>
                        <a:prstGeom prst="rect">
                          <a:avLst/>
                        </a:prstGeom>
                        <a:noFill/>
                        <a:ln w="6480">
                          <a:noFill/>
                        </a:ln>
                      </wps:spPr>
                      <wps:style>
                        <a:lnRef idx="0">
                          <a:scrgbClr r="0" g="0" b="0"/>
                        </a:lnRef>
                        <a:fillRef idx="0">
                          <a:scrgbClr r="0" g="0" b="0"/>
                        </a:fillRef>
                        <a:effectRef idx="0">
                          <a:scrgbClr r="0" g="0" b="0"/>
                        </a:effectRef>
                        <a:fontRef idx="minor"/>
                      </wps:style>
                      <wps:txbx>
                        <w:txbxContent>
                          <w:p w14:paraId="1130EC67" w14:textId="055F3407" w:rsidR="00787F73" w:rsidRDefault="00742FB7">
                            <w:pPr>
                              <w:pStyle w:val="FrameContents"/>
                              <w:spacing w:line="240" w:lineRule="auto"/>
                              <w:jc w:val="center"/>
                            </w:pPr>
                            <w:r>
                              <w:rPr>
                                <w:rFonts w:eastAsia="DengXian" w:cs="Arial"/>
                                <w:color w:val="000000"/>
                                <w:sz w:val="36"/>
                                <w:szCs w:val="36"/>
                                <w:lang w:eastAsia="zh-CN"/>
                              </w:rPr>
                              <w:t>By Alexandra Ricketts</w:t>
                            </w:r>
                          </w:p>
                          <w:p w14:paraId="1CE9D561" w14:textId="77777777" w:rsidR="00787F73" w:rsidRDefault="00787F73">
                            <w:pPr>
                              <w:pStyle w:val="FrameContents"/>
                              <w:spacing w:line="240" w:lineRule="auto"/>
                              <w:jc w:val="center"/>
                            </w:pPr>
                          </w:p>
                          <w:p w14:paraId="51ABB949" w14:textId="77777777" w:rsidR="00787F73" w:rsidRDefault="00787F73">
                            <w:pPr>
                              <w:pStyle w:val="FrameContents"/>
                              <w:spacing w:line="240" w:lineRule="auto"/>
                              <w:jc w:val="center"/>
                            </w:pPr>
                          </w:p>
                          <w:p w14:paraId="43F0178F" w14:textId="77777777" w:rsidR="00787F73" w:rsidRDefault="00787F73">
                            <w:pPr>
                              <w:pStyle w:val="FrameContents"/>
                              <w:spacing w:line="240" w:lineRule="auto"/>
                              <w:jc w:val="center"/>
                            </w:pPr>
                          </w:p>
                          <w:p w14:paraId="6CC4B452" w14:textId="77777777" w:rsidR="00787F73" w:rsidRDefault="00787F73">
                            <w:pPr>
                              <w:pStyle w:val="FrameContents"/>
                              <w:spacing w:line="240" w:lineRule="auto"/>
                              <w:jc w:val="center"/>
                            </w:pPr>
                          </w:p>
                          <w:p w14:paraId="514692CB" w14:textId="77777777" w:rsidR="00787F73" w:rsidRDefault="00742FB7">
                            <w:pPr>
                              <w:pStyle w:val="FrameContents"/>
                              <w:spacing w:line="240" w:lineRule="auto"/>
                              <w:jc w:val="center"/>
                            </w:pPr>
                            <w:r>
                              <w:rPr>
                                <w:rFonts w:eastAsia="DengXian" w:cs="Arial"/>
                                <w:color w:val="000000"/>
                                <w:sz w:val="36"/>
                                <w:szCs w:val="36"/>
                                <w:lang w:eastAsia="zh-CN"/>
                              </w:rPr>
                              <w:t>The University of Sheffield</w:t>
                            </w:r>
                          </w:p>
                          <w:p w14:paraId="1B7A49E5" w14:textId="77777777" w:rsidR="00787F73" w:rsidRDefault="00742FB7">
                            <w:pPr>
                              <w:pStyle w:val="FrameContents"/>
                              <w:spacing w:line="240" w:lineRule="auto"/>
                              <w:jc w:val="center"/>
                            </w:pPr>
                            <w:r>
                              <w:rPr>
                                <w:rFonts w:eastAsia="DengXian" w:cs="Arial"/>
                                <w:color w:val="000000"/>
                                <w:sz w:val="36"/>
                                <w:szCs w:val="36"/>
                                <w:lang w:eastAsia="zh-CN"/>
                              </w:rPr>
                              <w:t>Faculty of Social Sciences</w:t>
                            </w:r>
                          </w:p>
                          <w:p w14:paraId="3D7188FE" w14:textId="77777777" w:rsidR="00787F73" w:rsidRDefault="00742FB7">
                            <w:pPr>
                              <w:pStyle w:val="FrameContents"/>
                              <w:spacing w:line="240" w:lineRule="auto"/>
                              <w:jc w:val="center"/>
                            </w:pPr>
                            <w:r>
                              <w:rPr>
                                <w:rFonts w:eastAsia="DengXian" w:cs="Arial"/>
                                <w:color w:val="000000"/>
                                <w:sz w:val="36"/>
                                <w:szCs w:val="36"/>
                                <w:lang w:eastAsia="zh-CN"/>
                              </w:rPr>
                              <w:t>School of Management</w:t>
                            </w:r>
                          </w:p>
                          <w:p w14:paraId="47A157F5" w14:textId="77777777" w:rsidR="00787F73" w:rsidRDefault="00787F73">
                            <w:pPr>
                              <w:pStyle w:val="FrameContents"/>
                              <w:spacing w:line="240" w:lineRule="auto"/>
                              <w:jc w:val="center"/>
                            </w:pPr>
                          </w:p>
                          <w:p w14:paraId="13B82A1F" w14:textId="77777777" w:rsidR="00787F73" w:rsidRDefault="00787F73">
                            <w:pPr>
                              <w:pStyle w:val="FrameContents"/>
                              <w:spacing w:line="240" w:lineRule="auto"/>
                              <w:jc w:val="center"/>
                            </w:pPr>
                          </w:p>
                          <w:p w14:paraId="1B34B21E" w14:textId="77777777" w:rsidR="00787F73" w:rsidRDefault="00742FB7">
                            <w:pPr>
                              <w:pStyle w:val="FrameContents"/>
                              <w:spacing w:line="240" w:lineRule="auto"/>
                              <w:jc w:val="center"/>
                            </w:pPr>
                            <w:r>
                              <w:rPr>
                                <w:rFonts w:eastAsia="DengXian" w:cs="Arial"/>
                                <w:color w:val="000000"/>
                                <w:sz w:val="36"/>
                                <w:szCs w:val="36"/>
                                <w:lang w:eastAsia="zh-CN"/>
                              </w:rPr>
                              <w:t>Submitted in accordance with the requirements for the degree of Doctor of Philosophy</w:t>
                            </w:r>
                          </w:p>
                          <w:p w14:paraId="4FA1EDFB" w14:textId="77777777" w:rsidR="00787F73" w:rsidRDefault="00787F73">
                            <w:pPr>
                              <w:pStyle w:val="FrameContents"/>
                              <w:spacing w:line="240" w:lineRule="auto"/>
                              <w:jc w:val="center"/>
                            </w:pPr>
                          </w:p>
                          <w:p w14:paraId="1233A229" w14:textId="77777777" w:rsidR="00787F73" w:rsidRDefault="00742FB7">
                            <w:pPr>
                              <w:pStyle w:val="FrameContents"/>
                              <w:spacing w:line="240" w:lineRule="auto"/>
                              <w:jc w:val="center"/>
                            </w:pPr>
                            <w:r>
                              <w:rPr>
                                <w:rFonts w:eastAsia="DengXian" w:cs="Arial"/>
                                <w:color w:val="000000"/>
                                <w:sz w:val="36"/>
                                <w:szCs w:val="36"/>
                                <w:lang w:eastAsia="zh-CN"/>
                              </w:rPr>
                              <w:t>April 2024</w:t>
                            </w:r>
                          </w:p>
                          <w:p w14:paraId="61E0A88E" w14:textId="77777777" w:rsidR="00787F73" w:rsidRDefault="00742FB7">
                            <w:pPr>
                              <w:pStyle w:val="FrameContents"/>
                              <w:spacing w:line="240" w:lineRule="auto"/>
                            </w:pPr>
                            <w:r>
                              <w:rPr>
                                <w:rFonts w:eastAsia="DengXian" w:cs="Arial"/>
                                <w:color w:val="5B9BD5"/>
                                <w:sz w:val="32"/>
                                <w:szCs w:val="32"/>
                                <w:lang w:eastAsia="zh-CN"/>
                              </w:rPr>
                              <w:t xml:space="preserve">     </w:t>
                            </w:r>
                          </w:p>
                        </w:txbxContent>
                      </wps:txbx>
                      <wps:bodyPr lIns="0" tIns="0" rIns="0" bIns="0" anchor="b">
                        <a:noAutofit/>
                      </wps:bodyPr>
                    </wps:wsp>
                  </a:graphicData>
                </a:graphic>
                <wp14:sizeRelH relativeFrom="margin">
                  <wp14:pctWidth>100000</wp14:pctWidth>
                </wp14:sizeRelH>
                <wp14:sizeRelV relativeFrom="page">
                  <wp14:pctHeight>0</wp14:pctHeight>
                </wp14:sizeRelV>
              </wp:anchor>
            </w:drawing>
          </mc:Choice>
          <mc:Fallback>
            <w:pict>
              <v:rect w14:anchorId="64E11CA7" id="Rectangle 86" o:spid="_x0000_s1026" style="position:absolute;left:0;text-align:left;margin-left:4.3pt;margin-top:0;width:451.3pt;height:352.65pt;z-index:58;visibility:visible;mso-wrap-style:square;mso-width-percent:1000;mso-height-percent:0;mso-wrap-distance-left:0;mso-wrap-distance-top:0;mso-wrap-distance-right:0;mso-wrap-distance-bottom:0;mso-position-horizontal:absolute;mso-position-horizontal-relative:margin;mso-position-vertical:bottom;mso-position-vertical-relative:margin;mso-width-percent:100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" o:allowincell="f" filled="f" stroked="f" strokeweight=".18mm">
                <v:textbox inset="0,0,0,0">
                  <w:txbxContent>
                    <w:p w14:paraId="1130EC67" w14:textId="055F3407" w:rsidR="00787F73" w:rsidRDefault="00742FB7">
                      <w:pPr>
                        <w:pStyle w:val="FrameContents"/>
                        <w:spacing w:line="240" w:lineRule="auto"/>
                        <w:jc w:val="center"/>
                      </w:pPr>
                      <w:r>
                        <w:rPr>
                          <w:rFonts w:eastAsia="DengXian" w:cs="Arial"/>
                          <w:color w:val="000000"/>
                          <w:sz w:val="36"/>
                          <w:szCs w:val="36"/>
                          <w:lang w:eastAsia="zh-CN"/>
                        </w:rPr>
                        <w:t>By Alexandra Ricketts</w:t>
                      </w:r>
                    </w:p>
                    <w:p w14:paraId="1CE9D561" w14:textId="77777777" w:rsidR="00787F73" w:rsidRDefault="00787F73">
                      <w:pPr>
                        <w:pStyle w:val="FrameContents"/>
                        <w:spacing w:line="240" w:lineRule="auto"/>
                        <w:jc w:val="center"/>
                      </w:pPr>
                    </w:p>
                    <w:p w14:paraId="51ABB949" w14:textId="77777777" w:rsidR="00787F73" w:rsidRDefault="00787F73">
                      <w:pPr>
                        <w:pStyle w:val="FrameContents"/>
                        <w:spacing w:line="240" w:lineRule="auto"/>
                        <w:jc w:val="center"/>
                      </w:pPr>
                    </w:p>
                    <w:p w14:paraId="43F0178F" w14:textId="77777777" w:rsidR="00787F73" w:rsidRDefault="00787F73">
                      <w:pPr>
                        <w:pStyle w:val="FrameContents"/>
                        <w:spacing w:line="240" w:lineRule="auto"/>
                        <w:jc w:val="center"/>
                      </w:pPr>
                    </w:p>
                    <w:p w14:paraId="6CC4B452" w14:textId="77777777" w:rsidR="00787F73" w:rsidRDefault="00787F73">
                      <w:pPr>
                        <w:pStyle w:val="FrameContents"/>
                        <w:spacing w:line="240" w:lineRule="auto"/>
                        <w:jc w:val="center"/>
                      </w:pPr>
                    </w:p>
                    <w:p w14:paraId="514692CB" w14:textId="77777777" w:rsidR="00787F73" w:rsidRDefault="00742FB7">
                      <w:pPr>
                        <w:pStyle w:val="FrameContents"/>
                        <w:spacing w:line="240" w:lineRule="auto"/>
                        <w:jc w:val="center"/>
                      </w:pPr>
                      <w:r>
                        <w:rPr>
                          <w:rFonts w:eastAsia="DengXian" w:cs="Arial"/>
                          <w:color w:val="000000"/>
                          <w:sz w:val="36"/>
                          <w:szCs w:val="36"/>
                          <w:lang w:eastAsia="zh-CN"/>
                        </w:rPr>
                        <w:t>The University of Sheffield</w:t>
                      </w:r>
                    </w:p>
                    <w:p w14:paraId="1B7A49E5" w14:textId="77777777" w:rsidR="00787F73" w:rsidRDefault="00742FB7">
                      <w:pPr>
                        <w:pStyle w:val="FrameContents"/>
                        <w:spacing w:line="240" w:lineRule="auto"/>
                        <w:jc w:val="center"/>
                      </w:pPr>
                      <w:r>
                        <w:rPr>
                          <w:rFonts w:eastAsia="DengXian" w:cs="Arial"/>
                          <w:color w:val="000000"/>
                          <w:sz w:val="36"/>
                          <w:szCs w:val="36"/>
                          <w:lang w:eastAsia="zh-CN"/>
                        </w:rPr>
                        <w:t>Faculty of Social Sciences</w:t>
                      </w:r>
                    </w:p>
                    <w:p w14:paraId="3D7188FE" w14:textId="77777777" w:rsidR="00787F73" w:rsidRDefault="00742FB7">
                      <w:pPr>
                        <w:pStyle w:val="FrameContents"/>
                        <w:spacing w:line="240" w:lineRule="auto"/>
                        <w:jc w:val="center"/>
                      </w:pPr>
                      <w:r>
                        <w:rPr>
                          <w:rFonts w:eastAsia="DengXian" w:cs="Arial"/>
                          <w:color w:val="000000"/>
                          <w:sz w:val="36"/>
                          <w:szCs w:val="36"/>
                          <w:lang w:eastAsia="zh-CN"/>
                        </w:rPr>
                        <w:t>School of Management</w:t>
                      </w:r>
                    </w:p>
                    <w:p w14:paraId="47A157F5" w14:textId="77777777" w:rsidR="00787F73" w:rsidRDefault="00787F73">
                      <w:pPr>
                        <w:pStyle w:val="FrameContents"/>
                        <w:spacing w:line="240" w:lineRule="auto"/>
                        <w:jc w:val="center"/>
                      </w:pPr>
                    </w:p>
                    <w:p w14:paraId="13B82A1F" w14:textId="77777777" w:rsidR="00787F73" w:rsidRDefault="00787F73">
                      <w:pPr>
                        <w:pStyle w:val="FrameContents"/>
                        <w:spacing w:line="240" w:lineRule="auto"/>
                        <w:jc w:val="center"/>
                      </w:pPr>
                    </w:p>
                    <w:p w14:paraId="1B34B21E" w14:textId="77777777" w:rsidR="00787F73" w:rsidRDefault="00742FB7">
                      <w:pPr>
                        <w:pStyle w:val="FrameContents"/>
                        <w:spacing w:line="240" w:lineRule="auto"/>
                        <w:jc w:val="center"/>
                      </w:pPr>
                      <w:r>
                        <w:rPr>
                          <w:rFonts w:eastAsia="DengXian" w:cs="Arial"/>
                          <w:color w:val="000000"/>
                          <w:sz w:val="36"/>
                          <w:szCs w:val="36"/>
                          <w:lang w:eastAsia="zh-CN"/>
                        </w:rPr>
                        <w:t>Submitted in accordance with the requirements for the degree of Doctor of Philosophy</w:t>
                      </w:r>
                    </w:p>
                    <w:p w14:paraId="4FA1EDFB" w14:textId="77777777" w:rsidR="00787F73" w:rsidRDefault="00787F73">
                      <w:pPr>
                        <w:pStyle w:val="FrameContents"/>
                        <w:spacing w:line="240" w:lineRule="auto"/>
                        <w:jc w:val="center"/>
                      </w:pPr>
                    </w:p>
                    <w:p w14:paraId="1233A229" w14:textId="77777777" w:rsidR="00787F73" w:rsidRDefault="00742FB7">
                      <w:pPr>
                        <w:pStyle w:val="FrameContents"/>
                        <w:spacing w:line="240" w:lineRule="auto"/>
                        <w:jc w:val="center"/>
                      </w:pPr>
                      <w:r>
                        <w:rPr>
                          <w:rFonts w:eastAsia="DengXian" w:cs="Arial"/>
                          <w:color w:val="000000"/>
                          <w:sz w:val="36"/>
                          <w:szCs w:val="36"/>
                          <w:lang w:eastAsia="zh-CN"/>
                        </w:rPr>
                        <w:t>April 2024</w:t>
                      </w:r>
                    </w:p>
                    <w:p w14:paraId="61E0A88E" w14:textId="77777777" w:rsidR="00787F73" w:rsidRDefault="00742FB7">
                      <w:pPr>
                        <w:pStyle w:val="FrameContents"/>
                        <w:spacing w:line="240" w:lineRule="auto"/>
                      </w:pPr>
                      <w:r>
                        <w:rPr>
                          <w:rFonts w:eastAsia="DengXian" w:cs="Arial"/>
                          <w:color w:val="5B9BD5"/>
                          <w:sz w:val="32"/>
                          <w:szCs w:val="32"/>
                          <w:lang w:eastAsia="zh-CN"/>
                        </w:rPr>
                        <w:t xml:space="preserve">     </w:t>
                      </w:r>
                    </w:p>
                  </w:txbxContent>
                </v:textbox>
                <w10:wrap anchorx="margin" anchory="margin"/>
              </v:rect>
            </w:pict>
          </mc:Fallback>
        </mc:AlternateContent>
      </w:r>
      <w:r w:rsidRPr="00E26088">
        <w:rPr>
          <w:rFonts w:cs="Calibri"/>
          <w:b/>
          <w:bCs/>
          <w:sz w:val="44"/>
          <w:szCs w:val="44"/>
        </w:rPr>
        <w:t>An investigation into South Yorkshire Fire and Rescue Service</w:t>
      </w:r>
      <w:r w:rsidR="00A900E1" w:rsidRPr="00E26088">
        <w:rPr>
          <w:rFonts w:cs="Calibri"/>
          <w:b/>
          <w:bCs/>
          <w:sz w:val="44"/>
          <w:szCs w:val="44"/>
        </w:rPr>
        <w:t>’</w:t>
      </w:r>
      <w:r w:rsidRPr="00E26088">
        <w:rPr>
          <w:rFonts w:cs="Calibri"/>
          <w:b/>
          <w:bCs/>
          <w:sz w:val="44"/>
          <w:szCs w:val="44"/>
        </w:rPr>
        <w:t>s use of social media for community disaster resilience</w:t>
      </w:r>
    </w:p>
    <w:p w14:paraId="6F9C08EB" w14:textId="77777777" w:rsidR="00787F73" w:rsidRDefault="00787F73" w:rsidP="00866155">
      <w:pPr>
        <w:rPr>
          <w:rFonts w:cs="Calibri"/>
        </w:rPr>
      </w:pPr>
    </w:p>
    <w:p w14:paraId="500F1682" w14:textId="77777777" w:rsidR="00787F73" w:rsidRDefault="00787F73" w:rsidP="00866155">
      <w:pPr>
        <w:rPr>
          <w:rFonts w:cs="Calibri"/>
        </w:rPr>
      </w:pPr>
    </w:p>
    <w:p w14:paraId="6DDF4BDF" w14:textId="77777777" w:rsidR="00787F73" w:rsidRDefault="00787F73" w:rsidP="00866155">
      <w:pPr>
        <w:rPr>
          <w:rFonts w:cs="Calibri"/>
        </w:rPr>
      </w:pPr>
    </w:p>
    <w:p w14:paraId="2A6E9144" w14:textId="77777777" w:rsidR="00787F73" w:rsidRDefault="00787F73" w:rsidP="00866155">
      <w:pPr>
        <w:rPr>
          <w:rFonts w:cs="Calibri"/>
        </w:rPr>
      </w:pPr>
    </w:p>
    <w:p w14:paraId="6EC79CDD" w14:textId="77777777" w:rsidR="00787F73" w:rsidRDefault="00787F73" w:rsidP="00866155">
      <w:pPr>
        <w:rPr>
          <w:rFonts w:cs="Calibri"/>
        </w:rPr>
      </w:pPr>
    </w:p>
    <w:p w14:paraId="7AD9CF34" w14:textId="77777777" w:rsidR="00787F73" w:rsidRDefault="00742FB7" w:rsidP="00866155">
      <w:pPr>
        <w:rPr>
          <w:rFonts w:cs="Calibri"/>
        </w:rPr>
      </w:pPr>
      <w:r>
        <w:br w:type="page"/>
      </w:r>
    </w:p>
    <w:p w14:paraId="10EF0716" w14:textId="77777777" w:rsidR="00787F73" w:rsidRDefault="00742FB7" w:rsidP="00866155">
      <w:pPr>
        <w:pStyle w:val="TOCHeading"/>
        <w:spacing w:before="0" w:line="360" w:lineRule="auto"/>
        <w:jc w:val="center"/>
      </w:pPr>
      <w:bookmarkStart w:id="2" w:name="_Toc193367160"/>
      <w:r>
        <w:rPr>
          <w:rFonts w:ascii="Calibri" w:hAnsi="Calibri" w:cs="Calibri"/>
        </w:rPr>
        <w:lastRenderedPageBreak/>
        <w:t>Table of Contents</w:t>
      </w:r>
      <w:bookmarkEnd w:id="2"/>
    </w:p>
    <w:sdt>
      <w:sdtPr>
        <w:id w:val="1510484474"/>
        <w:docPartObj>
          <w:docPartGallery w:val="Table of Contents"/>
          <w:docPartUnique/>
        </w:docPartObj>
      </w:sdtPr>
      <w:sdtContent>
        <w:p w14:paraId="6238E3E6" w14:textId="01437931" w:rsidR="00FF1679" w:rsidRDefault="00742FB7">
          <w:pPr>
            <w:pStyle w:val="TOC1"/>
            <w:rPr>
              <w:rFonts w:asciiTheme="minorHAnsi" w:eastAsiaTheme="minorEastAsia" w:hAnsiTheme="minorHAnsi" w:cstheme="minorBidi"/>
              <w:noProof/>
              <w:kern w:val="2"/>
              <w:lang w:eastAsia="zh-CN"/>
              <w14:ligatures w14:val="standardContextual"/>
            </w:rPr>
          </w:pPr>
          <w:r>
            <w:fldChar w:fldCharType="begin"/>
          </w:r>
          <w:r>
            <w:rPr>
              <w:rStyle w:val="IndexLink"/>
              <w:rFonts w:cs="Calibri"/>
            </w:rPr>
            <w:instrText xml:space="preserve"> TOC \o "1-3" \h</w:instrText>
          </w:r>
          <w:r>
            <w:rPr>
              <w:rStyle w:val="IndexLink"/>
              <w:rFonts w:cs="Calibri"/>
            </w:rPr>
            <w:fldChar w:fldCharType="separate"/>
          </w:r>
          <w:hyperlink w:anchor="_Toc193367160" w:history="1">
            <w:r w:rsidR="00FF1679" w:rsidRPr="001D0EB8">
              <w:rPr>
                <w:rStyle w:val="Hyperlink"/>
                <w:rFonts w:cs="Calibri"/>
                <w:noProof/>
              </w:rPr>
              <w:t>Table of Contents</w:t>
            </w:r>
            <w:r w:rsidR="00FF1679">
              <w:rPr>
                <w:noProof/>
              </w:rPr>
              <w:tab/>
            </w:r>
            <w:r w:rsidR="00FF1679">
              <w:rPr>
                <w:noProof/>
              </w:rPr>
              <w:fldChar w:fldCharType="begin"/>
            </w:r>
            <w:r w:rsidR="00FF1679">
              <w:rPr>
                <w:noProof/>
              </w:rPr>
              <w:instrText xml:space="preserve"> PAGEREF _Toc193367160 \h </w:instrText>
            </w:r>
            <w:r w:rsidR="00FF1679">
              <w:rPr>
                <w:noProof/>
              </w:rPr>
            </w:r>
            <w:r w:rsidR="00FF1679">
              <w:rPr>
                <w:noProof/>
              </w:rPr>
              <w:fldChar w:fldCharType="separate"/>
            </w:r>
            <w:r w:rsidR="00132F53">
              <w:rPr>
                <w:noProof/>
              </w:rPr>
              <w:t>2</w:t>
            </w:r>
            <w:r w:rsidR="00FF1679">
              <w:rPr>
                <w:noProof/>
              </w:rPr>
              <w:fldChar w:fldCharType="end"/>
            </w:r>
          </w:hyperlink>
        </w:p>
        <w:p w14:paraId="3B8BD55B" w14:textId="6882A5E3" w:rsidR="00FF1679" w:rsidRDefault="00000000">
          <w:pPr>
            <w:pStyle w:val="TOC1"/>
            <w:rPr>
              <w:rFonts w:asciiTheme="minorHAnsi" w:eastAsiaTheme="minorEastAsia" w:hAnsiTheme="minorHAnsi" w:cstheme="minorBidi"/>
              <w:noProof/>
              <w:kern w:val="2"/>
              <w:lang w:eastAsia="zh-CN"/>
              <w14:ligatures w14:val="standardContextual"/>
            </w:rPr>
          </w:pPr>
          <w:hyperlink w:anchor="_Toc193367161" w:history="1">
            <w:r w:rsidR="00FF1679" w:rsidRPr="001D0EB8">
              <w:rPr>
                <w:rStyle w:val="Hyperlink"/>
                <w:rFonts w:cs="Calibri"/>
                <w:noProof/>
              </w:rPr>
              <w:t>List of Tables</w:t>
            </w:r>
            <w:r w:rsidR="00FF1679">
              <w:rPr>
                <w:noProof/>
              </w:rPr>
              <w:tab/>
            </w:r>
            <w:r w:rsidR="00FF1679">
              <w:rPr>
                <w:noProof/>
              </w:rPr>
              <w:fldChar w:fldCharType="begin"/>
            </w:r>
            <w:r w:rsidR="00FF1679">
              <w:rPr>
                <w:noProof/>
              </w:rPr>
              <w:instrText xml:space="preserve"> PAGEREF _Toc193367161 \h </w:instrText>
            </w:r>
            <w:r w:rsidR="00FF1679">
              <w:rPr>
                <w:noProof/>
              </w:rPr>
            </w:r>
            <w:r w:rsidR="00FF1679">
              <w:rPr>
                <w:noProof/>
              </w:rPr>
              <w:fldChar w:fldCharType="separate"/>
            </w:r>
            <w:r w:rsidR="00132F53">
              <w:rPr>
                <w:noProof/>
              </w:rPr>
              <w:t>7</w:t>
            </w:r>
            <w:r w:rsidR="00FF1679">
              <w:rPr>
                <w:noProof/>
              </w:rPr>
              <w:fldChar w:fldCharType="end"/>
            </w:r>
          </w:hyperlink>
        </w:p>
        <w:p w14:paraId="7E84E5FD" w14:textId="1054B408" w:rsidR="00FF1679" w:rsidRDefault="00000000">
          <w:pPr>
            <w:pStyle w:val="TOC1"/>
            <w:rPr>
              <w:rFonts w:asciiTheme="minorHAnsi" w:eastAsiaTheme="minorEastAsia" w:hAnsiTheme="minorHAnsi" w:cstheme="minorBidi"/>
              <w:noProof/>
              <w:kern w:val="2"/>
              <w:lang w:eastAsia="zh-CN"/>
              <w14:ligatures w14:val="standardContextual"/>
            </w:rPr>
          </w:pPr>
          <w:hyperlink w:anchor="_Toc193367162" w:history="1">
            <w:r w:rsidR="00FF1679" w:rsidRPr="001D0EB8">
              <w:rPr>
                <w:rStyle w:val="Hyperlink"/>
                <w:rFonts w:cs="Calibri"/>
                <w:noProof/>
              </w:rPr>
              <w:t>List of Figures</w:t>
            </w:r>
            <w:r w:rsidR="00FF1679">
              <w:rPr>
                <w:noProof/>
              </w:rPr>
              <w:tab/>
            </w:r>
            <w:r w:rsidR="00FF1679">
              <w:rPr>
                <w:noProof/>
              </w:rPr>
              <w:fldChar w:fldCharType="begin"/>
            </w:r>
            <w:r w:rsidR="00FF1679">
              <w:rPr>
                <w:noProof/>
              </w:rPr>
              <w:instrText xml:space="preserve"> PAGEREF _Toc193367162 \h </w:instrText>
            </w:r>
            <w:r w:rsidR="00FF1679">
              <w:rPr>
                <w:noProof/>
              </w:rPr>
            </w:r>
            <w:r w:rsidR="00FF1679">
              <w:rPr>
                <w:noProof/>
              </w:rPr>
              <w:fldChar w:fldCharType="separate"/>
            </w:r>
            <w:r w:rsidR="00132F53">
              <w:rPr>
                <w:noProof/>
              </w:rPr>
              <w:t>7</w:t>
            </w:r>
            <w:r w:rsidR="00FF1679">
              <w:rPr>
                <w:noProof/>
              </w:rPr>
              <w:fldChar w:fldCharType="end"/>
            </w:r>
          </w:hyperlink>
        </w:p>
        <w:p w14:paraId="4B780442" w14:textId="2A20FBB4" w:rsidR="00FF1679" w:rsidRDefault="00000000">
          <w:pPr>
            <w:pStyle w:val="TOC1"/>
            <w:rPr>
              <w:rFonts w:asciiTheme="minorHAnsi" w:eastAsiaTheme="minorEastAsia" w:hAnsiTheme="minorHAnsi" w:cstheme="minorBidi"/>
              <w:noProof/>
              <w:kern w:val="2"/>
              <w:lang w:eastAsia="zh-CN"/>
              <w14:ligatures w14:val="standardContextual"/>
            </w:rPr>
          </w:pPr>
          <w:hyperlink w:anchor="_Toc193367163" w:history="1">
            <w:r w:rsidR="00FF1679" w:rsidRPr="001D0EB8">
              <w:rPr>
                <w:rStyle w:val="Hyperlink"/>
                <w:rFonts w:cs="Calibri"/>
                <w:noProof/>
              </w:rPr>
              <w:t>List of Abbreviations</w:t>
            </w:r>
            <w:r w:rsidR="00FF1679">
              <w:rPr>
                <w:noProof/>
              </w:rPr>
              <w:tab/>
            </w:r>
            <w:r w:rsidR="00FF1679">
              <w:rPr>
                <w:noProof/>
              </w:rPr>
              <w:fldChar w:fldCharType="begin"/>
            </w:r>
            <w:r w:rsidR="00FF1679">
              <w:rPr>
                <w:noProof/>
              </w:rPr>
              <w:instrText xml:space="preserve"> PAGEREF _Toc193367163 \h </w:instrText>
            </w:r>
            <w:r w:rsidR="00FF1679">
              <w:rPr>
                <w:noProof/>
              </w:rPr>
            </w:r>
            <w:r w:rsidR="00FF1679">
              <w:rPr>
                <w:noProof/>
              </w:rPr>
              <w:fldChar w:fldCharType="separate"/>
            </w:r>
            <w:r w:rsidR="00132F53">
              <w:rPr>
                <w:noProof/>
              </w:rPr>
              <w:t>9</w:t>
            </w:r>
            <w:r w:rsidR="00FF1679">
              <w:rPr>
                <w:noProof/>
              </w:rPr>
              <w:fldChar w:fldCharType="end"/>
            </w:r>
          </w:hyperlink>
        </w:p>
        <w:p w14:paraId="564840CD" w14:textId="0F001D90" w:rsidR="00FF1679" w:rsidRDefault="00000000">
          <w:pPr>
            <w:pStyle w:val="TOC1"/>
            <w:rPr>
              <w:rFonts w:asciiTheme="minorHAnsi" w:eastAsiaTheme="minorEastAsia" w:hAnsiTheme="minorHAnsi" w:cstheme="minorBidi"/>
              <w:noProof/>
              <w:kern w:val="2"/>
              <w:lang w:eastAsia="zh-CN"/>
              <w14:ligatures w14:val="standardContextual"/>
            </w:rPr>
          </w:pPr>
          <w:hyperlink w:anchor="_Toc193367164" w:history="1">
            <w:r w:rsidR="00FF1679" w:rsidRPr="001D0EB8">
              <w:rPr>
                <w:rStyle w:val="Hyperlink"/>
                <w:rFonts w:cs="Calibri"/>
                <w:noProof/>
              </w:rPr>
              <w:t>Abstract</w:t>
            </w:r>
            <w:r w:rsidR="00FF1679">
              <w:rPr>
                <w:noProof/>
              </w:rPr>
              <w:tab/>
            </w:r>
            <w:r w:rsidR="00FF1679">
              <w:rPr>
                <w:noProof/>
              </w:rPr>
              <w:fldChar w:fldCharType="begin"/>
            </w:r>
            <w:r w:rsidR="00FF1679">
              <w:rPr>
                <w:noProof/>
              </w:rPr>
              <w:instrText xml:space="preserve"> PAGEREF _Toc193367164 \h </w:instrText>
            </w:r>
            <w:r w:rsidR="00FF1679">
              <w:rPr>
                <w:noProof/>
              </w:rPr>
            </w:r>
            <w:r w:rsidR="00FF1679">
              <w:rPr>
                <w:noProof/>
              </w:rPr>
              <w:fldChar w:fldCharType="separate"/>
            </w:r>
            <w:r w:rsidR="00132F53">
              <w:rPr>
                <w:noProof/>
              </w:rPr>
              <w:t>10</w:t>
            </w:r>
            <w:r w:rsidR="00FF1679">
              <w:rPr>
                <w:noProof/>
              </w:rPr>
              <w:fldChar w:fldCharType="end"/>
            </w:r>
          </w:hyperlink>
        </w:p>
        <w:p w14:paraId="2CEAD6BC" w14:textId="0FC7C31B" w:rsidR="00FF1679" w:rsidRDefault="00000000">
          <w:pPr>
            <w:pStyle w:val="TOC1"/>
            <w:rPr>
              <w:rFonts w:asciiTheme="minorHAnsi" w:eastAsiaTheme="minorEastAsia" w:hAnsiTheme="minorHAnsi" w:cstheme="minorBidi"/>
              <w:noProof/>
              <w:kern w:val="2"/>
              <w:lang w:eastAsia="zh-CN"/>
              <w14:ligatures w14:val="standardContextual"/>
            </w:rPr>
          </w:pPr>
          <w:hyperlink w:anchor="_Toc193367165" w:history="1">
            <w:r w:rsidR="00FF1679" w:rsidRPr="001D0EB8">
              <w:rPr>
                <w:rStyle w:val="Hyperlink"/>
                <w:rFonts w:cs="Calibri"/>
                <w:noProof/>
              </w:rPr>
              <w:t>Acknowledgements</w:t>
            </w:r>
            <w:r w:rsidR="00FF1679">
              <w:rPr>
                <w:noProof/>
              </w:rPr>
              <w:tab/>
            </w:r>
            <w:r w:rsidR="00FF1679">
              <w:rPr>
                <w:noProof/>
              </w:rPr>
              <w:fldChar w:fldCharType="begin"/>
            </w:r>
            <w:r w:rsidR="00FF1679">
              <w:rPr>
                <w:noProof/>
              </w:rPr>
              <w:instrText xml:space="preserve"> PAGEREF _Toc193367165 \h </w:instrText>
            </w:r>
            <w:r w:rsidR="00FF1679">
              <w:rPr>
                <w:noProof/>
              </w:rPr>
            </w:r>
            <w:r w:rsidR="00FF1679">
              <w:rPr>
                <w:noProof/>
              </w:rPr>
              <w:fldChar w:fldCharType="separate"/>
            </w:r>
            <w:r w:rsidR="00132F53">
              <w:rPr>
                <w:noProof/>
              </w:rPr>
              <w:t>11</w:t>
            </w:r>
            <w:r w:rsidR="00FF1679">
              <w:rPr>
                <w:noProof/>
              </w:rPr>
              <w:fldChar w:fldCharType="end"/>
            </w:r>
          </w:hyperlink>
        </w:p>
        <w:p w14:paraId="483CB11B" w14:textId="490E37EA" w:rsidR="00FF1679" w:rsidRDefault="00000000">
          <w:pPr>
            <w:pStyle w:val="TOC1"/>
            <w:rPr>
              <w:rFonts w:asciiTheme="minorHAnsi" w:eastAsiaTheme="minorEastAsia" w:hAnsiTheme="minorHAnsi" w:cstheme="minorBidi"/>
              <w:noProof/>
              <w:kern w:val="2"/>
              <w:lang w:eastAsia="zh-CN"/>
              <w14:ligatures w14:val="standardContextual"/>
            </w:rPr>
          </w:pPr>
          <w:hyperlink w:anchor="_Toc193367166" w:history="1">
            <w:r w:rsidR="00FF1679" w:rsidRPr="001D0EB8">
              <w:rPr>
                <w:rStyle w:val="Hyperlink"/>
                <w:rFonts w:cs="Calibri"/>
                <w:noProof/>
              </w:rPr>
              <w:t>Chapter 1: Introduction</w:t>
            </w:r>
            <w:r w:rsidR="00FF1679">
              <w:rPr>
                <w:noProof/>
              </w:rPr>
              <w:tab/>
            </w:r>
            <w:r w:rsidR="00FF1679">
              <w:rPr>
                <w:noProof/>
              </w:rPr>
              <w:fldChar w:fldCharType="begin"/>
            </w:r>
            <w:r w:rsidR="00FF1679">
              <w:rPr>
                <w:noProof/>
              </w:rPr>
              <w:instrText xml:space="preserve"> PAGEREF _Toc193367166 \h </w:instrText>
            </w:r>
            <w:r w:rsidR="00FF1679">
              <w:rPr>
                <w:noProof/>
              </w:rPr>
            </w:r>
            <w:r w:rsidR="00FF1679">
              <w:rPr>
                <w:noProof/>
              </w:rPr>
              <w:fldChar w:fldCharType="separate"/>
            </w:r>
            <w:r w:rsidR="00132F53">
              <w:rPr>
                <w:noProof/>
              </w:rPr>
              <w:t>12</w:t>
            </w:r>
            <w:r w:rsidR="00FF1679">
              <w:rPr>
                <w:noProof/>
              </w:rPr>
              <w:fldChar w:fldCharType="end"/>
            </w:r>
          </w:hyperlink>
        </w:p>
        <w:p w14:paraId="5B63253C" w14:textId="7CC1FFBE"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167" w:history="1">
            <w:r w:rsidR="00FF1679" w:rsidRPr="001D0EB8">
              <w:rPr>
                <w:rStyle w:val="Hyperlink"/>
                <w:rFonts w:cs="Calibri"/>
                <w:noProof/>
              </w:rPr>
              <w:t>1.1: Introduction</w:t>
            </w:r>
            <w:r w:rsidR="00FF1679">
              <w:rPr>
                <w:noProof/>
              </w:rPr>
              <w:tab/>
            </w:r>
            <w:r w:rsidR="00FF1679">
              <w:rPr>
                <w:noProof/>
              </w:rPr>
              <w:fldChar w:fldCharType="begin"/>
            </w:r>
            <w:r w:rsidR="00FF1679">
              <w:rPr>
                <w:noProof/>
              </w:rPr>
              <w:instrText xml:space="preserve"> PAGEREF _Toc193367167 \h </w:instrText>
            </w:r>
            <w:r w:rsidR="00FF1679">
              <w:rPr>
                <w:noProof/>
              </w:rPr>
            </w:r>
            <w:r w:rsidR="00FF1679">
              <w:rPr>
                <w:noProof/>
              </w:rPr>
              <w:fldChar w:fldCharType="separate"/>
            </w:r>
            <w:r w:rsidR="00132F53">
              <w:rPr>
                <w:noProof/>
              </w:rPr>
              <w:t>12</w:t>
            </w:r>
            <w:r w:rsidR="00FF1679">
              <w:rPr>
                <w:noProof/>
              </w:rPr>
              <w:fldChar w:fldCharType="end"/>
            </w:r>
          </w:hyperlink>
        </w:p>
        <w:p w14:paraId="05985321" w14:textId="0D100D15"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168" w:history="1">
            <w:r w:rsidR="00FF1679" w:rsidRPr="001D0EB8">
              <w:rPr>
                <w:rStyle w:val="Hyperlink"/>
                <w:rFonts w:cs="Calibri"/>
                <w:noProof/>
              </w:rPr>
              <w:t>1.2: Collaborative PhD</w:t>
            </w:r>
            <w:r w:rsidR="00FF1679">
              <w:rPr>
                <w:noProof/>
              </w:rPr>
              <w:tab/>
            </w:r>
            <w:r w:rsidR="00FF1679">
              <w:rPr>
                <w:noProof/>
              </w:rPr>
              <w:fldChar w:fldCharType="begin"/>
            </w:r>
            <w:r w:rsidR="00FF1679">
              <w:rPr>
                <w:noProof/>
              </w:rPr>
              <w:instrText xml:space="preserve"> PAGEREF _Toc193367168 \h </w:instrText>
            </w:r>
            <w:r w:rsidR="00FF1679">
              <w:rPr>
                <w:noProof/>
              </w:rPr>
            </w:r>
            <w:r w:rsidR="00FF1679">
              <w:rPr>
                <w:noProof/>
              </w:rPr>
              <w:fldChar w:fldCharType="separate"/>
            </w:r>
            <w:r w:rsidR="00132F53">
              <w:rPr>
                <w:noProof/>
              </w:rPr>
              <w:t>12</w:t>
            </w:r>
            <w:r w:rsidR="00FF1679">
              <w:rPr>
                <w:noProof/>
              </w:rPr>
              <w:fldChar w:fldCharType="end"/>
            </w:r>
          </w:hyperlink>
        </w:p>
        <w:p w14:paraId="3FB9D4C8" w14:textId="19FF332E"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169" w:history="1">
            <w:r w:rsidR="00FF1679" w:rsidRPr="001D0EB8">
              <w:rPr>
                <w:rStyle w:val="Hyperlink"/>
                <w:rFonts w:cs="Calibri"/>
                <w:noProof/>
              </w:rPr>
              <w:t>1.3: The study context: Fire and Rescue Service</w:t>
            </w:r>
            <w:r w:rsidR="00FF1679">
              <w:rPr>
                <w:noProof/>
              </w:rPr>
              <w:tab/>
            </w:r>
            <w:r w:rsidR="00FF1679">
              <w:rPr>
                <w:noProof/>
              </w:rPr>
              <w:fldChar w:fldCharType="begin"/>
            </w:r>
            <w:r w:rsidR="00FF1679">
              <w:rPr>
                <w:noProof/>
              </w:rPr>
              <w:instrText xml:space="preserve"> PAGEREF _Toc193367169 \h </w:instrText>
            </w:r>
            <w:r w:rsidR="00FF1679">
              <w:rPr>
                <w:noProof/>
              </w:rPr>
            </w:r>
            <w:r w:rsidR="00FF1679">
              <w:rPr>
                <w:noProof/>
              </w:rPr>
              <w:fldChar w:fldCharType="separate"/>
            </w:r>
            <w:r w:rsidR="00132F53">
              <w:rPr>
                <w:noProof/>
              </w:rPr>
              <w:t>14</w:t>
            </w:r>
            <w:r w:rsidR="00FF1679">
              <w:rPr>
                <w:noProof/>
              </w:rPr>
              <w:fldChar w:fldCharType="end"/>
            </w:r>
          </w:hyperlink>
        </w:p>
        <w:p w14:paraId="5724D48C" w14:textId="397D5DF6"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170" w:history="1">
            <w:r w:rsidR="00FF1679" w:rsidRPr="001D0EB8">
              <w:rPr>
                <w:rStyle w:val="Hyperlink"/>
                <w:rFonts w:cs="Calibri"/>
                <w:noProof/>
              </w:rPr>
              <w:t>1.4: The project partner: SYFR</w:t>
            </w:r>
            <w:r w:rsidR="00FF1679">
              <w:rPr>
                <w:noProof/>
              </w:rPr>
              <w:tab/>
            </w:r>
            <w:r w:rsidR="00FF1679">
              <w:rPr>
                <w:noProof/>
              </w:rPr>
              <w:fldChar w:fldCharType="begin"/>
            </w:r>
            <w:r w:rsidR="00FF1679">
              <w:rPr>
                <w:noProof/>
              </w:rPr>
              <w:instrText xml:space="preserve"> PAGEREF _Toc193367170 \h </w:instrText>
            </w:r>
            <w:r w:rsidR="00FF1679">
              <w:rPr>
                <w:noProof/>
              </w:rPr>
            </w:r>
            <w:r w:rsidR="00FF1679">
              <w:rPr>
                <w:noProof/>
              </w:rPr>
              <w:fldChar w:fldCharType="separate"/>
            </w:r>
            <w:r w:rsidR="00132F53">
              <w:rPr>
                <w:noProof/>
              </w:rPr>
              <w:t>14</w:t>
            </w:r>
            <w:r w:rsidR="00FF1679">
              <w:rPr>
                <w:noProof/>
              </w:rPr>
              <w:fldChar w:fldCharType="end"/>
            </w:r>
          </w:hyperlink>
        </w:p>
        <w:p w14:paraId="3AFADB2C" w14:textId="72ACF42E"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171" w:history="1">
            <w:r w:rsidR="00FF1679" w:rsidRPr="001D0EB8">
              <w:rPr>
                <w:rStyle w:val="Hyperlink"/>
                <w:rFonts w:cs="Calibri"/>
                <w:noProof/>
              </w:rPr>
              <w:t>1.5: Rationale for the research</w:t>
            </w:r>
            <w:r w:rsidR="00FF1679">
              <w:rPr>
                <w:noProof/>
              </w:rPr>
              <w:tab/>
            </w:r>
            <w:r w:rsidR="00FF1679">
              <w:rPr>
                <w:noProof/>
              </w:rPr>
              <w:fldChar w:fldCharType="begin"/>
            </w:r>
            <w:r w:rsidR="00FF1679">
              <w:rPr>
                <w:noProof/>
              </w:rPr>
              <w:instrText xml:space="preserve"> PAGEREF _Toc193367171 \h </w:instrText>
            </w:r>
            <w:r w:rsidR="00FF1679">
              <w:rPr>
                <w:noProof/>
              </w:rPr>
            </w:r>
            <w:r w:rsidR="00FF1679">
              <w:rPr>
                <w:noProof/>
              </w:rPr>
              <w:fldChar w:fldCharType="separate"/>
            </w:r>
            <w:r w:rsidR="00132F53">
              <w:rPr>
                <w:noProof/>
              </w:rPr>
              <w:t>17</w:t>
            </w:r>
            <w:r w:rsidR="00FF1679">
              <w:rPr>
                <w:noProof/>
              </w:rPr>
              <w:fldChar w:fldCharType="end"/>
            </w:r>
          </w:hyperlink>
        </w:p>
        <w:p w14:paraId="44B6F86E" w14:textId="29B5DBD4"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72" w:history="1">
            <w:r w:rsidR="00FF1679" w:rsidRPr="001D0EB8">
              <w:rPr>
                <w:rStyle w:val="Hyperlink"/>
                <w:rFonts w:cs="Calibri"/>
                <w:noProof/>
              </w:rPr>
              <w:t>1.5.1: The need for developing community resilience.</w:t>
            </w:r>
            <w:r w:rsidR="00FF1679">
              <w:rPr>
                <w:noProof/>
              </w:rPr>
              <w:tab/>
            </w:r>
            <w:r w:rsidR="00FF1679">
              <w:rPr>
                <w:noProof/>
              </w:rPr>
              <w:fldChar w:fldCharType="begin"/>
            </w:r>
            <w:r w:rsidR="00FF1679">
              <w:rPr>
                <w:noProof/>
              </w:rPr>
              <w:instrText xml:space="preserve"> PAGEREF _Toc193367172 \h </w:instrText>
            </w:r>
            <w:r w:rsidR="00FF1679">
              <w:rPr>
                <w:noProof/>
              </w:rPr>
            </w:r>
            <w:r w:rsidR="00FF1679">
              <w:rPr>
                <w:noProof/>
              </w:rPr>
              <w:fldChar w:fldCharType="separate"/>
            </w:r>
            <w:r w:rsidR="00132F53">
              <w:rPr>
                <w:noProof/>
              </w:rPr>
              <w:t>17</w:t>
            </w:r>
            <w:r w:rsidR="00FF1679">
              <w:rPr>
                <w:noProof/>
              </w:rPr>
              <w:fldChar w:fldCharType="end"/>
            </w:r>
          </w:hyperlink>
        </w:p>
        <w:p w14:paraId="3A657ECF" w14:textId="7D94A72A"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73" w:history="1">
            <w:r w:rsidR="00FF1679" w:rsidRPr="001D0EB8">
              <w:rPr>
                <w:rStyle w:val="Hyperlink"/>
                <w:rFonts w:cs="Calibri"/>
                <w:noProof/>
              </w:rPr>
              <w:t>1.5.2: The use of social media and focus on metrics.</w:t>
            </w:r>
            <w:r w:rsidR="00FF1679">
              <w:rPr>
                <w:noProof/>
              </w:rPr>
              <w:tab/>
            </w:r>
            <w:r w:rsidR="00FF1679">
              <w:rPr>
                <w:noProof/>
              </w:rPr>
              <w:fldChar w:fldCharType="begin"/>
            </w:r>
            <w:r w:rsidR="00FF1679">
              <w:rPr>
                <w:noProof/>
              </w:rPr>
              <w:instrText xml:space="preserve"> PAGEREF _Toc193367173 \h </w:instrText>
            </w:r>
            <w:r w:rsidR="00FF1679">
              <w:rPr>
                <w:noProof/>
              </w:rPr>
            </w:r>
            <w:r w:rsidR="00FF1679">
              <w:rPr>
                <w:noProof/>
              </w:rPr>
              <w:fldChar w:fldCharType="separate"/>
            </w:r>
            <w:r w:rsidR="00132F53">
              <w:rPr>
                <w:noProof/>
              </w:rPr>
              <w:t>20</w:t>
            </w:r>
            <w:r w:rsidR="00FF1679">
              <w:rPr>
                <w:noProof/>
              </w:rPr>
              <w:fldChar w:fldCharType="end"/>
            </w:r>
          </w:hyperlink>
        </w:p>
        <w:p w14:paraId="62BEA5C9" w14:textId="3E4535A2"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174" w:history="1">
            <w:r w:rsidR="00FF1679" w:rsidRPr="001D0EB8">
              <w:rPr>
                <w:rStyle w:val="Hyperlink"/>
                <w:rFonts w:cs="Calibri"/>
                <w:noProof/>
              </w:rPr>
              <w:t>1.6: Theoretical framing</w:t>
            </w:r>
            <w:r w:rsidR="00FF1679">
              <w:rPr>
                <w:noProof/>
              </w:rPr>
              <w:tab/>
            </w:r>
            <w:r w:rsidR="00FF1679">
              <w:rPr>
                <w:noProof/>
              </w:rPr>
              <w:fldChar w:fldCharType="begin"/>
            </w:r>
            <w:r w:rsidR="00FF1679">
              <w:rPr>
                <w:noProof/>
              </w:rPr>
              <w:instrText xml:space="preserve"> PAGEREF _Toc193367174 \h </w:instrText>
            </w:r>
            <w:r w:rsidR="00FF1679">
              <w:rPr>
                <w:noProof/>
              </w:rPr>
            </w:r>
            <w:r w:rsidR="00FF1679">
              <w:rPr>
                <w:noProof/>
              </w:rPr>
              <w:fldChar w:fldCharType="separate"/>
            </w:r>
            <w:r w:rsidR="00132F53">
              <w:rPr>
                <w:noProof/>
              </w:rPr>
              <w:t>22</w:t>
            </w:r>
            <w:r w:rsidR="00FF1679">
              <w:rPr>
                <w:noProof/>
              </w:rPr>
              <w:fldChar w:fldCharType="end"/>
            </w:r>
          </w:hyperlink>
        </w:p>
        <w:p w14:paraId="46EB0103" w14:textId="0387E1B5"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175" w:history="1">
            <w:r w:rsidR="00FF1679" w:rsidRPr="001D0EB8">
              <w:rPr>
                <w:rStyle w:val="Hyperlink"/>
                <w:rFonts w:cs="Calibri"/>
                <w:noProof/>
              </w:rPr>
              <w:t>1.7: Research aim and questions</w:t>
            </w:r>
            <w:r w:rsidR="00FF1679">
              <w:rPr>
                <w:noProof/>
              </w:rPr>
              <w:tab/>
            </w:r>
            <w:r w:rsidR="00FF1679">
              <w:rPr>
                <w:noProof/>
              </w:rPr>
              <w:fldChar w:fldCharType="begin"/>
            </w:r>
            <w:r w:rsidR="00FF1679">
              <w:rPr>
                <w:noProof/>
              </w:rPr>
              <w:instrText xml:space="preserve"> PAGEREF _Toc193367175 \h </w:instrText>
            </w:r>
            <w:r w:rsidR="00FF1679">
              <w:rPr>
                <w:noProof/>
              </w:rPr>
            </w:r>
            <w:r w:rsidR="00FF1679">
              <w:rPr>
                <w:noProof/>
              </w:rPr>
              <w:fldChar w:fldCharType="separate"/>
            </w:r>
            <w:r w:rsidR="00132F53">
              <w:rPr>
                <w:noProof/>
              </w:rPr>
              <w:t>23</w:t>
            </w:r>
            <w:r w:rsidR="00FF1679">
              <w:rPr>
                <w:noProof/>
              </w:rPr>
              <w:fldChar w:fldCharType="end"/>
            </w:r>
          </w:hyperlink>
        </w:p>
        <w:p w14:paraId="4092A6A2" w14:textId="579228A4"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176" w:history="1">
            <w:r w:rsidR="00FF1679" w:rsidRPr="001D0EB8">
              <w:rPr>
                <w:rStyle w:val="Hyperlink"/>
                <w:rFonts w:cs="Calibri"/>
                <w:noProof/>
                <w:lang w:eastAsia="ko-KR"/>
              </w:rPr>
              <w:t>1.8: Thesis methodology</w:t>
            </w:r>
            <w:r w:rsidR="00FF1679">
              <w:rPr>
                <w:noProof/>
              </w:rPr>
              <w:tab/>
            </w:r>
            <w:r w:rsidR="00FF1679">
              <w:rPr>
                <w:noProof/>
              </w:rPr>
              <w:fldChar w:fldCharType="begin"/>
            </w:r>
            <w:r w:rsidR="00FF1679">
              <w:rPr>
                <w:noProof/>
              </w:rPr>
              <w:instrText xml:space="preserve"> PAGEREF _Toc193367176 \h </w:instrText>
            </w:r>
            <w:r w:rsidR="00FF1679">
              <w:rPr>
                <w:noProof/>
              </w:rPr>
            </w:r>
            <w:r w:rsidR="00FF1679">
              <w:rPr>
                <w:noProof/>
              </w:rPr>
              <w:fldChar w:fldCharType="separate"/>
            </w:r>
            <w:r w:rsidR="00132F53">
              <w:rPr>
                <w:noProof/>
              </w:rPr>
              <w:t>23</w:t>
            </w:r>
            <w:r w:rsidR="00FF1679">
              <w:rPr>
                <w:noProof/>
              </w:rPr>
              <w:fldChar w:fldCharType="end"/>
            </w:r>
          </w:hyperlink>
        </w:p>
        <w:p w14:paraId="550F66D2" w14:textId="08845C21"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177" w:history="1">
            <w:r w:rsidR="00FF1679" w:rsidRPr="001D0EB8">
              <w:rPr>
                <w:rStyle w:val="Hyperlink"/>
                <w:rFonts w:cs="Calibri"/>
                <w:noProof/>
                <w:lang w:eastAsia="ko-KR"/>
              </w:rPr>
              <w:t>1.9: Research contributions</w:t>
            </w:r>
            <w:r w:rsidR="00FF1679">
              <w:rPr>
                <w:noProof/>
              </w:rPr>
              <w:tab/>
            </w:r>
            <w:r w:rsidR="00FF1679">
              <w:rPr>
                <w:noProof/>
              </w:rPr>
              <w:fldChar w:fldCharType="begin"/>
            </w:r>
            <w:r w:rsidR="00FF1679">
              <w:rPr>
                <w:noProof/>
              </w:rPr>
              <w:instrText xml:space="preserve"> PAGEREF _Toc193367177 \h </w:instrText>
            </w:r>
            <w:r w:rsidR="00FF1679">
              <w:rPr>
                <w:noProof/>
              </w:rPr>
            </w:r>
            <w:r w:rsidR="00FF1679">
              <w:rPr>
                <w:noProof/>
              </w:rPr>
              <w:fldChar w:fldCharType="separate"/>
            </w:r>
            <w:r w:rsidR="00132F53">
              <w:rPr>
                <w:noProof/>
              </w:rPr>
              <w:t>24</w:t>
            </w:r>
            <w:r w:rsidR="00FF1679">
              <w:rPr>
                <w:noProof/>
              </w:rPr>
              <w:fldChar w:fldCharType="end"/>
            </w:r>
          </w:hyperlink>
        </w:p>
        <w:p w14:paraId="4AE87B8D" w14:textId="1C4243DE"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178" w:history="1">
            <w:r w:rsidR="00FF1679" w:rsidRPr="001D0EB8">
              <w:rPr>
                <w:rStyle w:val="Hyperlink"/>
                <w:rFonts w:cs="Calibri"/>
                <w:noProof/>
              </w:rPr>
              <w:t>1.10: Thesis structure</w:t>
            </w:r>
            <w:r w:rsidR="00FF1679">
              <w:rPr>
                <w:noProof/>
              </w:rPr>
              <w:tab/>
            </w:r>
            <w:r w:rsidR="00FF1679">
              <w:rPr>
                <w:noProof/>
              </w:rPr>
              <w:fldChar w:fldCharType="begin"/>
            </w:r>
            <w:r w:rsidR="00FF1679">
              <w:rPr>
                <w:noProof/>
              </w:rPr>
              <w:instrText xml:space="preserve"> PAGEREF _Toc193367178 \h </w:instrText>
            </w:r>
            <w:r w:rsidR="00FF1679">
              <w:rPr>
                <w:noProof/>
              </w:rPr>
            </w:r>
            <w:r w:rsidR="00FF1679">
              <w:rPr>
                <w:noProof/>
              </w:rPr>
              <w:fldChar w:fldCharType="separate"/>
            </w:r>
            <w:r w:rsidR="00132F53">
              <w:rPr>
                <w:noProof/>
              </w:rPr>
              <w:t>26</w:t>
            </w:r>
            <w:r w:rsidR="00FF1679">
              <w:rPr>
                <w:noProof/>
              </w:rPr>
              <w:fldChar w:fldCharType="end"/>
            </w:r>
          </w:hyperlink>
        </w:p>
        <w:p w14:paraId="53D8B453" w14:textId="69E96411"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179" w:history="1">
            <w:r w:rsidR="00FF1679" w:rsidRPr="001D0EB8">
              <w:rPr>
                <w:rStyle w:val="Hyperlink"/>
                <w:rFonts w:cs="Calibri"/>
                <w:noProof/>
              </w:rPr>
              <w:t>1.11: Chapter summary</w:t>
            </w:r>
            <w:r w:rsidR="00FF1679">
              <w:rPr>
                <w:noProof/>
              </w:rPr>
              <w:tab/>
            </w:r>
            <w:r w:rsidR="00FF1679">
              <w:rPr>
                <w:noProof/>
              </w:rPr>
              <w:fldChar w:fldCharType="begin"/>
            </w:r>
            <w:r w:rsidR="00FF1679">
              <w:rPr>
                <w:noProof/>
              </w:rPr>
              <w:instrText xml:space="preserve"> PAGEREF _Toc193367179 \h </w:instrText>
            </w:r>
            <w:r w:rsidR="00FF1679">
              <w:rPr>
                <w:noProof/>
              </w:rPr>
            </w:r>
            <w:r w:rsidR="00FF1679">
              <w:rPr>
                <w:noProof/>
              </w:rPr>
              <w:fldChar w:fldCharType="separate"/>
            </w:r>
            <w:r w:rsidR="00132F53">
              <w:rPr>
                <w:noProof/>
              </w:rPr>
              <w:t>28</w:t>
            </w:r>
            <w:r w:rsidR="00FF1679">
              <w:rPr>
                <w:noProof/>
              </w:rPr>
              <w:fldChar w:fldCharType="end"/>
            </w:r>
          </w:hyperlink>
        </w:p>
        <w:p w14:paraId="3B8AC7C4" w14:textId="4D4CEC92" w:rsidR="00FF1679" w:rsidRDefault="00000000">
          <w:pPr>
            <w:pStyle w:val="TOC1"/>
            <w:rPr>
              <w:rFonts w:asciiTheme="minorHAnsi" w:eastAsiaTheme="minorEastAsia" w:hAnsiTheme="minorHAnsi" w:cstheme="minorBidi"/>
              <w:noProof/>
              <w:kern w:val="2"/>
              <w:lang w:eastAsia="zh-CN"/>
              <w14:ligatures w14:val="standardContextual"/>
            </w:rPr>
          </w:pPr>
          <w:hyperlink w:anchor="_Toc193367180" w:history="1">
            <w:r w:rsidR="00FF1679" w:rsidRPr="001D0EB8">
              <w:rPr>
                <w:rStyle w:val="Hyperlink"/>
                <w:rFonts w:cs="Calibri"/>
                <w:noProof/>
              </w:rPr>
              <w:t>Chapter 2: Literature Review</w:t>
            </w:r>
            <w:r w:rsidR="00FF1679">
              <w:rPr>
                <w:noProof/>
              </w:rPr>
              <w:tab/>
            </w:r>
            <w:r w:rsidR="00FF1679">
              <w:rPr>
                <w:noProof/>
              </w:rPr>
              <w:fldChar w:fldCharType="begin"/>
            </w:r>
            <w:r w:rsidR="00FF1679">
              <w:rPr>
                <w:noProof/>
              </w:rPr>
              <w:instrText xml:space="preserve"> PAGEREF _Toc193367180 \h </w:instrText>
            </w:r>
            <w:r w:rsidR="00FF1679">
              <w:rPr>
                <w:noProof/>
              </w:rPr>
            </w:r>
            <w:r w:rsidR="00FF1679">
              <w:rPr>
                <w:noProof/>
              </w:rPr>
              <w:fldChar w:fldCharType="separate"/>
            </w:r>
            <w:r w:rsidR="00132F53">
              <w:rPr>
                <w:noProof/>
              </w:rPr>
              <w:t>29</w:t>
            </w:r>
            <w:r w:rsidR="00FF1679">
              <w:rPr>
                <w:noProof/>
              </w:rPr>
              <w:fldChar w:fldCharType="end"/>
            </w:r>
          </w:hyperlink>
        </w:p>
        <w:p w14:paraId="561E8E75" w14:textId="2F6817A2"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181" w:history="1">
            <w:r w:rsidR="00FF1679" w:rsidRPr="001D0EB8">
              <w:rPr>
                <w:rStyle w:val="Hyperlink"/>
                <w:rFonts w:cs="Calibri"/>
                <w:noProof/>
              </w:rPr>
              <w:t>2.1: Institutional Theory</w:t>
            </w:r>
            <w:r w:rsidR="00FF1679">
              <w:rPr>
                <w:noProof/>
              </w:rPr>
              <w:tab/>
            </w:r>
            <w:r w:rsidR="00FF1679">
              <w:rPr>
                <w:noProof/>
              </w:rPr>
              <w:fldChar w:fldCharType="begin"/>
            </w:r>
            <w:r w:rsidR="00FF1679">
              <w:rPr>
                <w:noProof/>
              </w:rPr>
              <w:instrText xml:space="preserve"> PAGEREF _Toc193367181 \h </w:instrText>
            </w:r>
            <w:r w:rsidR="00FF1679">
              <w:rPr>
                <w:noProof/>
              </w:rPr>
            </w:r>
            <w:r w:rsidR="00FF1679">
              <w:rPr>
                <w:noProof/>
              </w:rPr>
              <w:fldChar w:fldCharType="separate"/>
            </w:r>
            <w:r w:rsidR="00132F53">
              <w:rPr>
                <w:noProof/>
              </w:rPr>
              <w:t>31</w:t>
            </w:r>
            <w:r w:rsidR="00FF1679">
              <w:rPr>
                <w:noProof/>
              </w:rPr>
              <w:fldChar w:fldCharType="end"/>
            </w:r>
          </w:hyperlink>
        </w:p>
        <w:p w14:paraId="6D4BF9B0" w14:textId="346C8EBC"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82" w:history="1">
            <w:r w:rsidR="00FF1679" w:rsidRPr="001D0EB8">
              <w:rPr>
                <w:rStyle w:val="Hyperlink"/>
                <w:rFonts w:cs="Calibri"/>
                <w:noProof/>
              </w:rPr>
              <w:t>2.1.2: What are Institutions?</w:t>
            </w:r>
            <w:r w:rsidR="00FF1679">
              <w:rPr>
                <w:noProof/>
              </w:rPr>
              <w:tab/>
            </w:r>
            <w:r w:rsidR="00FF1679">
              <w:rPr>
                <w:noProof/>
              </w:rPr>
              <w:fldChar w:fldCharType="begin"/>
            </w:r>
            <w:r w:rsidR="00FF1679">
              <w:rPr>
                <w:noProof/>
              </w:rPr>
              <w:instrText xml:space="preserve"> PAGEREF _Toc193367182 \h </w:instrText>
            </w:r>
            <w:r w:rsidR="00FF1679">
              <w:rPr>
                <w:noProof/>
              </w:rPr>
            </w:r>
            <w:r w:rsidR="00FF1679">
              <w:rPr>
                <w:noProof/>
              </w:rPr>
              <w:fldChar w:fldCharType="separate"/>
            </w:r>
            <w:r w:rsidR="00132F53">
              <w:rPr>
                <w:noProof/>
              </w:rPr>
              <w:t>31</w:t>
            </w:r>
            <w:r w:rsidR="00FF1679">
              <w:rPr>
                <w:noProof/>
              </w:rPr>
              <w:fldChar w:fldCharType="end"/>
            </w:r>
          </w:hyperlink>
        </w:p>
        <w:p w14:paraId="16B6D751" w14:textId="4CAD21E4"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83" w:history="1">
            <w:r w:rsidR="00FF1679" w:rsidRPr="001D0EB8">
              <w:rPr>
                <w:rStyle w:val="Hyperlink"/>
                <w:rFonts w:cs="Calibri"/>
                <w:noProof/>
              </w:rPr>
              <w:t>2.1.3: Institutional logics perspective</w:t>
            </w:r>
            <w:r w:rsidR="00FF1679">
              <w:rPr>
                <w:noProof/>
              </w:rPr>
              <w:tab/>
            </w:r>
            <w:r w:rsidR="00FF1679">
              <w:rPr>
                <w:noProof/>
              </w:rPr>
              <w:fldChar w:fldCharType="begin"/>
            </w:r>
            <w:r w:rsidR="00FF1679">
              <w:rPr>
                <w:noProof/>
              </w:rPr>
              <w:instrText xml:space="preserve"> PAGEREF _Toc193367183 \h </w:instrText>
            </w:r>
            <w:r w:rsidR="00FF1679">
              <w:rPr>
                <w:noProof/>
              </w:rPr>
            </w:r>
            <w:r w:rsidR="00FF1679">
              <w:rPr>
                <w:noProof/>
              </w:rPr>
              <w:fldChar w:fldCharType="separate"/>
            </w:r>
            <w:r w:rsidR="00132F53">
              <w:rPr>
                <w:noProof/>
              </w:rPr>
              <w:t>33</w:t>
            </w:r>
            <w:r w:rsidR="00FF1679">
              <w:rPr>
                <w:noProof/>
              </w:rPr>
              <w:fldChar w:fldCharType="end"/>
            </w:r>
          </w:hyperlink>
        </w:p>
        <w:p w14:paraId="7F6EF3FF" w14:textId="1AEDC57C"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84" w:history="1">
            <w:r w:rsidR="00FF1679" w:rsidRPr="001D0EB8">
              <w:rPr>
                <w:rStyle w:val="Hyperlink"/>
                <w:rFonts w:cs="Calibri"/>
                <w:noProof/>
              </w:rPr>
              <w:t>2.1.4: Conclusion</w:t>
            </w:r>
            <w:r w:rsidR="00FF1679">
              <w:rPr>
                <w:noProof/>
              </w:rPr>
              <w:tab/>
            </w:r>
            <w:r w:rsidR="00FF1679">
              <w:rPr>
                <w:noProof/>
              </w:rPr>
              <w:fldChar w:fldCharType="begin"/>
            </w:r>
            <w:r w:rsidR="00FF1679">
              <w:rPr>
                <w:noProof/>
              </w:rPr>
              <w:instrText xml:space="preserve"> PAGEREF _Toc193367184 \h </w:instrText>
            </w:r>
            <w:r w:rsidR="00FF1679">
              <w:rPr>
                <w:noProof/>
              </w:rPr>
            </w:r>
            <w:r w:rsidR="00FF1679">
              <w:rPr>
                <w:noProof/>
              </w:rPr>
              <w:fldChar w:fldCharType="separate"/>
            </w:r>
            <w:r w:rsidR="00132F53">
              <w:rPr>
                <w:noProof/>
              </w:rPr>
              <w:t>41</w:t>
            </w:r>
            <w:r w:rsidR="00FF1679">
              <w:rPr>
                <w:noProof/>
              </w:rPr>
              <w:fldChar w:fldCharType="end"/>
            </w:r>
          </w:hyperlink>
        </w:p>
        <w:p w14:paraId="5E9378F8" w14:textId="45C46A8A"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185" w:history="1">
            <w:r w:rsidR="00FF1679" w:rsidRPr="001D0EB8">
              <w:rPr>
                <w:rStyle w:val="Hyperlink"/>
                <w:rFonts w:cs="Calibri"/>
                <w:noProof/>
              </w:rPr>
              <w:t>2.2: Communication theory</w:t>
            </w:r>
            <w:r w:rsidR="00FF1679">
              <w:rPr>
                <w:noProof/>
              </w:rPr>
              <w:tab/>
            </w:r>
            <w:r w:rsidR="00FF1679">
              <w:rPr>
                <w:noProof/>
              </w:rPr>
              <w:fldChar w:fldCharType="begin"/>
            </w:r>
            <w:r w:rsidR="00FF1679">
              <w:rPr>
                <w:noProof/>
              </w:rPr>
              <w:instrText xml:space="preserve"> PAGEREF _Toc193367185 \h </w:instrText>
            </w:r>
            <w:r w:rsidR="00FF1679">
              <w:rPr>
                <w:noProof/>
              </w:rPr>
            </w:r>
            <w:r w:rsidR="00FF1679">
              <w:rPr>
                <w:noProof/>
              </w:rPr>
              <w:fldChar w:fldCharType="separate"/>
            </w:r>
            <w:r w:rsidR="00132F53">
              <w:rPr>
                <w:noProof/>
              </w:rPr>
              <w:t>42</w:t>
            </w:r>
            <w:r w:rsidR="00FF1679">
              <w:rPr>
                <w:noProof/>
              </w:rPr>
              <w:fldChar w:fldCharType="end"/>
            </w:r>
          </w:hyperlink>
        </w:p>
        <w:p w14:paraId="5A949B55" w14:textId="5005E594"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86" w:history="1">
            <w:r w:rsidR="00FF1679" w:rsidRPr="001D0EB8">
              <w:rPr>
                <w:rStyle w:val="Hyperlink"/>
                <w:rFonts w:cs="Calibri"/>
                <w:noProof/>
              </w:rPr>
              <w:t>2.2.1: Introduction</w:t>
            </w:r>
            <w:r w:rsidR="00FF1679">
              <w:rPr>
                <w:noProof/>
              </w:rPr>
              <w:tab/>
            </w:r>
            <w:r w:rsidR="00FF1679">
              <w:rPr>
                <w:noProof/>
              </w:rPr>
              <w:fldChar w:fldCharType="begin"/>
            </w:r>
            <w:r w:rsidR="00FF1679">
              <w:rPr>
                <w:noProof/>
              </w:rPr>
              <w:instrText xml:space="preserve"> PAGEREF _Toc193367186 \h </w:instrText>
            </w:r>
            <w:r w:rsidR="00FF1679">
              <w:rPr>
                <w:noProof/>
              </w:rPr>
            </w:r>
            <w:r w:rsidR="00FF1679">
              <w:rPr>
                <w:noProof/>
              </w:rPr>
              <w:fldChar w:fldCharType="separate"/>
            </w:r>
            <w:r w:rsidR="00132F53">
              <w:rPr>
                <w:noProof/>
              </w:rPr>
              <w:t>42</w:t>
            </w:r>
            <w:r w:rsidR="00FF1679">
              <w:rPr>
                <w:noProof/>
              </w:rPr>
              <w:fldChar w:fldCharType="end"/>
            </w:r>
          </w:hyperlink>
        </w:p>
        <w:p w14:paraId="1217F289" w14:textId="31DEB7E6"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87" w:history="1">
            <w:r w:rsidR="00FF1679" w:rsidRPr="001D0EB8">
              <w:rPr>
                <w:rStyle w:val="Hyperlink"/>
                <w:rFonts w:cs="Calibri"/>
                <w:noProof/>
              </w:rPr>
              <w:t>2.2.2: Risk communication</w:t>
            </w:r>
            <w:r w:rsidR="00FF1679">
              <w:rPr>
                <w:noProof/>
              </w:rPr>
              <w:tab/>
            </w:r>
            <w:r w:rsidR="00FF1679">
              <w:rPr>
                <w:noProof/>
              </w:rPr>
              <w:fldChar w:fldCharType="begin"/>
            </w:r>
            <w:r w:rsidR="00FF1679">
              <w:rPr>
                <w:noProof/>
              </w:rPr>
              <w:instrText xml:space="preserve"> PAGEREF _Toc193367187 \h </w:instrText>
            </w:r>
            <w:r w:rsidR="00FF1679">
              <w:rPr>
                <w:noProof/>
              </w:rPr>
            </w:r>
            <w:r w:rsidR="00FF1679">
              <w:rPr>
                <w:noProof/>
              </w:rPr>
              <w:fldChar w:fldCharType="separate"/>
            </w:r>
            <w:r w:rsidR="00132F53">
              <w:rPr>
                <w:noProof/>
              </w:rPr>
              <w:t>43</w:t>
            </w:r>
            <w:r w:rsidR="00FF1679">
              <w:rPr>
                <w:noProof/>
              </w:rPr>
              <w:fldChar w:fldCharType="end"/>
            </w:r>
          </w:hyperlink>
        </w:p>
        <w:p w14:paraId="3BC01F67" w14:textId="1C992F67"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88" w:history="1">
            <w:r w:rsidR="00FF1679" w:rsidRPr="001D0EB8">
              <w:rPr>
                <w:rStyle w:val="Hyperlink"/>
                <w:rFonts w:cs="Calibri"/>
                <w:noProof/>
              </w:rPr>
              <w:t>2.2.3: Public information campaign literature</w:t>
            </w:r>
            <w:r w:rsidR="00FF1679">
              <w:rPr>
                <w:noProof/>
              </w:rPr>
              <w:tab/>
            </w:r>
            <w:r w:rsidR="00FF1679">
              <w:rPr>
                <w:noProof/>
              </w:rPr>
              <w:fldChar w:fldCharType="begin"/>
            </w:r>
            <w:r w:rsidR="00FF1679">
              <w:rPr>
                <w:noProof/>
              </w:rPr>
              <w:instrText xml:space="preserve"> PAGEREF _Toc193367188 \h </w:instrText>
            </w:r>
            <w:r w:rsidR="00FF1679">
              <w:rPr>
                <w:noProof/>
              </w:rPr>
            </w:r>
            <w:r w:rsidR="00FF1679">
              <w:rPr>
                <w:noProof/>
              </w:rPr>
              <w:fldChar w:fldCharType="separate"/>
            </w:r>
            <w:r w:rsidR="00132F53">
              <w:rPr>
                <w:noProof/>
              </w:rPr>
              <w:t>56</w:t>
            </w:r>
            <w:r w:rsidR="00FF1679">
              <w:rPr>
                <w:noProof/>
              </w:rPr>
              <w:fldChar w:fldCharType="end"/>
            </w:r>
          </w:hyperlink>
        </w:p>
        <w:p w14:paraId="54817DA5" w14:textId="42D8F0E9"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89" w:history="1">
            <w:r w:rsidR="00FF1679" w:rsidRPr="001D0EB8">
              <w:rPr>
                <w:rStyle w:val="Hyperlink"/>
                <w:rFonts w:cs="Calibri"/>
                <w:noProof/>
              </w:rPr>
              <w:t>2.2.4: Conclusion</w:t>
            </w:r>
            <w:r w:rsidR="00FF1679">
              <w:rPr>
                <w:noProof/>
              </w:rPr>
              <w:tab/>
            </w:r>
            <w:r w:rsidR="00FF1679">
              <w:rPr>
                <w:noProof/>
              </w:rPr>
              <w:fldChar w:fldCharType="begin"/>
            </w:r>
            <w:r w:rsidR="00FF1679">
              <w:rPr>
                <w:noProof/>
              </w:rPr>
              <w:instrText xml:space="preserve"> PAGEREF _Toc193367189 \h </w:instrText>
            </w:r>
            <w:r w:rsidR="00FF1679">
              <w:rPr>
                <w:noProof/>
              </w:rPr>
            </w:r>
            <w:r w:rsidR="00FF1679">
              <w:rPr>
                <w:noProof/>
              </w:rPr>
              <w:fldChar w:fldCharType="separate"/>
            </w:r>
            <w:r w:rsidR="00132F53">
              <w:rPr>
                <w:noProof/>
              </w:rPr>
              <w:t>60</w:t>
            </w:r>
            <w:r w:rsidR="00FF1679">
              <w:rPr>
                <w:noProof/>
              </w:rPr>
              <w:fldChar w:fldCharType="end"/>
            </w:r>
          </w:hyperlink>
        </w:p>
        <w:p w14:paraId="06BE0ADF" w14:textId="4627A0F6"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190" w:history="1">
            <w:r w:rsidR="00FF1679" w:rsidRPr="001D0EB8">
              <w:rPr>
                <w:rStyle w:val="Hyperlink"/>
                <w:rFonts w:cs="Calibri"/>
                <w:noProof/>
              </w:rPr>
              <w:t>2.3: Disasters</w:t>
            </w:r>
            <w:r w:rsidR="00FF1679">
              <w:rPr>
                <w:noProof/>
              </w:rPr>
              <w:tab/>
            </w:r>
            <w:r w:rsidR="00FF1679">
              <w:rPr>
                <w:noProof/>
              </w:rPr>
              <w:fldChar w:fldCharType="begin"/>
            </w:r>
            <w:r w:rsidR="00FF1679">
              <w:rPr>
                <w:noProof/>
              </w:rPr>
              <w:instrText xml:space="preserve"> PAGEREF _Toc193367190 \h </w:instrText>
            </w:r>
            <w:r w:rsidR="00FF1679">
              <w:rPr>
                <w:noProof/>
              </w:rPr>
            </w:r>
            <w:r w:rsidR="00FF1679">
              <w:rPr>
                <w:noProof/>
              </w:rPr>
              <w:fldChar w:fldCharType="separate"/>
            </w:r>
            <w:r w:rsidR="00132F53">
              <w:rPr>
                <w:noProof/>
              </w:rPr>
              <w:t>61</w:t>
            </w:r>
            <w:r w:rsidR="00FF1679">
              <w:rPr>
                <w:noProof/>
              </w:rPr>
              <w:fldChar w:fldCharType="end"/>
            </w:r>
          </w:hyperlink>
        </w:p>
        <w:p w14:paraId="43B3BE04" w14:textId="1636FF26"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91" w:history="1">
            <w:r w:rsidR="00FF1679" w:rsidRPr="001D0EB8">
              <w:rPr>
                <w:rStyle w:val="Hyperlink"/>
                <w:rFonts w:cs="Calibri"/>
                <w:noProof/>
              </w:rPr>
              <w:t>2.3.1: Introduction</w:t>
            </w:r>
            <w:r w:rsidR="00FF1679">
              <w:rPr>
                <w:noProof/>
              </w:rPr>
              <w:tab/>
            </w:r>
            <w:r w:rsidR="00FF1679">
              <w:rPr>
                <w:noProof/>
              </w:rPr>
              <w:fldChar w:fldCharType="begin"/>
            </w:r>
            <w:r w:rsidR="00FF1679">
              <w:rPr>
                <w:noProof/>
              </w:rPr>
              <w:instrText xml:space="preserve"> PAGEREF _Toc193367191 \h </w:instrText>
            </w:r>
            <w:r w:rsidR="00FF1679">
              <w:rPr>
                <w:noProof/>
              </w:rPr>
            </w:r>
            <w:r w:rsidR="00FF1679">
              <w:rPr>
                <w:noProof/>
              </w:rPr>
              <w:fldChar w:fldCharType="separate"/>
            </w:r>
            <w:r w:rsidR="00132F53">
              <w:rPr>
                <w:noProof/>
              </w:rPr>
              <w:t>61</w:t>
            </w:r>
            <w:r w:rsidR="00FF1679">
              <w:rPr>
                <w:noProof/>
              </w:rPr>
              <w:fldChar w:fldCharType="end"/>
            </w:r>
          </w:hyperlink>
        </w:p>
        <w:p w14:paraId="618D7159" w14:textId="7AA267E4"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92" w:history="1">
            <w:r w:rsidR="00FF1679" w:rsidRPr="001D0EB8">
              <w:rPr>
                <w:rStyle w:val="Hyperlink"/>
                <w:rFonts w:cs="Calibri"/>
                <w:noProof/>
              </w:rPr>
              <w:t>2.3.2: What is a disaster?</w:t>
            </w:r>
            <w:r w:rsidR="00FF1679">
              <w:rPr>
                <w:noProof/>
              </w:rPr>
              <w:tab/>
            </w:r>
            <w:r w:rsidR="00FF1679">
              <w:rPr>
                <w:noProof/>
              </w:rPr>
              <w:fldChar w:fldCharType="begin"/>
            </w:r>
            <w:r w:rsidR="00FF1679">
              <w:rPr>
                <w:noProof/>
              </w:rPr>
              <w:instrText xml:space="preserve"> PAGEREF _Toc193367192 \h </w:instrText>
            </w:r>
            <w:r w:rsidR="00FF1679">
              <w:rPr>
                <w:noProof/>
              </w:rPr>
            </w:r>
            <w:r w:rsidR="00FF1679">
              <w:rPr>
                <w:noProof/>
              </w:rPr>
              <w:fldChar w:fldCharType="separate"/>
            </w:r>
            <w:r w:rsidR="00132F53">
              <w:rPr>
                <w:noProof/>
              </w:rPr>
              <w:t>61</w:t>
            </w:r>
            <w:r w:rsidR="00FF1679">
              <w:rPr>
                <w:noProof/>
              </w:rPr>
              <w:fldChar w:fldCharType="end"/>
            </w:r>
          </w:hyperlink>
        </w:p>
        <w:p w14:paraId="0A4251A1" w14:textId="02E450E2"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93" w:history="1">
            <w:r w:rsidR="00FF1679" w:rsidRPr="001D0EB8">
              <w:rPr>
                <w:rStyle w:val="Hyperlink"/>
                <w:rFonts w:cs="Calibri"/>
                <w:noProof/>
              </w:rPr>
              <w:t>2.3.3: Temporality</w:t>
            </w:r>
            <w:r w:rsidR="00FF1679">
              <w:rPr>
                <w:noProof/>
              </w:rPr>
              <w:tab/>
            </w:r>
            <w:r w:rsidR="00FF1679">
              <w:rPr>
                <w:noProof/>
              </w:rPr>
              <w:fldChar w:fldCharType="begin"/>
            </w:r>
            <w:r w:rsidR="00FF1679">
              <w:rPr>
                <w:noProof/>
              </w:rPr>
              <w:instrText xml:space="preserve"> PAGEREF _Toc193367193 \h </w:instrText>
            </w:r>
            <w:r w:rsidR="00FF1679">
              <w:rPr>
                <w:noProof/>
              </w:rPr>
            </w:r>
            <w:r w:rsidR="00FF1679">
              <w:rPr>
                <w:noProof/>
              </w:rPr>
              <w:fldChar w:fldCharType="separate"/>
            </w:r>
            <w:r w:rsidR="00132F53">
              <w:rPr>
                <w:noProof/>
              </w:rPr>
              <w:t>62</w:t>
            </w:r>
            <w:r w:rsidR="00FF1679">
              <w:rPr>
                <w:noProof/>
              </w:rPr>
              <w:fldChar w:fldCharType="end"/>
            </w:r>
          </w:hyperlink>
        </w:p>
        <w:p w14:paraId="2D424F5A" w14:textId="68D25D58"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94" w:history="1">
            <w:r w:rsidR="00FF1679" w:rsidRPr="001D0EB8">
              <w:rPr>
                <w:rStyle w:val="Hyperlink"/>
                <w:rFonts w:cs="Calibri"/>
                <w:noProof/>
              </w:rPr>
              <w:t>2.3.4: Vulnerability</w:t>
            </w:r>
            <w:r w:rsidR="00FF1679">
              <w:rPr>
                <w:noProof/>
              </w:rPr>
              <w:tab/>
            </w:r>
            <w:r w:rsidR="00FF1679">
              <w:rPr>
                <w:noProof/>
              </w:rPr>
              <w:fldChar w:fldCharType="begin"/>
            </w:r>
            <w:r w:rsidR="00FF1679">
              <w:rPr>
                <w:noProof/>
              </w:rPr>
              <w:instrText xml:space="preserve"> PAGEREF _Toc193367194 \h </w:instrText>
            </w:r>
            <w:r w:rsidR="00FF1679">
              <w:rPr>
                <w:noProof/>
              </w:rPr>
            </w:r>
            <w:r w:rsidR="00FF1679">
              <w:rPr>
                <w:noProof/>
              </w:rPr>
              <w:fldChar w:fldCharType="separate"/>
            </w:r>
            <w:r w:rsidR="00132F53">
              <w:rPr>
                <w:noProof/>
              </w:rPr>
              <w:t>65</w:t>
            </w:r>
            <w:r w:rsidR="00FF1679">
              <w:rPr>
                <w:noProof/>
              </w:rPr>
              <w:fldChar w:fldCharType="end"/>
            </w:r>
          </w:hyperlink>
        </w:p>
        <w:p w14:paraId="63EAFC92" w14:textId="51BEEE5B"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95" w:history="1">
            <w:r w:rsidR="00FF1679" w:rsidRPr="001D0EB8">
              <w:rPr>
                <w:rStyle w:val="Hyperlink"/>
                <w:rFonts w:cs="Calibri"/>
                <w:noProof/>
              </w:rPr>
              <w:t>2.3.5: Disasters in South Yorkshire</w:t>
            </w:r>
            <w:r w:rsidR="00FF1679">
              <w:rPr>
                <w:noProof/>
              </w:rPr>
              <w:tab/>
            </w:r>
            <w:r w:rsidR="00FF1679">
              <w:rPr>
                <w:noProof/>
              </w:rPr>
              <w:fldChar w:fldCharType="begin"/>
            </w:r>
            <w:r w:rsidR="00FF1679">
              <w:rPr>
                <w:noProof/>
              </w:rPr>
              <w:instrText xml:space="preserve"> PAGEREF _Toc193367195 \h </w:instrText>
            </w:r>
            <w:r w:rsidR="00FF1679">
              <w:rPr>
                <w:noProof/>
              </w:rPr>
            </w:r>
            <w:r w:rsidR="00FF1679">
              <w:rPr>
                <w:noProof/>
              </w:rPr>
              <w:fldChar w:fldCharType="separate"/>
            </w:r>
            <w:r w:rsidR="00132F53">
              <w:rPr>
                <w:noProof/>
              </w:rPr>
              <w:t>66</w:t>
            </w:r>
            <w:r w:rsidR="00FF1679">
              <w:rPr>
                <w:noProof/>
              </w:rPr>
              <w:fldChar w:fldCharType="end"/>
            </w:r>
          </w:hyperlink>
        </w:p>
        <w:p w14:paraId="48E854D1" w14:textId="1A39A331"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96" w:history="1">
            <w:r w:rsidR="00FF1679" w:rsidRPr="001D0EB8">
              <w:rPr>
                <w:rStyle w:val="Hyperlink"/>
                <w:rFonts w:cs="Calibri"/>
                <w:noProof/>
              </w:rPr>
              <w:t>2.3.6: Conclusion</w:t>
            </w:r>
            <w:r w:rsidR="00FF1679">
              <w:rPr>
                <w:noProof/>
              </w:rPr>
              <w:tab/>
            </w:r>
            <w:r w:rsidR="00FF1679">
              <w:rPr>
                <w:noProof/>
              </w:rPr>
              <w:fldChar w:fldCharType="begin"/>
            </w:r>
            <w:r w:rsidR="00FF1679">
              <w:rPr>
                <w:noProof/>
              </w:rPr>
              <w:instrText xml:space="preserve"> PAGEREF _Toc193367196 \h </w:instrText>
            </w:r>
            <w:r w:rsidR="00FF1679">
              <w:rPr>
                <w:noProof/>
              </w:rPr>
            </w:r>
            <w:r w:rsidR="00FF1679">
              <w:rPr>
                <w:noProof/>
              </w:rPr>
              <w:fldChar w:fldCharType="separate"/>
            </w:r>
            <w:r w:rsidR="00132F53">
              <w:rPr>
                <w:noProof/>
              </w:rPr>
              <w:t>67</w:t>
            </w:r>
            <w:r w:rsidR="00FF1679">
              <w:rPr>
                <w:noProof/>
              </w:rPr>
              <w:fldChar w:fldCharType="end"/>
            </w:r>
          </w:hyperlink>
        </w:p>
        <w:p w14:paraId="140A9F5C" w14:textId="3070833D"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197" w:history="1">
            <w:r w:rsidR="00FF1679" w:rsidRPr="001D0EB8">
              <w:rPr>
                <w:rStyle w:val="Hyperlink"/>
                <w:rFonts w:cs="Calibri"/>
                <w:noProof/>
              </w:rPr>
              <w:t>2.4: Community Resilience</w:t>
            </w:r>
            <w:r w:rsidR="00FF1679">
              <w:rPr>
                <w:noProof/>
              </w:rPr>
              <w:tab/>
            </w:r>
            <w:r w:rsidR="00FF1679">
              <w:rPr>
                <w:noProof/>
              </w:rPr>
              <w:fldChar w:fldCharType="begin"/>
            </w:r>
            <w:r w:rsidR="00FF1679">
              <w:rPr>
                <w:noProof/>
              </w:rPr>
              <w:instrText xml:space="preserve"> PAGEREF _Toc193367197 \h </w:instrText>
            </w:r>
            <w:r w:rsidR="00FF1679">
              <w:rPr>
                <w:noProof/>
              </w:rPr>
            </w:r>
            <w:r w:rsidR="00FF1679">
              <w:rPr>
                <w:noProof/>
              </w:rPr>
              <w:fldChar w:fldCharType="separate"/>
            </w:r>
            <w:r w:rsidR="00132F53">
              <w:rPr>
                <w:noProof/>
              </w:rPr>
              <w:t>67</w:t>
            </w:r>
            <w:r w:rsidR="00FF1679">
              <w:rPr>
                <w:noProof/>
              </w:rPr>
              <w:fldChar w:fldCharType="end"/>
            </w:r>
          </w:hyperlink>
        </w:p>
        <w:p w14:paraId="76904032" w14:textId="077C2456"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98" w:history="1">
            <w:r w:rsidR="00FF1679" w:rsidRPr="001D0EB8">
              <w:rPr>
                <w:rStyle w:val="Hyperlink"/>
                <w:rFonts w:cs="Calibri"/>
                <w:noProof/>
              </w:rPr>
              <w:t>2.4.1: Introduction</w:t>
            </w:r>
            <w:r w:rsidR="00FF1679">
              <w:rPr>
                <w:noProof/>
              </w:rPr>
              <w:tab/>
            </w:r>
            <w:r w:rsidR="00FF1679">
              <w:rPr>
                <w:noProof/>
              </w:rPr>
              <w:fldChar w:fldCharType="begin"/>
            </w:r>
            <w:r w:rsidR="00FF1679">
              <w:rPr>
                <w:noProof/>
              </w:rPr>
              <w:instrText xml:space="preserve"> PAGEREF _Toc193367198 \h </w:instrText>
            </w:r>
            <w:r w:rsidR="00FF1679">
              <w:rPr>
                <w:noProof/>
              </w:rPr>
            </w:r>
            <w:r w:rsidR="00FF1679">
              <w:rPr>
                <w:noProof/>
              </w:rPr>
              <w:fldChar w:fldCharType="separate"/>
            </w:r>
            <w:r w:rsidR="00132F53">
              <w:rPr>
                <w:noProof/>
              </w:rPr>
              <w:t>67</w:t>
            </w:r>
            <w:r w:rsidR="00FF1679">
              <w:rPr>
                <w:noProof/>
              </w:rPr>
              <w:fldChar w:fldCharType="end"/>
            </w:r>
          </w:hyperlink>
        </w:p>
        <w:p w14:paraId="16FBABB6" w14:textId="2422D6BD"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199" w:history="1">
            <w:r w:rsidR="00FF1679" w:rsidRPr="001D0EB8">
              <w:rPr>
                <w:rStyle w:val="Hyperlink"/>
                <w:rFonts w:cs="Calibri"/>
                <w:noProof/>
              </w:rPr>
              <w:t>2.4.2: The definition of Community Resilience</w:t>
            </w:r>
            <w:r w:rsidR="00FF1679">
              <w:rPr>
                <w:noProof/>
              </w:rPr>
              <w:tab/>
            </w:r>
            <w:r w:rsidR="00FF1679">
              <w:rPr>
                <w:noProof/>
              </w:rPr>
              <w:fldChar w:fldCharType="begin"/>
            </w:r>
            <w:r w:rsidR="00FF1679">
              <w:rPr>
                <w:noProof/>
              </w:rPr>
              <w:instrText xml:space="preserve"> PAGEREF _Toc193367199 \h </w:instrText>
            </w:r>
            <w:r w:rsidR="00FF1679">
              <w:rPr>
                <w:noProof/>
              </w:rPr>
            </w:r>
            <w:r w:rsidR="00FF1679">
              <w:rPr>
                <w:noProof/>
              </w:rPr>
              <w:fldChar w:fldCharType="separate"/>
            </w:r>
            <w:r w:rsidR="00132F53">
              <w:rPr>
                <w:noProof/>
              </w:rPr>
              <w:t>68</w:t>
            </w:r>
            <w:r w:rsidR="00FF1679">
              <w:rPr>
                <w:noProof/>
              </w:rPr>
              <w:fldChar w:fldCharType="end"/>
            </w:r>
          </w:hyperlink>
        </w:p>
        <w:p w14:paraId="4FF72E2C" w14:textId="564889EE"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00" w:history="1">
            <w:r w:rsidR="00FF1679" w:rsidRPr="001D0EB8">
              <w:rPr>
                <w:rStyle w:val="Hyperlink"/>
                <w:rFonts w:cs="Calibri"/>
                <w:noProof/>
              </w:rPr>
              <w:t>2.4.3: Organisational role within building community resilience</w:t>
            </w:r>
            <w:r w:rsidR="00FF1679">
              <w:rPr>
                <w:noProof/>
              </w:rPr>
              <w:tab/>
            </w:r>
            <w:r w:rsidR="00FF1679">
              <w:rPr>
                <w:noProof/>
              </w:rPr>
              <w:fldChar w:fldCharType="begin"/>
            </w:r>
            <w:r w:rsidR="00FF1679">
              <w:rPr>
                <w:noProof/>
              </w:rPr>
              <w:instrText xml:space="preserve"> PAGEREF _Toc193367200 \h </w:instrText>
            </w:r>
            <w:r w:rsidR="00FF1679">
              <w:rPr>
                <w:noProof/>
              </w:rPr>
            </w:r>
            <w:r w:rsidR="00FF1679">
              <w:rPr>
                <w:noProof/>
              </w:rPr>
              <w:fldChar w:fldCharType="separate"/>
            </w:r>
            <w:r w:rsidR="00132F53">
              <w:rPr>
                <w:noProof/>
              </w:rPr>
              <w:t>74</w:t>
            </w:r>
            <w:r w:rsidR="00FF1679">
              <w:rPr>
                <w:noProof/>
              </w:rPr>
              <w:fldChar w:fldCharType="end"/>
            </w:r>
          </w:hyperlink>
        </w:p>
        <w:p w14:paraId="58B32BA5" w14:textId="34E703EF"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01" w:history="1">
            <w:r w:rsidR="00FF1679" w:rsidRPr="001D0EB8">
              <w:rPr>
                <w:rStyle w:val="Hyperlink"/>
                <w:rFonts w:cs="Calibri"/>
                <w:noProof/>
              </w:rPr>
              <w:t>2.4.4: Neoliberal agenda of community resilience</w:t>
            </w:r>
            <w:r w:rsidR="00FF1679">
              <w:rPr>
                <w:noProof/>
              </w:rPr>
              <w:tab/>
            </w:r>
            <w:r w:rsidR="00FF1679">
              <w:rPr>
                <w:noProof/>
              </w:rPr>
              <w:fldChar w:fldCharType="begin"/>
            </w:r>
            <w:r w:rsidR="00FF1679">
              <w:rPr>
                <w:noProof/>
              </w:rPr>
              <w:instrText xml:space="preserve"> PAGEREF _Toc193367201 \h </w:instrText>
            </w:r>
            <w:r w:rsidR="00FF1679">
              <w:rPr>
                <w:noProof/>
              </w:rPr>
            </w:r>
            <w:r w:rsidR="00FF1679">
              <w:rPr>
                <w:noProof/>
              </w:rPr>
              <w:fldChar w:fldCharType="separate"/>
            </w:r>
            <w:r w:rsidR="00132F53">
              <w:rPr>
                <w:noProof/>
              </w:rPr>
              <w:t>77</w:t>
            </w:r>
            <w:r w:rsidR="00FF1679">
              <w:rPr>
                <w:noProof/>
              </w:rPr>
              <w:fldChar w:fldCharType="end"/>
            </w:r>
          </w:hyperlink>
        </w:p>
        <w:p w14:paraId="6C9E34BA" w14:textId="09775F1F"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02" w:history="1">
            <w:r w:rsidR="00FF1679" w:rsidRPr="001D0EB8">
              <w:rPr>
                <w:rStyle w:val="Hyperlink"/>
                <w:rFonts w:cs="Calibri"/>
                <w:noProof/>
              </w:rPr>
              <w:t>2.4.5: Conclusion</w:t>
            </w:r>
            <w:r w:rsidR="00FF1679">
              <w:rPr>
                <w:noProof/>
              </w:rPr>
              <w:tab/>
            </w:r>
            <w:r w:rsidR="00FF1679">
              <w:rPr>
                <w:noProof/>
              </w:rPr>
              <w:fldChar w:fldCharType="begin"/>
            </w:r>
            <w:r w:rsidR="00FF1679">
              <w:rPr>
                <w:noProof/>
              </w:rPr>
              <w:instrText xml:space="preserve"> PAGEREF _Toc193367202 \h </w:instrText>
            </w:r>
            <w:r w:rsidR="00FF1679">
              <w:rPr>
                <w:noProof/>
              </w:rPr>
            </w:r>
            <w:r w:rsidR="00FF1679">
              <w:rPr>
                <w:noProof/>
              </w:rPr>
              <w:fldChar w:fldCharType="separate"/>
            </w:r>
            <w:r w:rsidR="00132F53">
              <w:rPr>
                <w:noProof/>
              </w:rPr>
              <w:t>78</w:t>
            </w:r>
            <w:r w:rsidR="00FF1679">
              <w:rPr>
                <w:noProof/>
              </w:rPr>
              <w:fldChar w:fldCharType="end"/>
            </w:r>
          </w:hyperlink>
        </w:p>
        <w:p w14:paraId="0C59B0F8" w14:textId="75D86284"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03" w:history="1">
            <w:r w:rsidR="00FF1679" w:rsidRPr="001D0EB8">
              <w:rPr>
                <w:rStyle w:val="Hyperlink"/>
                <w:rFonts w:cs="Calibri"/>
                <w:noProof/>
              </w:rPr>
              <w:t>2.5: Social Media</w:t>
            </w:r>
            <w:r w:rsidR="00FF1679">
              <w:rPr>
                <w:noProof/>
              </w:rPr>
              <w:tab/>
            </w:r>
            <w:r w:rsidR="00FF1679">
              <w:rPr>
                <w:noProof/>
              </w:rPr>
              <w:fldChar w:fldCharType="begin"/>
            </w:r>
            <w:r w:rsidR="00FF1679">
              <w:rPr>
                <w:noProof/>
              </w:rPr>
              <w:instrText xml:space="preserve"> PAGEREF _Toc193367203 \h </w:instrText>
            </w:r>
            <w:r w:rsidR="00FF1679">
              <w:rPr>
                <w:noProof/>
              </w:rPr>
            </w:r>
            <w:r w:rsidR="00FF1679">
              <w:rPr>
                <w:noProof/>
              </w:rPr>
              <w:fldChar w:fldCharType="separate"/>
            </w:r>
            <w:r w:rsidR="00132F53">
              <w:rPr>
                <w:noProof/>
              </w:rPr>
              <w:t>79</w:t>
            </w:r>
            <w:r w:rsidR="00FF1679">
              <w:rPr>
                <w:noProof/>
              </w:rPr>
              <w:fldChar w:fldCharType="end"/>
            </w:r>
          </w:hyperlink>
        </w:p>
        <w:p w14:paraId="67E6D50F" w14:textId="390CE8BA"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04" w:history="1">
            <w:r w:rsidR="00FF1679" w:rsidRPr="001D0EB8">
              <w:rPr>
                <w:rStyle w:val="Hyperlink"/>
                <w:rFonts w:cs="Calibri"/>
                <w:noProof/>
              </w:rPr>
              <w:t>2.5.1: Introduction</w:t>
            </w:r>
            <w:r w:rsidR="00FF1679">
              <w:rPr>
                <w:noProof/>
              </w:rPr>
              <w:tab/>
            </w:r>
            <w:r w:rsidR="00FF1679">
              <w:rPr>
                <w:noProof/>
              </w:rPr>
              <w:fldChar w:fldCharType="begin"/>
            </w:r>
            <w:r w:rsidR="00FF1679">
              <w:rPr>
                <w:noProof/>
              </w:rPr>
              <w:instrText xml:space="preserve"> PAGEREF _Toc193367204 \h </w:instrText>
            </w:r>
            <w:r w:rsidR="00FF1679">
              <w:rPr>
                <w:noProof/>
              </w:rPr>
            </w:r>
            <w:r w:rsidR="00FF1679">
              <w:rPr>
                <w:noProof/>
              </w:rPr>
              <w:fldChar w:fldCharType="separate"/>
            </w:r>
            <w:r w:rsidR="00132F53">
              <w:rPr>
                <w:noProof/>
              </w:rPr>
              <w:t>79</w:t>
            </w:r>
            <w:r w:rsidR="00FF1679">
              <w:rPr>
                <w:noProof/>
              </w:rPr>
              <w:fldChar w:fldCharType="end"/>
            </w:r>
          </w:hyperlink>
        </w:p>
        <w:p w14:paraId="1D889EC8" w14:textId="6E1892B4"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05" w:history="1">
            <w:r w:rsidR="00FF1679" w:rsidRPr="001D0EB8">
              <w:rPr>
                <w:rStyle w:val="Hyperlink"/>
                <w:rFonts w:cs="Calibri"/>
                <w:noProof/>
              </w:rPr>
              <w:t>2.5.2: Definitions</w:t>
            </w:r>
            <w:r w:rsidR="00FF1679">
              <w:rPr>
                <w:noProof/>
              </w:rPr>
              <w:tab/>
            </w:r>
            <w:r w:rsidR="00FF1679">
              <w:rPr>
                <w:noProof/>
              </w:rPr>
              <w:fldChar w:fldCharType="begin"/>
            </w:r>
            <w:r w:rsidR="00FF1679">
              <w:rPr>
                <w:noProof/>
              </w:rPr>
              <w:instrText xml:space="preserve"> PAGEREF _Toc193367205 \h </w:instrText>
            </w:r>
            <w:r w:rsidR="00FF1679">
              <w:rPr>
                <w:noProof/>
              </w:rPr>
            </w:r>
            <w:r w:rsidR="00FF1679">
              <w:rPr>
                <w:noProof/>
              </w:rPr>
              <w:fldChar w:fldCharType="separate"/>
            </w:r>
            <w:r w:rsidR="00132F53">
              <w:rPr>
                <w:noProof/>
              </w:rPr>
              <w:t>80</w:t>
            </w:r>
            <w:r w:rsidR="00FF1679">
              <w:rPr>
                <w:noProof/>
              </w:rPr>
              <w:fldChar w:fldCharType="end"/>
            </w:r>
          </w:hyperlink>
        </w:p>
        <w:p w14:paraId="1D401B93" w14:textId="68102E48"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06" w:history="1">
            <w:r w:rsidR="00FF1679" w:rsidRPr="001D0EB8">
              <w:rPr>
                <w:rStyle w:val="Hyperlink"/>
                <w:rFonts w:cs="Calibri"/>
                <w:noProof/>
              </w:rPr>
              <w:t>2.5.3: Digital Divide</w:t>
            </w:r>
            <w:r w:rsidR="00FF1679">
              <w:rPr>
                <w:noProof/>
              </w:rPr>
              <w:tab/>
            </w:r>
            <w:r w:rsidR="00FF1679">
              <w:rPr>
                <w:noProof/>
              </w:rPr>
              <w:fldChar w:fldCharType="begin"/>
            </w:r>
            <w:r w:rsidR="00FF1679">
              <w:rPr>
                <w:noProof/>
              </w:rPr>
              <w:instrText xml:space="preserve"> PAGEREF _Toc193367206 \h </w:instrText>
            </w:r>
            <w:r w:rsidR="00FF1679">
              <w:rPr>
                <w:noProof/>
              </w:rPr>
            </w:r>
            <w:r w:rsidR="00FF1679">
              <w:rPr>
                <w:noProof/>
              </w:rPr>
              <w:fldChar w:fldCharType="separate"/>
            </w:r>
            <w:r w:rsidR="00132F53">
              <w:rPr>
                <w:noProof/>
              </w:rPr>
              <w:t>81</w:t>
            </w:r>
            <w:r w:rsidR="00FF1679">
              <w:rPr>
                <w:noProof/>
              </w:rPr>
              <w:fldChar w:fldCharType="end"/>
            </w:r>
          </w:hyperlink>
        </w:p>
        <w:p w14:paraId="3F6EA3BB" w14:textId="6EFB6DEB"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07" w:history="1">
            <w:r w:rsidR="00FF1679" w:rsidRPr="001D0EB8">
              <w:rPr>
                <w:rStyle w:val="Hyperlink"/>
                <w:rFonts w:cs="Calibri"/>
                <w:noProof/>
              </w:rPr>
              <w:t>2.5.4: Putting the Social in social media.</w:t>
            </w:r>
            <w:r w:rsidR="00FF1679">
              <w:rPr>
                <w:noProof/>
              </w:rPr>
              <w:tab/>
            </w:r>
            <w:r w:rsidR="00FF1679">
              <w:rPr>
                <w:noProof/>
              </w:rPr>
              <w:fldChar w:fldCharType="begin"/>
            </w:r>
            <w:r w:rsidR="00FF1679">
              <w:rPr>
                <w:noProof/>
              </w:rPr>
              <w:instrText xml:space="preserve"> PAGEREF _Toc193367207 \h </w:instrText>
            </w:r>
            <w:r w:rsidR="00FF1679">
              <w:rPr>
                <w:noProof/>
              </w:rPr>
            </w:r>
            <w:r w:rsidR="00FF1679">
              <w:rPr>
                <w:noProof/>
              </w:rPr>
              <w:fldChar w:fldCharType="separate"/>
            </w:r>
            <w:r w:rsidR="00132F53">
              <w:rPr>
                <w:noProof/>
              </w:rPr>
              <w:t>84</w:t>
            </w:r>
            <w:r w:rsidR="00FF1679">
              <w:rPr>
                <w:noProof/>
              </w:rPr>
              <w:fldChar w:fldCharType="end"/>
            </w:r>
          </w:hyperlink>
        </w:p>
        <w:p w14:paraId="128C01CC" w14:textId="35207DB6"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08" w:history="1">
            <w:r w:rsidR="00FF1679" w:rsidRPr="001D0EB8">
              <w:rPr>
                <w:rStyle w:val="Hyperlink"/>
                <w:rFonts w:cs="Calibri"/>
                <w:noProof/>
              </w:rPr>
              <w:t>2.5.5: Social media and disasters</w:t>
            </w:r>
            <w:r w:rsidR="00FF1679">
              <w:rPr>
                <w:noProof/>
              </w:rPr>
              <w:tab/>
            </w:r>
            <w:r w:rsidR="00FF1679">
              <w:rPr>
                <w:noProof/>
              </w:rPr>
              <w:fldChar w:fldCharType="begin"/>
            </w:r>
            <w:r w:rsidR="00FF1679">
              <w:rPr>
                <w:noProof/>
              </w:rPr>
              <w:instrText xml:space="preserve"> PAGEREF _Toc193367208 \h </w:instrText>
            </w:r>
            <w:r w:rsidR="00FF1679">
              <w:rPr>
                <w:noProof/>
              </w:rPr>
            </w:r>
            <w:r w:rsidR="00FF1679">
              <w:rPr>
                <w:noProof/>
              </w:rPr>
              <w:fldChar w:fldCharType="separate"/>
            </w:r>
            <w:r w:rsidR="00132F53">
              <w:rPr>
                <w:noProof/>
              </w:rPr>
              <w:t>87</w:t>
            </w:r>
            <w:r w:rsidR="00FF1679">
              <w:rPr>
                <w:noProof/>
              </w:rPr>
              <w:fldChar w:fldCharType="end"/>
            </w:r>
          </w:hyperlink>
        </w:p>
        <w:p w14:paraId="202D9FD1" w14:textId="617DA3F2"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09" w:history="1">
            <w:r w:rsidR="00FF1679" w:rsidRPr="001D0EB8">
              <w:rPr>
                <w:rStyle w:val="Hyperlink"/>
                <w:rFonts w:cs="Calibri"/>
                <w:noProof/>
              </w:rPr>
              <w:t>2.5.6: Conclusion</w:t>
            </w:r>
            <w:r w:rsidR="00FF1679">
              <w:rPr>
                <w:noProof/>
              </w:rPr>
              <w:tab/>
            </w:r>
            <w:r w:rsidR="00FF1679">
              <w:rPr>
                <w:noProof/>
              </w:rPr>
              <w:fldChar w:fldCharType="begin"/>
            </w:r>
            <w:r w:rsidR="00FF1679">
              <w:rPr>
                <w:noProof/>
              </w:rPr>
              <w:instrText xml:space="preserve"> PAGEREF _Toc193367209 \h </w:instrText>
            </w:r>
            <w:r w:rsidR="00FF1679">
              <w:rPr>
                <w:noProof/>
              </w:rPr>
            </w:r>
            <w:r w:rsidR="00FF1679">
              <w:rPr>
                <w:noProof/>
              </w:rPr>
              <w:fldChar w:fldCharType="separate"/>
            </w:r>
            <w:r w:rsidR="00132F53">
              <w:rPr>
                <w:noProof/>
              </w:rPr>
              <w:t>91</w:t>
            </w:r>
            <w:r w:rsidR="00FF1679">
              <w:rPr>
                <w:noProof/>
              </w:rPr>
              <w:fldChar w:fldCharType="end"/>
            </w:r>
          </w:hyperlink>
        </w:p>
        <w:p w14:paraId="1158CAF4" w14:textId="3042A22D"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10" w:history="1">
            <w:r w:rsidR="00FF1679" w:rsidRPr="001D0EB8">
              <w:rPr>
                <w:rStyle w:val="Hyperlink"/>
                <w:rFonts w:cs="Calibri"/>
                <w:noProof/>
              </w:rPr>
              <w:t>2.6: The Study Context - Fire and Rescue Service</w:t>
            </w:r>
            <w:r w:rsidR="00FF1679">
              <w:rPr>
                <w:noProof/>
              </w:rPr>
              <w:tab/>
            </w:r>
            <w:r w:rsidR="00FF1679">
              <w:rPr>
                <w:noProof/>
              </w:rPr>
              <w:fldChar w:fldCharType="begin"/>
            </w:r>
            <w:r w:rsidR="00FF1679">
              <w:rPr>
                <w:noProof/>
              </w:rPr>
              <w:instrText xml:space="preserve"> PAGEREF _Toc193367210 \h </w:instrText>
            </w:r>
            <w:r w:rsidR="00FF1679">
              <w:rPr>
                <w:noProof/>
              </w:rPr>
            </w:r>
            <w:r w:rsidR="00FF1679">
              <w:rPr>
                <w:noProof/>
              </w:rPr>
              <w:fldChar w:fldCharType="separate"/>
            </w:r>
            <w:r w:rsidR="00132F53">
              <w:rPr>
                <w:noProof/>
              </w:rPr>
              <w:t>92</w:t>
            </w:r>
            <w:r w:rsidR="00FF1679">
              <w:rPr>
                <w:noProof/>
              </w:rPr>
              <w:fldChar w:fldCharType="end"/>
            </w:r>
          </w:hyperlink>
        </w:p>
        <w:p w14:paraId="166EA4B2" w14:textId="49B6BAC3"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11" w:history="1">
            <w:r w:rsidR="00FF1679" w:rsidRPr="001D0EB8">
              <w:rPr>
                <w:rStyle w:val="Hyperlink"/>
                <w:rFonts w:cs="Calibri"/>
                <w:noProof/>
              </w:rPr>
              <w:t>2.6.1: Introduction</w:t>
            </w:r>
            <w:r w:rsidR="00FF1679">
              <w:rPr>
                <w:noProof/>
              </w:rPr>
              <w:tab/>
            </w:r>
            <w:r w:rsidR="00FF1679">
              <w:rPr>
                <w:noProof/>
              </w:rPr>
              <w:fldChar w:fldCharType="begin"/>
            </w:r>
            <w:r w:rsidR="00FF1679">
              <w:rPr>
                <w:noProof/>
              </w:rPr>
              <w:instrText xml:space="preserve"> PAGEREF _Toc193367211 \h </w:instrText>
            </w:r>
            <w:r w:rsidR="00FF1679">
              <w:rPr>
                <w:noProof/>
              </w:rPr>
            </w:r>
            <w:r w:rsidR="00FF1679">
              <w:rPr>
                <w:noProof/>
              </w:rPr>
              <w:fldChar w:fldCharType="separate"/>
            </w:r>
            <w:r w:rsidR="00132F53">
              <w:rPr>
                <w:noProof/>
              </w:rPr>
              <w:t>92</w:t>
            </w:r>
            <w:r w:rsidR="00FF1679">
              <w:rPr>
                <w:noProof/>
              </w:rPr>
              <w:fldChar w:fldCharType="end"/>
            </w:r>
          </w:hyperlink>
        </w:p>
        <w:p w14:paraId="2DB10107" w14:textId="455E5EF6"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12" w:history="1">
            <w:r w:rsidR="00FF1679" w:rsidRPr="001D0EB8">
              <w:rPr>
                <w:rStyle w:val="Hyperlink"/>
                <w:rFonts w:cs="Calibri"/>
                <w:noProof/>
              </w:rPr>
              <w:t>2.6.2: Political context of the FRS</w:t>
            </w:r>
            <w:r w:rsidR="00FF1679">
              <w:rPr>
                <w:noProof/>
              </w:rPr>
              <w:tab/>
            </w:r>
            <w:r w:rsidR="00FF1679">
              <w:rPr>
                <w:noProof/>
              </w:rPr>
              <w:fldChar w:fldCharType="begin"/>
            </w:r>
            <w:r w:rsidR="00FF1679">
              <w:rPr>
                <w:noProof/>
              </w:rPr>
              <w:instrText xml:space="preserve"> PAGEREF _Toc193367212 \h </w:instrText>
            </w:r>
            <w:r w:rsidR="00FF1679">
              <w:rPr>
                <w:noProof/>
              </w:rPr>
            </w:r>
            <w:r w:rsidR="00FF1679">
              <w:rPr>
                <w:noProof/>
              </w:rPr>
              <w:fldChar w:fldCharType="separate"/>
            </w:r>
            <w:r w:rsidR="00132F53">
              <w:rPr>
                <w:noProof/>
              </w:rPr>
              <w:t>93</w:t>
            </w:r>
            <w:r w:rsidR="00FF1679">
              <w:rPr>
                <w:noProof/>
              </w:rPr>
              <w:fldChar w:fldCharType="end"/>
            </w:r>
          </w:hyperlink>
        </w:p>
        <w:p w14:paraId="7A814481" w14:textId="2202C079"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13" w:history="1">
            <w:r w:rsidR="00FF1679" w:rsidRPr="001D0EB8">
              <w:rPr>
                <w:rStyle w:val="Hyperlink"/>
                <w:rFonts w:cs="Calibri"/>
                <w:noProof/>
              </w:rPr>
              <w:t>2.6.3: FRS community operations</w:t>
            </w:r>
            <w:r w:rsidR="00FF1679">
              <w:rPr>
                <w:noProof/>
              </w:rPr>
              <w:tab/>
            </w:r>
            <w:r w:rsidR="00FF1679">
              <w:rPr>
                <w:noProof/>
              </w:rPr>
              <w:fldChar w:fldCharType="begin"/>
            </w:r>
            <w:r w:rsidR="00FF1679">
              <w:rPr>
                <w:noProof/>
              </w:rPr>
              <w:instrText xml:space="preserve"> PAGEREF _Toc193367213 \h </w:instrText>
            </w:r>
            <w:r w:rsidR="00FF1679">
              <w:rPr>
                <w:noProof/>
              </w:rPr>
            </w:r>
            <w:r w:rsidR="00FF1679">
              <w:rPr>
                <w:noProof/>
              </w:rPr>
              <w:fldChar w:fldCharType="separate"/>
            </w:r>
            <w:r w:rsidR="00132F53">
              <w:rPr>
                <w:noProof/>
              </w:rPr>
              <w:t>97</w:t>
            </w:r>
            <w:r w:rsidR="00FF1679">
              <w:rPr>
                <w:noProof/>
              </w:rPr>
              <w:fldChar w:fldCharType="end"/>
            </w:r>
          </w:hyperlink>
        </w:p>
        <w:p w14:paraId="4C2DF655" w14:textId="08EDE5ED"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14" w:history="1">
            <w:r w:rsidR="00FF1679" w:rsidRPr="001D0EB8">
              <w:rPr>
                <w:rStyle w:val="Hyperlink"/>
                <w:rFonts w:cs="Calibri"/>
                <w:noProof/>
              </w:rPr>
              <w:t>2.6.4: Conclusion</w:t>
            </w:r>
            <w:r w:rsidR="00FF1679">
              <w:rPr>
                <w:noProof/>
              </w:rPr>
              <w:tab/>
            </w:r>
            <w:r w:rsidR="00FF1679">
              <w:rPr>
                <w:noProof/>
              </w:rPr>
              <w:fldChar w:fldCharType="begin"/>
            </w:r>
            <w:r w:rsidR="00FF1679">
              <w:rPr>
                <w:noProof/>
              </w:rPr>
              <w:instrText xml:space="preserve"> PAGEREF _Toc193367214 \h </w:instrText>
            </w:r>
            <w:r w:rsidR="00FF1679">
              <w:rPr>
                <w:noProof/>
              </w:rPr>
            </w:r>
            <w:r w:rsidR="00FF1679">
              <w:rPr>
                <w:noProof/>
              </w:rPr>
              <w:fldChar w:fldCharType="separate"/>
            </w:r>
            <w:r w:rsidR="00132F53">
              <w:rPr>
                <w:noProof/>
              </w:rPr>
              <w:t>98</w:t>
            </w:r>
            <w:r w:rsidR="00FF1679">
              <w:rPr>
                <w:noProof/>
              </w:rPr>
              <w:fldChar w:fldCharType="end"/>
            </w:r>
          </w:hyperlink>
        </w:p>
        <w:p w14:paraId="1A500342" w14:textId="2303E894"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15" w:history="1">
            <w:r w:rsidR="00FF1679" w:rsidRPr="001D0EB8">
              <w:rPr>
                <w:rStyle w:val="Hyperlink"/>
                <w:rFonts w:cs="Calibri"/>
                <w:noProof/>
              </w:rPr>
              <w:t>2.7: Chapter Conclusion</w:t>
            </w:r>
            <w:r w:rsidR="00FF1679">
              <w:rPr>
                <w:noProof/>
              </w:rPr>
              <w:tab/>
            </w:r>
            <w:r w:rsidR="00FF1679">
              <w:rPr>
                <w:noProof/>
              </w:rPr>
              <w:fldChar w:fldCharType="begin"/>
            </w:r>
            <w:r w:rsidR="00FF1679">
              <w:rPr>
                <w:noProof/>
              </w:rPr>
              <w:instrText xml:space="preserve"> PAGEREF _Toc193367215 \h </w:instrText>
            </w:r>
            <w:r w:rsidR="00FF1679">
              <w:rPr>
                <w:noProof/>
              </w:rPr>
            </w:r>
            <w:r w:rsidR="00FF1679">
              <w:rPr>
                <w:noProof/>
              </w:rPr>
              <w:fldChar w:fldCharType="separate"/>
            </w:r>
            <w:r w:rsidR="00132F53">
              <w:rPr>
                <w:noProof/>
              </w:rPr>
              <w:t>98</w:t>
            </w:r>
            <w:r w:rsidR="00FF1679">
              <w:rPr>
                <w:noProof/>
              </w:rPr>
              <w:fldChar w:fldCharType="end"/>
            </w:r>
          </w:hyperlink>
        </w:p>
        <w:p w14:paraId="0A99AF6E" w14:textId="1DC2F2B7" w:rsidR="00FF1679" w:rsidRDefault="00000000">
          <w:pPr>
            <w:pStyle w:val="TOC1"/>
            <w:rPr>
              <w:rFonts w:asciiTheme="minorHAnsi" w:eastAsiaTheme="minorEastAsia" w:hAnsiTheme="minorHAnsi" w:cstheme="minorBidi"/>
              <w:noProof/>
              <w:kern w:val="2"/>
              <w:lang w:eastAsia="zh-CN"/>
              <w14:ligatures w14:val="standardContextual"/>
            </w:rPr>
          </w:pPr>
          <w:hyperlink w:anchor="_Toc193367216" w:history="1">
            <w:r w:rsidR="00FF1679" w:rsidRPr="001D0EB8">
              <w:rPr>
                <w:rStyle w:val="Hyperlink"/>
                <w:rFonts w:cs="Calibri"/>
                <w:noProof/>
              </w:rPr>
              <w:t>Chapter 3: Methodology</w:t>
            </w:r>
            <w:r w:rsidR="00FF1679">
              <w:rPr>
                <w:noProof/>
              </w:rPr>
              <w:tab/>
            </w:r>
            <w:r w:rsidR="00FF1679">
              <w:rPr>
                <w:noProof/>
              </w:rPr>
              <w:fldChar w:fldCharType="begin"/>
            </w:r>
            <w:r w:rsidR="00FF1679">
              <w:rPr>
                <w:noProof/>
              </w:rPr>
              <w:instrText xml:space="preserve"> PAGEREF _Toc193367216 \h </w:instrText>
            </w:r>
            <w:r w:rsidR="00FF1679">
              <w:rPr>
                <w:noProof/>
              </w:rPr>
            </w:r>
            <w:r w:rsidR="00FF1679">
              <w:rPr>
                <w:noProof/>
              </w:rPr>
              <w:fldChar w:fldCharType="separate"/>
            </w:r>
            <w:r w:rsidR="00132F53">
              <w:rPr>
                <w:noProof/>
              </w:rPr>
              <w:t>102</w:t>
            </w:r>
            <w:r w:rsidR="00FF1679">
              <w:rPr>
                <w:noProof/>
              </w:rPr>
              <w:fldChar w:fldCharType="end"/>
            </w:r>
          </w:hyperlink>
        </w:p>
        <w:p w14:paraId="44EBC822" w14:textId="45D99085"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17" w:history="1">
            <w:r w:rsidR="00FF1679" w:rsidRPr="001D0EB8">
              <w:rPr>
                <w:rStyle w:val="Hyperlink"/>
                <w:rFonts w:cs="Calibri"/>
                <w:noProof/>
              </w:rPr>
              <w:t>3.1: Introduction</w:t>
            </w:r>
            <w:r w:rsidR="00FF1679">
              <w:rPr>
                <w:noProof/>
              </w:rPr>
              <w:tab/>
            </w:r>
            <w:r w:rsidR="00FF1679">
              <w:rPr>
                <w:noProof/>
              </w:rPr>
              <w:fldChar w:fldCharType="begin"/>
            </w:r>
            <w:r w:rsidR="00FF1679">
              <w:rPr>
                <w:noProof/>
              </w:rPr>
              <w:instrText xml:space="preserve"> PAGEREF _Toc193367217 \h </w:instrText>
            </w:r>
            <w:r w:rsidR="00FF1679">
              <w:rPr>
                <w:noProof/>
              </w:rPr>
            </w:r>
            <w:r w:rsidR="00FF1679">
              <w:rPr>
                <w:noProof/>
              </w:rPr>
              <w:fldChar w:fldCharType="separate"/>
            </w:r>
            <w:r w:rsidR="00132F53">
              <w:rPr>
                <w:noProof/>
              </w:rPr>
              <w:t>102</w:t>
            </w:r>
            <w:r w:rsidR="00FF1679">
              <w:rPr>
                <w:noProof/>
              </w:rPr>
              <w:fldChar w:fldCharType="end"/>
            </w:r>
          </w:hyperlink>
        </w:p>
        <w:p w14:paraId="24698A88" w14:textId="3CD2F0ED"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18" w:history="1">
            <w:r w:rsidR="00FF1679" w:rsidRPr="001D0EB8">
              <w:rPr>
                <w:rStyle w:val="Hyperlink"/>
                <w:rFonts w:cs="Calibri"/>
                <w:noProof/>
              </w:rPr>
              <w:t>3.2: Research Philosophy</w:t>
            </w:r>
            <w:r w:rsidR="00FF1679">
              <w:rPr>
                <w:noProof/>
              </w:rPr>
              <w:tab/>
            </w:r>
            <w:r w:rsidR="00FF1679">
              <w:rPr>
                <w:noProof/>
              </w:rPr>
              <w:fldChar w:fldCharType="begin"/>
            </w:r>
            <w:r w:rsidR="00FF1679">
              <w:rPr>
                <w:noProof/>
              </w:rPr>
              <w:instrText xml:space="preserve"> PAGEREF _Toc193367218 \h </w:instrText>
            </w:r>
            <w:r w:rsidR="00FF1679">
              <w:rPr>
                <w:noProof/>
              </w:rPr>
            </w:r>
            <w:r w:rsidR="00FF1679">
              <w:rPr>
                <w:noProof/>
              </w:rPr>
              <w:fldChar w:fldCharType="separate"/>
            </w:r>
            <w:r w:rsidR="00132F53">
              <w:rPr>
                <w:noProof/>
              </w:rPr>
              <w:t>102</w:t>
            </w:r>
            <w:r w:rsidR="00FF1679">
              <w:rPr>
                <w:noProof/>
              </w:rPr>
              <w:fldChar w:fldCharType="end"/>
            </w:r>
          </w:hyperlink>
        </w:p>
        <w:p w14:paraId="7FF45680" w14:textId="345F58E1"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19" w:history="1">
            <w:r w:rsidR="00FF1679" w:rsidRPr="001D0EB8">
              <w:rPr>
                <w:rStyle w:val="Hyperlink"/>
                <w:rFonts w:cs="Calibri"/>
                <w:noProof/>
              </w:rPr>
              <w:t>3.2.1: Interpretivism</w:t>
            </w:r>
            <w:r w:rsidR="00FF1679">
              <w:rPr>
                <w:noProof/>
              </w:rPr>
              <w:tab/>
            </w:r>
            <w:r w:rsidR="00FF1679">
              <w:rPr>
                <w:noProof/>
              </w:rPr>
              <w:fldChar w:fldCharType="begin"/>
            </w:r>
            <w:r w:rsidR="00FF1679">
              <w:rPr>
                <w:noProof/>
              </w:rPr>
              <w:instrText xml:space="preserve"> PAGEREF _Toc193367219 \h </w:instrText>
            </w:r>
            <w:r w:rsidR="00FF1679">
              <w:rPr>
                <w:noProof/>
              </w:rPr>
            </w:r>
            <w:r w:rsidR="00FF1679">
              <w:rPr>
                <w:noProof/>
              </w:rPr>
              <w:fldChar w:fldCharType="separate"/>
            </w:r>
            <w:r w:rsidR="00132F53">
              <w:rPr>
                <w:noProof/>
              </w:rPr>
              <w:t>103</w:t>
            </w:r>
            <w:r w:rsidR="00FF1679">
              <w:rPr>
                <w:noProof/>
              </w:rPr>
              <w:fldChar w:fldCharType="end"/>
            </w:r>
          </w:hyperlink>
        </w:p>
        <w:p w14:paraId="5BA75732" w14:textId="1008BD33"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20" w:history="1">
            <w:r w:rsidR="00FF1679" w:rsidRPr="001D0EB8">
              <w:rPr>
                <w:rStyle w:val="Hyperlink"/>
                <w:rFonts w:cs="Calibri"/>
                <w:noProof/>
              </w:rPr>
              <w:t>3.3: Research strategy</w:t>
            </w:r>
            <w:r w:rsidR="00FF1679">
              <w:rPr>
                <w:noProof/>
              </w:rPr>
              <w:tab/>
            </w:r>
            <w:r w:rsidR="00FF1679">
              <w:rPr>
                <w:noProof/>
              </w:rPr>
              <w:fldChar w:fldCharType="begin"/>
            </w:r>
            <w:r w:rsidR="00FF1679">
              <w:rPr>
                <w:noProof/>
              </w:rPr>
              <w:instrText xml:space="preserve"> PAGEREF _Toc193367220 \h </w:instrText>
            </w:r>
            <w:r w:rsidR="00FF1679">
              <w:rPr>
                <w:noProof/>
              </w:rPr>
            </w:r>
            <w:r w:rsidR="00FF1679">
              <w:rPr>
                <w:noProof/>
              </w:rPr>
              <w:fldChar w:fldCharType="separate"/>
            </w:r>
            <w:r w:rsidR="00132F53">
              <w:rPr>
                <w:noProof/>
              </w:rPr>
              <w:t>105</w:t>
            </w:r>
            <w:r w:rsidR="00FF1679">
              <w:rPr>
                <w:noProof/>
              </w:rPr>
              <w:fldChar w:fldCharType="end"/>
            </w:r>
          </w:hyperlink>
        </w:p>
        <w:p w14:paraId="3DC90C2E" w14:textId="03BE16DA"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21" w:history="1">
            <w:r w:rsidR="00FF1679" w:rsidRPr="001D0EB8">
              <w:rPr>
                <w:rStyle w:val="Hyperlink"/>
                <w:rFonts w:cs="Calibri"/>
                <w:noProof/>
              </w:rPr>
              <w:t>3.3.1: Engaged Scholarship</w:t>
            </w:r>
            <w:r w:rsidR="00FF1679">
              <w:rPr>
                <w:noProof/>
              </w:rPr>
              <w:tab/>
            </w:r>
            <w:r w:rsidR="00FF1679">
              <w:rPr>
                <w:noProof/>
              </w:rPr>
              <w:fldChar w:fldCharType="begin"/>
            </w:r>
            <w:r w:rsidR="00FF1679">
              <w:rPr>
                <w:noProof/>
              </w:rPr>
              <w:instrText xml:space="preserve"> PAGEREF _Toc193367221 \h </w:instrText>
            </w:r>
            <w:r w:rsidR="00FF1679">
              <w:rPr>
                <w:noProof/>
              </w:rPr>
            </w:r>
            <w:r w:rsidR="00FF1679">
              <w:rPr>
                <w:noProof/>
              </w:rPr>
              <w:fldChar w:fldCharType="separate"/>
            </w:r>
            <w:r w:rsidR="00132F53">
              <w:rPr>
                <w:noProof/>
              </w:rPr>
              <w:t>107</w:t>
            </w:r>
            <w:r w:rsidR="00FF1679">
              <w:rPr>
                <w:noProof/>
              </w:rPr>
              <w:fldChar w:fldCharType="end"/>
            </w:r>
          </w:hyperlink>
        </w:p>
        <w:p w14:paraId="64E51394" w14:textId="6427A5C7"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22" w:history="1">
            <w:r w:rsidR="00FF1679" w:rsidRPr="001D0EB8">
              <w:rPr>
                <w:rStyle w:val="Hyperlink"/>
                <w:rFonts w:cs="Calibri"/>
                <w:noProof/>
              </w:rPr>
              <w:t>3.3.2: Research with SYFR</w:t>
            </w:r>
            <w:r w:rsidR="00FF1679">
              <w:rPr>
                <w:noProof/>
              </w:rPr>
              <w:tab/>
            </w:r>
            <w:r w:rsidR="00FF1679">
              <w:rPr>
                <w:noProof/>
              </w:rPr>
              <w:fldChar w:fldCharType="begin"/>
            </w:r>
            <w:r w:rsidR="00FF1679">
              <w:rPr>
                <w:noProof/>
              </w:rPr>
              <w:instrText xml:space="preserve"> PAGEREF _Toc193367222 \h </w:instrText>
            </w:r>
            <w:r w:rsidR="00FF1679">
              <w:rPr>
                <w:noProof/>
              </w:rPr>
            </w:r>
            <w:r w:rsidR="00FF1679">
              <w:rPr>
                <w:noProof/>
              </w:rPr>
              <w:fldChar w:fldCharType="separate"/>
            </w:r>
            <w:r w:rsidR="00132F53">
              <w:rPr>
                <w:noProof/>
              </w:rPr>
              <w:t>108</w:t>
            </w:r>
            <w:r w:rsidR="00FF1679">
              <w:rPr>
                <w:noProof/>
              </w:rPr>
              <w:fldChar w:fldCharType="end"/>
            </w:r>
          </w:hyperlink>
        </w:p>
        <w:p w14:paraId="432D10EC" w14:textId="5752F63D"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23" w:history="1">
            <w:r w:rsidR="00FF1679" w:rsidRPr="001D0EB8">
              <w:rPr>
                <w:rStyle w:val="Hyperlink"/>
                <w:rFonts w:cs="Calibri"/>
                <w:noProof/>
              </w:rPr>
              <w:t>3.3.3: Research conducted with South Yorkshire communities.</w:t>
            </w:r>
            <w:r w:rsidR="00FF1679">
              <w:rPr>
                <w:noProof/>
              </w:rPr>
              <w:tab/>
            </w:r>
            <w:r w:rsidR="00FF1679">
              <w:rPr>
                <w:noProof/>
              </w:rPr>
              <w:fldChar w:fldCharType="begin"/>
            </w:r>
            <w:r w:rsidR="00FF1679">
              <w:rPr>
                <w:noProof/>
              </w:rPr>
              <w:instrText xml:space="preserve"> PAGEREF _Toc193367223 \h </w:instrText>
            </w:r>
            <w:r w:rsidR="00FF1679">
              <w:rPr>
                <w:noProof/>
              </w:rPr>
            </w:r>
            <w:r w:rsidR="00FF1679">
              <w:rPr>
                <w:noProof/>
              </w:rPr>
              <w:fldChar w:fldCharType="separate"/>
            </w:r>
            <w:r w:rsidR="00132F53">
              <w:rPr>
                <w:noProof/>
              </w:rPr>
              <w:t>120</w:t>
            </w:r>
            <w:r w:rsidR="00FF1679">
              <w:rPr>
                <w:noProof/>
              </w:rPr>
              <w:fldChar w:fldCharType="end"/>
            </w:r>
          </w:hyperlink>
        </w:p>
        <w:p w14:paraId="32EF06C0" w14:textId="125F1C91"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24" w:history="1">
            <w:r w:rsidR="00FF1679" w:rsidRPr="001D0EB8">
              <w:rPr>
                <w:rStyle w:val="Hyperlink"/>
                <w:rFonts w:cs="Calibri"/>
                <w:noProof/>
              </w:rPr>
              <w:t>3.4: Data analysis</w:t>
            </w:r>
            <w:r w:rsidR="00FF1679">
              <w:rPr>
                <w:noProof/>
              </w:rPr>
              <w:tab/>
            </w:r>
            <w:r w:rsidR="00FF1679">
              <w:rPr>
                <w:noProof/>
              </w:rPr>
              <w:fldChar w:fldCharType="begin"/>
            </w:r>
            <w:r w:rsidR="00FF1679">
              <w:rPr>
                <w:noProof/>
              </w:rPr>
              <w:instrText xml:space="preserve"> PAGEREF _Toc193367224 \h </w:instrText>
            </w:r>
            <w:r w:rsidR="00FF1679">
              <w:rPr>
                <w:noProof/>
              </w:rPr>
            </w:r>
            <w:r w:rsidR="00FF1679">
              <w:rPr>
                <w:noProof/>
              </w:rPr>
              <w:fldChar w:fldCharType="separate"/>
            </w:r>
            <w:r w:rsidR="00132F53">
              <w:rPr>
                <w:noProof/>
              </w:rPr>
              <w:t>127</w:t>
            </w:r>
            <w:r w:rsidR="00FF1679">
              <w:rPr>
                <w:noProof/>
              </w:rPr>
              <w:fldChar w:fldCharType="end"/>
            </w:r>
          </w:hyperlink>
        </w:p>
        <w:p w14:paraId="16E2C580" w14:textId="1E103B83"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25" w:history="1">
            <w:r w:rsidR="00FF1679" w:rsidRPr="001D0EB8">
              <w:rPr>
                <w:rStyle w:val="Hyperlink"/>
                <w:rFonts w:cs="Calibri"/>
                <w:noProof/>
              </w:rPr>
              <w:t>3.5: Ethics</w:t>
            </w:r>
            <w:r w:rsidR="00FF1679">
              <w:rPr>
                <w:noProof/>
              </w:rPr>
              <w:tab/>
            </w:r>
            <w:r w:rsidR="00FF1679">
              <w:rPr>
                <w:noProof/>
              </w:rPr>
              <w:fldChar w:fldCharType="begin"/>
            </w:r>
            <w:r w:rsidR="00FF1679">
              <w:rPr>
                <w:noProof/>
              </w:rPr>
              <w:instrText xml:space="preserve"> PAGEREF _Toc193367225 \h </w:instrText>
            </w:r>
            <w:r w:rsidR="00FF1679">
              <w:rPr>
                <w:noProof/>
              </w:rPr>
            </w:r>
            <w:r w:rsidR="00FF1679">
              <w:rPr>
                <w:noProof/>
              </w:rPr>
              <w:fldChar w:fldCharType="separate"/>
            </w:r>
            <w:r w:rsidR="00132F53">
              <w:rPr>
                <w:noProof/>
              </w:rPr>
              <w:t>128</w:t>
            </w:r>
            <w:r w:rsidR="00FF1679">
              <w:rPr>
                <w:noProof/>
              </w:rPr>
              <w:fldChar w:fldCharType="end"/>
            </w:r>
          </w:hyperlink>
        </w:p>
        <w:p w14:paraId="14BF797F" w14:textId="5E7D090D"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26" w:history="1">
            <w:r w:rsidR="00FF1679" w:rsidRPr="001D0EB8">
              <w:rPr>
                <w:rStyle w:val="Hyperlink"/>
                <w:rFonts w:cs="Calibri"/>
                <w:noProof/>
              </w:rPr>
              <w:t>3.5.1: Qualitative data collection</w:t>
            </w:r>
            <w:r w:rsidR="00FF1679">
              <w:rPr>
                <w:noProof/>
              </w:rPr>
              <w:tab/>
            </w:r>
            <w:r w:rsidR="00FF1679">
              <w:rPr>
                <w:noProof/>
              </w:rPr>
              <w:fldChar w:fldCharType="begin"/>
            </w:r>
            <w:r w:rsidR="00FF1679">
              <w:rPr>
                <w:noProof/>
              </w:rPr>
              <w:instrText xml:space="preserve"> PAGEREF _Toc193367226 \h </w:instrText>
            </w:r>
            <w:r w:rsidR="00FF1679">
              <w:rPr>
                <w:noProof/>
              </w:rPr>
            </w:r>
            <w:r w:rsidR="00FF1679">
              <w:rPr>
                <w:noProof/>
              </w:rPr>
              <w:fldChar w:fldCharType="separate"/>
            </w:r>
            <w:r w:rsidR="00132F53">
              <w:rPr>
                <w:noProof/>
              </w:rPr>
              <w:t>129</w:t>
            </w:r>
            <w:r w:rsidR="00FF1679">
              <w:rPr>
                <w:noProof/>
              </w:rPr>
              <w:fldChar w:fldCharType="end"/>
            </w:r>
          </w:hyperlink>
        </w:p>
        <w:p w14:paraId="10A4C73E" w14:textId="5C8F6576"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27" w:history="1">
            <w:r w:rsidR="00FF1679" w:rsidRPr="001D0EB8">
              <w:rPr>
                <w:rStyle w:val="Hyperlink"/>
                <w:rFonts w:cs="Calibri"/>
                <w:noProof/>
              </w:rPr>
              <w:t>3.5.2: Social media data collection</w:t>
            </w:r>
            <w:r w:rsidR="00FF1679">
              <w:rPr>
                <w:noProof/>
              </w:rPr>
              <w:tab/>
            </w:r>
            <w:r w:rsidR="00FF1679">
              <w:rPr>
                <w:noProof/>
              </w:rPr>
              <w:fldChar w:fldCharType="begin"/>
            </w:r>
            <w:r w:rsidR="00FF1679">
              <w:rPr>
                <w:noProof/>
              </w:rPr>
              <w:instrText xml:space="preserve"> PAGEREF _Toc193367227 \h </w:instrText>
            </w:r>
            <w:r w:rsidR="00FF1679">
              <w:rPr>
                <w:noProof/>
              </w:rPr>
            </w:r>
            <w:r w:rsidR="00FF1679">
              <w:rPr>
                <w:noProof/>
              </w:rPr>
              <w:fldChar w:fldCharType="separate"/>
            </w:r>
            <w:r w:rsidR="00132F53">
              <w:rPr>
                <w:noProof/>
              </w:rPr>
              <w:t>130</w:t>
            </w:r>
            <w:r w:rsidR="00FF1679">
              <w:rPr>
                <w:noProof/>
              </w:rPr>
              <w:fldChar w:fldCharType="end"/>
            </w:r>
          </w:hyperlink>
        </w:p>
        <w:p w14:paraId="1C7C61A7" w14:textId="639F1A87"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28" w:history="1">
            <w:r w:rsidR="00FF1679" w:rsidRPr="001D0EB8">
              <w:rPr>
                <w:rStyle w:val="Hyperlink"/>
                <w:rFonts w:cs="Calibri"/>
                <w:noProof/>
              </w:rPr>
              <w:t>3.5.3: Researchers’ reflections and positionality</w:t>
            </w:r>
            <w:r w:rsidR="00FF1679">
              <w:rPr>
                <w:noProof/>
              </w:rPr>
              <w:tab/>
            </w:r>
            <w:r w:rsidR="00FF1679">
              <w:rPr>
                <w:noProof/>
              </w:rPr>
              <w:fldChar w:fldCharType="begin"/>
            </w:r>
            <w:r w:rsidR="00FF1679">
              <w:rPr>
                <w:noProof/>
              </w:rPr>
              <w:instrText xml:space="preserve"> PAGEREF _Toc193367228 \h </w:instrText>
            </w:r>
            <w:r w:rsidR="00FF1679">
              <w:rPr>
                <w:noProof/>
              </w:rPr>
            </w:r>
            <w:r w:rsidR="00FF1679">
              <w:rPr>
                <w:noProof/>
              </w:rPr>
              <w:fldChar w:fldCharType="separate"/>
            </w:r>
            <w:r w:rsidR="00132F53">
              <w:rPr>
                <w:noProof/>
              </w:rPr>
              <w:t>130</w:t>
            </w:r>
            <w:r w:rsidR="00FF1679">
              <w:rPr>
                <w:noProof/>
              </w:rPr>
              <w:fldChar w:fldCharType="end"/>
            </w:r>
          </w:hyperlink>
        </w:p>
        <w:p w14:paraId="6ABB0C1F" w14:textId="73E396C9"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29" w:history="1">
            <w:r w:rsidR="00FF1679" w:rsidRPr="001D0EB8">
              <w:rPr>
                <w:rStyle w:val="Hyperlink"/>
                <w:rFonts w:cs="Calibri"/>
                <w:noProof/>
              </w:rPr>
              <w:t>3.6: Conclusion</w:t>
            </w:r>
            <w:r w:rsidR="00FF1679">
              <w:rPr>
                <w:noProof/>
              </w:rPr>
              <w:tab/>
            </w:r>
            <w:r w:rsidR="00FF1679">
              <w:rPr>
                <w:noProof/>
              </w:rPr>
              <w:fldChar w:fldCharType="begin"/>
            </w:r>
            <w:r w:rsidR="00FF1679">
              <w:rPr>
                <w:noProof/>
              </w:rPr>
              <w:instrText xml:space="preserve"> PAGEREF _Toc193367229 \h </w:instrText>
            </w:r>
            <w:r w:rsidR="00FF1679">
              <w:rPr>
                <w:noProof/>
              </w:rPr>
            </w:r>
            <w:r w:rsidR="00FF1679">
              <w:rPr>
                <w:noProof/>
              </w:rPr>
              <w:fldChar w:fldCharType="separate"/>
            </w:r>
            <w:r w:rsidR="00132F53">
              <w:rPr>
                <w:noProof/>
              </w:rPr>
              <w:t>132</w:t>
            </w:r>
            <w:r w:rsidR="00FF1679">
              <w:rPr>
                <w:noProof/>
              </w:rPr>
              <w:fldChar w:fldCharType="end"/>
            </w:r>
          </w:hyperlink>
        </w:p>
        <w:p w14:paraId="24CCF3E7" w14:textId="4EDC590A" w:rsidR="00FF1679" w:rsidRDefault="00000000">
          <w:pPr>
            <w:pStyle w:val="TOC1"/>
            <w:rPr>
              <w:rFonts w:asciiTheme="minorHAnsi" w:eastAsiaTheme="minorEastAsia" w:hAnsiTheme="minorHAnsi" w:cstheme="minorBidi"/>
              <w:noProof/>
              <w:kern w:val="2"/>
              <w:lang w:eastAsia="zh-CN"/>
              <w14:ligatures w14:val="standardContextual"/>
            </w:rPr>
          </w:pPr>
          <w:hyperlink w:anchor="_Toc193367230" w:history="1">
            <w:r w:rsidR="00FF1679" w:rsidRPr="001D0EB8">
              <w:rPr>
                <w:rStyle w:val="Hyperlink"/>
                <w:rFonts w:cs="Calibri"/>
                <w:noProof/>
              </w:rPr>
              <w:t>Chapter 4: What is SYFR’s communication strategy for building community disaster resilience?</w:t>
            </w:r>
            <w:r w:rsidR="00FF1679">
              <w:rPr>
                <w:noProof/>
              </w:rPr>
              <w:tab/>
            </w:r>
            <w:r w:rsidR="00FF1679">
              <w:rPr>
                <w:noProof/>
              </w:rPr>
              <w:fldChar w:fldCharType="begin"/>
            </w:r>
            <w:r w:rsidR="00FF1679">
              <w:rPr>
                <w:noProof/>
              </w:rPr>
              <w:instrText xml:space="preserve"> PAGEREF _Toc193367230 \h </w:instrText>
            </w:r>
            <w:r w:rsidR="00FF1679">
              <w:rPr>
                <w:noProof/>
              </w:rPr>
            </w:r>
            <w:r w:rsidR="00FF1679">
              <w:rPr>
                <w:noProof/>
              </w:rPr>
              <w:fldChar w:fldCharType="separate"/>
            </w:r>
            <w:r w:rsidR="00132F53">
              <w:rPr>
                <w:noProof/>
              </w:rPr>
              <w:t>134</w:t>
            </w:r>
            <w:r w:rsidR="00FF1679">
              <w:rPr>
                <w:noProof/>
              </w:rPr>
              <w:fldChar w:fldCharType="end"/>
            </w:r>
          </w:hyperlink>
        </w:p>
        <w:p w14:paraId="65B5BB4F" w14:textId="0F7332F2"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31" w:history="1">
            <w:r w:rsidR="00FF1679" w:rsidRPr="001D0EB8">
              <w:rPr>
                <w:rStyle w:val="Hyperlink"/>
                <w:noProof/>
              </w:rPr>
              <w:t>4.1: Introduction</w:t>
            </w:r>
            <w:r w:rsidR="00FF1679">
              <w:rPr>
                <w:noProof/>
              </w:rPr>
              <w:tab/>
            </w:r>
            <w:r w:rsidR="00FF1679">
              <w:rPr>
                <w:noProof/>
              </w:rPr>
              <w:fldChar w:fldCharType="begin"/>
            </w:r>
            <w:r w:rsidR="00FF1679">
              <w:rPr>
                <w:noProof/>
              </w:rPr>
              <w:instrText xml:space="preserve"> PAGEREF _Toc193367231 \h </w:instrText>
            </w:r>
            <w:r w:rsidR="00FF1679">
              <w:rPr>
                <w:noProof/>
              </w:rPr>
            </w:r>
            <w:r w:rsidR="00FF1679">
              <w:rPr>
                <w:noProof/>
              </w:rPr>
              <w:fldChar w:fldCharType="separate"/>
            </w:r>
            <w:r w:rsidR="00132F53">
              <w:rPr>
                <w:noProof/>
              </w:rPr>
              <w:t>134</w:t>
            </w:r>
            <w:r w:rsidR="00FF1679">
              <w:rPr>
                <w:noProof/>
              </w:rPr>
              <w:fldChar w:fldCharType="end"/>
            </w:r>
          </w:hyperlink>
        </w:p>
        <w:p w14:paraId="07DFB01A" w14:textId="3A595D1B"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32" w:history="1">
            <w:r w:rsidR="00FF1679" w:rsidRPr="001D0EB8">
              <w:rPr>
                <w:rStyle w:val="Hyperlink"/>
                <w:noProof/>
              </w:rPr>
              <w:t>4.1.1: Contribution to the literature</w:t>
            </w:r>
            <w:r w:rsidR="00FF1679">
              <w:rPr>
                <w:noProof/>
              </w:rPr>
              <w:tab/>
            </w:r>
            <w:r w:rsidR="00FF1679">
              <w:rPr>
                <w:noProof/>
              </w:rPr>
              <w:fldChar w:fldCharType="begin"/>
            </w:r>
            <w:r w:rsidR="00FF1679">
              <w:rPr>
                <w:noProof/>
              </w:rPr>
              <w:instrText xml:space="preserve"> PAGEREF _Toc193367232 \h </w:instrText>
            </w:r>
            <w:r w:rsidR="00FF1679">
              <w:rPr>
                <w:noProof/>
              </w:rPr>
            </w:r>
            <w:r w:rsidR="00FF1679">
              <w:rPr>
                <w:noProof/>
              </w:rPr>
              <w:fldChar w:fldCharType="separate"/>
            </w:r>
            <w:r w:rsidR="00132F53">
              <w:rPr>
                <w:noProof/>
              </w:rPr>
              <w:t>135</w:t>
            </w:r>
            <w:r w:rsidR="00FF1679">
              <w:rPr>
                <w:noProof/>
              </w:rPr>
              <w:fldChar w:fldCharType="end"/>
            </w:r>
          </w:hyperlink>
        </w:p>
        <w:p w14:paraId="2B73863A" w14:textId="1F42262B"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33" w:history="1">
            <w:r w:rsidR="00FF1679" w:rsidRPr="001D0EB8">
              <w:rPr>
                <w:rStyle w:val="Hyperlink"/>
                <w:noProof/>
              </w:rPr>
              <w:t xml:space="preserve">4.2: How do SYFR discuss and incorporate </w:t>
            </w:r>
            <w:r w:rsidR="00FF1679" w:rsidRPr="001D0EB8">
              <w:rPr>
                <w:rStyle w:val="Hyperlink"/>
                <w:i/>
                <w:iCs/>
                <w:noProof/>
              </w:rPr>
              <w:t xml:space="preserve">resilience </w:t>
            </w:r>
            <w:r w:rsidR="00FF1679" w:rsidRPr="001D0EB8">
              <w:rPr>
                <w:rStyle w:val="Hyperlink"/>
                <w:noProof/>
              </w:rPr>
              <w:t>into their operations?</w:t>
            </w:r>
            <w:r w:rsidR="00FF1679">
              <w:rPr>
                <w:noProof/>
              </w:rPr>
              <w:tab/>
            </w:r>
            <w:r w:rsidR="00FF1679">
              <w:rPr>
                <w:noProof/>
              </w:rPr>
              <w:fldChar w:fldCharType="begin"/>
            </w:r>
            <w:r w:rsidR="00FF1679">
              <w:rPr>
                <w:noProof/>
              </w:rPr>
              <w:instrText xml:space="preserve"> PAGEREF _Toc193367233 \h </w:instrText>
            </w:r>
            <w:r w:rsidR="00FF1679">
              <w:rPr>
                <w:noProof/>
              </w:rPr>
            </w:r>
            <w:r w:rsidR="00FF1679">
              <w:rPr>
                <w:noProof/>
              </w:rPr>
              <w:fldChar w:fldCharType="separate"/>
            </w:r>
            <w:r w:rsidR="00132F53">
              <w:rPr>
                <w:noProof/>
              </w:rPr>
              <w:t>136</w:t>
            </w:r>
            <w:r w:rsidR="00FF1679">
              <w:rPr>
                <w:noProof/>
              </w:rPr>
              <w:fldChar w:fldCharType="end"/>
            </w:r>
          </w:hyperlink>
        </w:p>
        <w:p w14:paraId="09F11C11" w14:textId="0649B7AF"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34" w:history="1">
            <w:r w:rsidR="00FF1679" w:rsidRPr="001D0EB8">
              <w:rPr>
                <w:rStyle w:val="Hyperlink"/>
                <w:noProof/>
              </w:rPr>
              <w:t>4.2.1: Is resilience an appropriate analytical lens for this research?</w:t>
            </w:r>
            <w:r w:rsidR="00FF1679">
              <w:rPr>
                <w:noProof/>
              </w:rPr>
              <w:tab/>
            </w:r>
            <w:r w:rsidR="00FF1679">
              <w:rPr>
                <w:noProof/>
              </w:rPr>
              <w:fldChar w:fldCharType="begin"/>
            </w:r>
            <w:r w:rsidR="00FF1679">
              <w:rPr>
                <w:noProof/>
              </w:rPr>
              <w:instrText xml:space="preserve"> PAGEREF _Toc193367234 \h </w:instrText>
            </w:r>
            <w:r w:rsidR="00FF1679">
              <w:rPr>
                <w:noProof/>
              </w:rPr>
            </w:r>
            <w:r w:rsidR="00FF1679">
              <w:rPr>
                <w:noProof/>
              </w:rPr>
              <w:fldChar w:fldCharType="separate"/>
            </w:r>
            <w:r w:rsidR="00132F53">
              <w:rPr>
                <w:noProof/>
              </w:rPr>
              <w:t>140</w:t>
            </w:r>
            <w:r w:rsidR="00FF1679">
              <w:rPr>
                <w:noProof/>
              </w:rPr>
              <w:fldChar w:fldCharType="end"/>
            </w:r>
          </w:hyperlink>
        </w:p>
        <w:p w14:paraId="01CE661C" w14:textId="265C3560"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35" w:history="1">
            <w:r w:rsidR="00FF1679" w:rsidRPr="001D0EB8">
              <w:rPr>
                <w:rStyle w:val="Hyperlink"/>
                <w:noProof/>
              </w:rPr>
              <w:t>4.3: How does SYFR work with the community?</w:t>
            </w:r>
            <w:r w:rsidR="00FF1679">
              <w:rPr>
                <w:noProof/>
              </w:rPr>
              <w:tab/>
            </w:r>
            <w:r w:rsidR="00FF1679">
              <w:rPr>
                <w:noProof/>
              </w:rPr>
              <w:fldChar w:fldCharType="begin"/>
            </w:r>
            <w:r w:rsidR="00FF1679">
              <w:rPr>
                <w:noProof/>
              </w:rPr>
              <w:instrText xml:space="preserve"> PAGEREF _Toc193367235 \h </w:instrText>
            </w:r>
            <w:r w:rsidR="00FF1679">
              <w:rPr>
                <w:noProof/>
              </w:rPr>
            </w:r>
            <w:r w:rsidR="00FF1679">
              <w:rPr>
                <w:noProof/>
              </w:rPr>
              <w:fldChar w:fldCharType="separate"/>
            </w:r>
            <w:r w:rsidR="00132F53">
              <w:rPr>
                <w:noProof/>
              </w:rPr>
              <w:t>144</w:t>
            </w:r>
            <w:r w:rsidR="00FF1679">
              <w:rPr>
                <w:noProof/>
              </w:rPr>
              <w:fldChar w:fldCharType="end"/>
            </w:r>
          </w:hyperlink>
        </w:p>
        <w:p w14:paraId="663000E8" w14:textId="3AB82FF2"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36" w:history="1">
            <w:r w:rsidR="00FF1679" w:rsidRPr="001D0EB8">
              <w:rPr>
                <w:rStyle w:val="Hyperlink"/>
                <w:noProof/>
              </w:rPr>
              <w:t>4.3.1: Business Continuity and Resilience team</w:t>
            </w:r>
            <w:r w:rsidR="00FF1679">
              <w:rPr>
                <w:noProof/>
              </w:rPr>
              <w:tab/>
            </w:r>
            <w:r w:rsidR="00FF1679">
              <w:rPr>
                <w:noProof/>
              </w:rPr>
              <w:fldChar w:fldCharType="begin"/>
            </w:r>
            <w:r w:rsidR="00FF1679">
              <w:rPr>
                <w:noProof/>
              </w:rPr>
              <w:instrText xml:space="preserve"> PAGEREF _Toc193367236 \h </w:instrText>
            </w:r>
            <w:r w:rsidR="00FF1679">
              <w:rPr>
                <w:noProof/>
              </w:rPr>
            </w:r>
            <w:r w:rsidR="00FF1679">
              <w:rPr>
                <w:noProof/>
              </w:rPr>
              <w:fldChar w:fldCharType="separate"/>
            </w:r>
            <w:r w:rsidR="00132F53">
              <w:rPr>
                <w:noProof/>
              </w:rPr>
              <w:t>144</w:t>
            </w:r>
            <w:r w:rsidR="00FF1679">
              <w:rPr>
                <w:noProof/>
              </w:rPr>
              <w:fldChar w:fldCharType="end"/>
            </w:r>
          </w:hyperlink>
        </w:p>
        <w:p w14:paraId="5A9FC216" w14:textId="6E4E5A62"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37" w:history="1">
            <w:r w:rsidR="00FF1679" w:rsidRPr="001D0EB8">
              <w:rPr>
                <w:rStyle w:val="Hyperlink"/>
                <w:noProof/>
              </w:rPr>
              <w:t>4.3.2: Community Safety team – “Boots on the ground”</w:t>
            </w:r>
            <w:r w:rsidR="00FF1679">
              <w:rPr>
                <w:noProof/>
              </w:rPr>
              <w:tab/>
            </w:r>
            <w:r w:rsidR="00FF1679">
              <w:rPr>
                <w:noProof/>
              </w:rPr>
              <w:fldChar w:fldCharType="begin"/>
            </w:r>
            <w:r w:rsidR="00FF1679">
              <w:rPr>
                <w:noProof/>
              </w:rPr>
              <w:instrText xml:space="preserve"> PAGEREF _Toc193367237 \h </w:instrText>
            </w:r>
            <w:r w:rsidR="00FF1679">
              <w:rPr>
                <w:noProof/>
              </w:rPr>
            </w:r>
            <w:r w:rsidR="00FF1679">
              <w:rPr>
                <w:noProof/>
              </w:rPr>
              <w:fldChar w:fldCharType="separate"/>
            </w:r>
            <w:r w:rsidR="00132F53">
              <w:rPr>
                <w:noProof/>
              </w:rPr>
              <w:t>147</w:t>
            </w:r>
            <w:r w:rsidR="00FF1679">
              <w:rPr>
                <w:noProof/>
              </w:rPr>
              <w:fldChar w:fldCharType="end"/>
            </w:r>
          </w:hyperlink>
        </w:p>
        <w:p w14:paraId="3DE5B5DC" w14:textId="2972F5DC"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38" w:history="1">
            <w:r w:rsidR="00FF1679" w:rsidRPr="001D0EB8">
              <w:rPr>
                <w:rStyle w:val="Hyperlink"/>
                <w:noProof/>
              </w:rPr>
              <w:t>4.3.3: Communications team</w:t>
            </w:r>
            <w:r w:rsidR="00FF1679">
              <w:rPr>
                <w:noProof/>
              </w:rPr>
              <w:tab/>
            </w:r>
            <w:r w:rsidR="00FF1679">
              <w:rPr>
                <w:noProof/>
              </w:rPr>
              <w:fldChar w:fldCharType="begin"/>
            </w:r>
            <w:r w:rsidR="00FF1679">
              <w:rPr>
                <w:noProof/>
              </w:rPr>
              <w:instrText xml:space="preserve"> PAGEREF _Toc193367238 \h </w:instrText>
            </w:r>
            <w:r w:rsidR="00FF1679">
              <w:rPr>
                <w:noProof/>
              </w:rPr>
            </w:r>
            <w:r w:rsidR="00FF1679">
              <w:rPr>
                <w:noProof/>
              </w:rPr>
              <w:fldChar w:fldCharType="separate"/>
            </w:r>
            <w:r w:rsidR="00132F53">
              <w:rPr>
                <w:noProof/>
              </w:rPr>
              <w:t>149</w:t>
            </w:r>
            <w:r w:rsidR="00FF1679">
              <w:rPr>
                <w:noProof/>
              </w:rPr>
              <w:fldChar w:fldCharType="end"/>
            </w:r>
          </w:hyperlink>
        </w:p>
        <w:p w14:paraId="307E9A08" w14:textId="7D3A7189"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39" w:history="1">
            <w:r w:rsidR="00FF1679" w:rsidRPr="001D0EB8">
              <w:rPr>
                <w:rStyle w:val="Hyperlink"/>
                <w:noProof/>
              </w:rPr>
              <w:t>4.4:  Discussion &amp; Conclusion</w:t>
            </w:r>
            <w:r w:rsidR="00FF1679">
              <w:rPr>
                <w:noProof/>
              </w:rPr>
              <w:tab/>
            </w:r>
            <w:r w:rsidR="00FF1679">
              <w:rPr>
                <w:noProof/>
              </w:rPr>
              <w:fldChar w:fldCharType="begin"/>
            </w:r>
            <w:r w:rsidR="00FF1679">
              <w:rPr>
                <w:noProof/>
              </w:rPr>
              <w:instrText xml:space="preserve"> PAGEREF _Toc193367239 \h </w:instrText>
            </w:r>
            <w:r w:rsidR="00FF1679">
              <w:rPr>
                <w:noProof/>
              </w:rPr>
            </w:r>
            <w:r w:rsidR="00FF1679">
              <w:rPr>
                <w:noProof/>
              </w:rPr>
              <w:fldChar w:fldCharType="separate"/>
            </w:r>
            <w:r w:rsidR="00132F53">
              <w:rPr>
                <w:noProof/>
              </w:rPr>
              <w:t>170</w:t>
            </w:r>
            <w:r w:rsidR="00FF1679">
              <w:rPr>
                <w:noProof/>
              </w:rPr>
              <w:fldChar w:fldCharType="end"/>
            </w:r>
          </w:hyperlink>
        </w:p>
        <w:p w14:paraId="03E7E7F9" w14:textId="34F3E613" w:rsidR="00FF1679" w:rsidRDefault="00000000">
          <w:pPr>
            <w:pStyle w:val="TOC1"/>
            <w:rPr>
              <w:rFonts w:asciiTheme="minorHAnsi" w:eastAsiaTheme="minorEastAsia" w:hAnsiTheme="minorHAnsi" w:cstheme="minorBidi"/>
              <w:noProof/>
              <w:kern w:val="2"/>
              <w:lang w:eastAsia="zh-CN"/>
              <w14:ligatures w14:val="standardContextual"/>
            </w:rPr>
          </w:pPr>
          <w:hyperlink w:anchor="_Toc193367240" w:history="1">
            <w:r w:rsidR="00FF1679" w:rsidRPr="001D0EB8">
              <w:rPr>
                <w:rStyle w:val="Hyperlink"/>
                <w:noProof/>
              </w:rPr>
              <w:t>Chapter 5: What influences and shapes SYFR’s communication strategy?</w:t>
            </w:r>
            <w:r w:rsidR="00FF1679">
              <w:rPr>
                <w:noProof/>
              </w:rPr>
              <w:tab/>
            </w:r>
            <w:r w:rsidR="00FF1679">
              <w:rPr>
                <w:noProof/>
              </w:rPr>
              <w:fldChar w:fldCharType="begin"/>
            </w:r>
            <w:r w:rsidR="00FF1679">
              <w:rPr>
                <w:noProof/>
              </w:rPr>
              <w:instrText xml:space="preserve"> PAGEREF _Toc193367240 \h </w:instrText>
            </w:r>
            <w:r w:rsidR="00FF1679">
              <w:rPr>
                <w:noProof/>
              </w:rPr>
            </w:r>
            <w:r w:rsidR="00FF1679">
              <w:rPr>
                <w:noProof/>
              </w:rPr>
              <w:fldChar w:fldCharType="separate"/>
            </w:r>
            <w:r w:rsidR="00132F53">
              <w:rPr>
                <w:noProof/>
              </w:rPr>
              <w:t>177</w:t>
            </w:r>
            <w:r w:rsidR="00FF1679">
              <w:rPr>
                <w:noProof/>
              </w:rPr>
              <w:fldChar w:fldCharType="end"/>
            </w:r>
          </w:hyperlink>
        </w:p>
        <w:p w14:paraId="72BADE5F" w14:textId="7FD64A60"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41" w:history="1">
            <w:r w:rsidR="00FF1679" w:rsidRPr="001D0EB8">
              <w:rPr>
                <w:rStyle w:val="Hyperlink"/>
                <w:noProof/>
              </w:rPr>
              <w:t>5.1: Introduction</w:t>
            </w:r>
            <w:r w:rsidR="00FF1679">
              <w:rPr>
                <w:noProof/>
              </w:rPr>
              <w:tab/>
            </w:r>
            <w:r w:rsidR="00FF1679">
              <w:rPr>
                <w:noProof/>
              </w:rPr>
              <w:fldChar w:fldCharType="begin"/>
            </w:r>
            <w:r w:rsidR="00FF1679">
              <w:rPr>
                <w:noProof/>
              </w:rPr>
              <w:instrText xml:space="preserve"> PAGEREF _Toc193367241 \h </w:instrText>
            </w:r>
            <w:r w:rsidR="00FF1679">
              <w:rPr>
                <w:noProof/>
              </w:rPr>
            </w:r>
            <w:r w:rsidR="00FF1679">
              <w:rPr>
                <w:noProof/>
              </w:rPr>
              <w:fldChar w:fldCharType="separate"/>
            </w:r>
            <w:r w:rsidR="00132F53">
              <w:rPr>
                <w:noProof/>
              </w:rPr>
              <w:t>177</w:t>
            </w:r>
            <w:r w:rsidR="00FF1679">
              <w:rPr>
                <w:noProof/>
              </w:rPr>
              <w:fldChar w:fldCharType="end"/>
            </w:r>
          </w:hyperlink>
        </w:p>
        <w:p w14:paraId="05F1D515" w14:textId="505A2DA2"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42" w:history="1">
            <w:r w:rsidR="00FF1679" w:rsidRPr="001D0EB8">
              <w:rPr>
                <w:rStyle w:val="Hyperlink"/>
                <w:noProof/>
              </w:rPr>
              <w:t>5.2: Societal logics</w:t>
            </w:r>
            <w:r w:rsidR="00FF1679">
              <w:rPr>
                <w:noProof/>
              </w:rPr>
              <w:tab/>
            </w:r>
            <w:r w:rsidR="00FF1679">
              <w:rPr>
                <w:noProof/>
              </w:rPr>
              <w:fldChar w:fldCharType="begin"/>
            </w:r>
            <w:r w:rsidR="00FF1679">
              <w:rPr>
                <w:noProof/>
              </w:rPr>
              <w:instrText xml:space="preserve"> PAGEREF _Toc193367242 \h </w:instrText>
            </w:r>
            <w:r w:rsidR="00FF1679">
              <w:rPr>
                <w:noProof/>
              </w:rPr>
            </w:r>
            <w:r w:rsidR="00FF1679">
              <w:rPr>
                <w:noProof/>
              </w:rPr>
              <w:fldChar w:fldCharType="separate"/>
            </w:r>
            <w:r w:rsidR="00132F53">
              <w:rPr>
                <w:noProof/>
              </w:rPr>
              <w:t>179</w:t>
            </w:r>
            <w:r w:rsidR="00FF1679">
              <w:rPr>
                <w:noProof/>
              </w:rPr>
              <w:fldChar w:fldCharType="end"/>
            </w:r>
          </w:hyperlink>
        </w:p>
        <w:p w14:paraId="29882FC4" w14:textId="381F64D3"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43" w:history="1">
            <w:r w:rsidR="00FF1679" w:rsidRPr="001D0EB8">
              <w:rPr>
                <w:rStyle w:val="Hyperlink"/>
                <w:noProof/>
              </w:rPr>
              <w:t>5.2.1: National Government logic</w:t>
            </w:r>
            <w:r w:rsidR="00FF1679">
              <w:rPr>
                <w:noProof/>
              </w:rPr>
              <w:tab/>
            </w:r>
            <w:r w:rsidR="00FF1679">
              <w:rPr>
                <w:noProof/>
              </w:rPr>
              <w:fldChar w:fldCharType="begin"/>
            </w:r>
            <w:r w:rsidR="00FF1679">
              <w:rPr>
                <w:noProof/>
              </w:rPr>
              <w:instrText xml:space="preserve"> PAGEREF _Toc193367243 \h </w:instrText>
            </w:r>
            <w:r w:rsidR="00FF1679">
              <w:rPr>
                <w:noProof/>
              </w:rPr>
            </w:r>
            <w:r w:rsidR="00FF1679">
              <w:rPr>
                <w:noProof/>
              </w:rPr>
              <w:fldChar w:fldCharType="separate"/>
            </w:r>
            <w:r w:rsidR="00132F53">
              <w:rPr>
                <w:noProof/>
              </w:rPr>
              <w:t>179</w:t>
            </w:r>
            <w:r w:rsidR="00FF1679">
              <w:rPr>
                <w:noProof/>
              </w:rPr>
              <w:fldChar w:fldCharType="end"/>
            </w:r>
          </w:hyperlink>
        </w:p>
        <w:p w14:paraId="689D4153" w14:textId="6ED5A0D4"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44" w:history="1">
            <w:r w:rsidR="00FF1679" w:rsidRPr="001D0EB8">
              <w:rPr>
                <w:rStyle w:val="Hyperlink"/>
                <w:noProof/>
              </w:rPr>
              <w:t>5.2.2: Community Logic</w:t>
            </w:r>
            <w:r w:rsidR="00FF1679">
              <w:rPr>
                <w:noProof/>
              </w:rPr>
              <w:tab/>
            </w:r>
            <w:r w:rsidR="00FF1679">
              <w:rPr>
                <w:noProof/>
              </w:rPr>
              <w:fldChar w:fldCharType="begin"/>
            </w:r>
            <w:r w:rsidR="00FF1679">
              <w:rPr>
                <w:noProof/>
              </w:rPr>
              <w:instrText xml:space="preserve"> PAGEREF _Toc193367244 \h </w:instrText>
            </w:r>
            <w:r w:rsidR="00FF1679">
              <w:rPr>
                <w:noProof/>
              </w:rPr>
            </w:r>
            <w:r w:rsidR="00FF1679">
              <w:rPr>
                <w:noProof/>
              </w:rPr>
              <w:fldChar w:fldCharType="separate"/>
            </w:r>
            <w:r w:rsidR="00132F53">
              <w:rPr>
                <w:noProof/>
              </w:rPr>
              <w:t>187</w:t>
            </w:r>
            <w:r w:rsidR="00FF1679">
              <w:rPr>
                <w:noProof/>
              </w:rPr>
              <w:fldChar w:fldCharType="end"/>
            </w:r>
          </w:hyperlink>
        </w:p>
        <w:p w14:paraId="73E00629" w14:textId="3B941120"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45" w:history="1">
            <w:r w:rsidR="00FF1679" w:rsidRPr="001D0EB8">
              <w:rPr>
                <w:rStyle w:val="Hyperlink"/>
                <w:noProof/>
              </w:rPr>
              <w:t>5.3: Field-level logics</w:t>
            </w:r>
            <w:r w:rsidR="00FF1679">
              <w:rPr>
                <w:noProof/>
              </w:rPr>
              <w:tab/>
            </w:r>
            <w:r w:rsidR="00FF1679">
              <w:rPr>
                <w:noProof/>
              </w:rPr>
              <w:fldChar w:fldCharType="begin"/>
            </w:r>
            <w:r w:rsidR="00FF1679">
              <w:rPr>
                <w:noProof/>
              </w:rPr>
              <w:instrText xml:space="preserve"> PAGEREF _Toc193367245 \h </w:instrText>
            </w:r>
            <w:r w:rsidR="00FF1679">
              <w:rPr>
                <w:noProof/>
              </w:rPr>
            </w:r>
            <w:r w:rsidR="00FF1679">
              <w:rPr>
                <w:noProof/>
              </w:rPr>
              <w:fldChar w:fldCharType="separate"/>
            </w:r>
            <w:r w:rsidR="00132F53">
              <w:rPr>
                <w:noProof/>
              </w:rPr>
              <w:t>190</w:t>
            </w:r>
            <w:r w:rsidR="00FF1679">
              <w:rPr>
                <w:noProof/>
              </w:rPr>
              <w:fldChar w:fldCharType="end"/>
            </w:r>
          </w:hyperlink>
        </w:p>
        <w:p w14:paraId="74593A25" w14:textId="53A929DC"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46" w:history="1">
            <w:r w:rsidR="00FF1679" w:rsidRPr="001D0EB8">
              <w:rPr>
                <w:rStyle w:val="Hyperlink"/>
                <w:noProof/>
              </w:rPr>
              <w:t>5.3.1: Communication profession logic</w:t>
            </w:r>
            <w:r w:rsidR="00FF1679">
              <w:rPr>
                <w:noProof/>
              </w:rPr>
              <w:tab/>
            </w:r>
            <w:r w:rsidR="00FF1679">
              <w:rPr>
                <w:noProof/>
              </w:rPr>
              <w:fldChar w:fldCharType="begin"/>
            </w:r>
            <w:r w:rsidR="00FF1679">
              <w:rPr>
                <w:noProof/>
              </w:rPr>
              <w:instrText xml:space="preserve"> PAGEREF _Toc193367246 \h </w:instrText>
            </w:r>
            <w:r w:rsidR="00FF1679">
              <w:rPr>
                <w:noProof/>
              </w:rPr>
            </w:r>
            <w:r w:rsidR="00FF1679">
              <w:rPr>
                <w:noProof/>
              </w:rPr>
              <w:fldChar w:fldCharType="separate"/>
            </w:r>
            <w:r w:rsidR="00132F53">
              <w:rPr>
                <w:noProof/>
              </w:rPr>
              <w:t>190</w:t>
            </w:r>
            <w:r w:rsidR="00FF1679">
              <w:rPr>
                <w:noProof/>
              </w:rPr>
              <w:fldChar w:fldCharType="end"/>
            </w:r>
          </w:hyperlink>
        </w:p>
        <w:p w14:paraId="1E1882F9" w14:textId="760FD8CA"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47" w:history="1">
            <w:r w:rsidR="00FF1679" w:rsidRPr="001D0EB8">
              <w:rPr>
                <w:rStyle w:val="Hyperlink"/>
                <w:noProof/>
              </w:rPr>
              <w:t>5.3.2: Team logics – journalism</w:t>
            </w:r>
            <w:r w:rsidR="00FF1679">
              <w:rPr>
                <w:noProof/>
              </w:rPr>
              <w:tab/>
            </w:r>
            <w:r w:rsidR="00FF1679">
              <w:rPr>
                <w:noProof/>
              </w:rPr>
              <w:fldChar w:fldCharType="begin"/>
            </w:r>
            <w:r w:rsidR="00FF1679">
              <w:rPr>
                <w:noProof/>
              </w:rPr>
              <w:instrText xml:space="preserve"> PAGEREF _Toc193367247 \h </w:instrText>
            </w:r>
            <w:r w:rsidR="00FF1679">
              <w:rPr>
                <w:noProof/>
              </w:rPr>
            </w:r>
            <w:r w:rsidR="00FF1679">
              <w:rPr>
                <w:noProof/>
              </w:rPr>
              <w:fldChar w:fldCharType="separate"/>
            </w:r>
            <w:r w:rsidR="00132F53">
              <w:rPr>
                <w:noProof/>
              </w:rPr>
              <w:t>192</w:t>
            </w:r>
            <w:r w:rsidR="00FF1679">
              <w:rPr>
                <w:noProof/>
              </w:rPr>
              <w:fldChar w:fldCharType="end"/>
            </w:r>
          </w:hyperlink>
        </w:p>
        <w:p w14:paraId="2D6542BB" w14:textId="6F44C060"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48" w:history="1">
            <w:r w:rsidR="00FF1679" w:rsidRPr="001D0EB8">
              <w:rPr>
                <w:rStyle w:val="Hyperlink"/>
                <w:noProof/>
              </w:rPr>
              <w:t>5.4: Contextual logics</w:t>
            </w:r>
            <w:r w:rsidR="00FF1679">
              <w:rPr>
                <w:noProof/>
              </w:rPr>
              <w:tab/>
            </w:r>
            <w:r w:rsidR="00FF1679">
              <w:rPr>
                <w:noProof/>
              </w:rPr>
              <w:fldChar w:fldCharType="begin"/>
            </w:r>
            <w:r w:rsidR="00FF1679">
              <w:rPr>
                <w:noProof/>
              </w:rPr>
              <w:instrText xml:space="preserve"> PAGEREF _Toc193367248 \h </w:instrText>
            </w:r>
            <w:r w:rsidR="00FF1679">
              <w:rPr>
                <w:noProof/>
              </w:rPr>
            </w:r>
            <w:r w:rsidR="00FF1679">
              <w:rPr>
                <w:noProof/>
              </w:rPr>
              <w:fldChar w:fldCharType="separate"/>
            </w:r>
            <w:r w:rsidR="00132F53">
              <w:rPr>
                <w:noProof/>
              </w:rPr>
              <w:t>195</w:t>
            </w:r>
            <w:r w:rsidR="00FF1679">
              <w:rPr>
                <w:noProof/>
              </w:rPr>
              <w:fldChar w:fldCharType="end"/>
            </w:r>
          </w:hyperlink>
        </w:p>
        <w:p w14:paraId="20BDC339" w14:textId="64249FF0"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49" w:history="1">
            <w:r w:rsidR="00FF1679" w:rsidRPr="001D0EB8">
              <w:rPr>
                <w:rStyle w:val="Hyperlink"/>
                <w:noProof/>
              </w:rPr>
              <w:t>5.4.1: COVID-19</w:t>
            </w:r>
            <w:r w:rsidR="00FF1679">
              <w:rPr>
                <w:noProof/>
              </w:rPr>
              <w:tab/>
            </w:r>
            <w:r w:rsidR="00FF1679">
              <w:rPr>
                <w:noProof/>
              </w:rPr>
              <w:fldChar w:fldCharType="begin"/>
            </w:r>
            <w:r w:rsidR="00FF1679">
              <w:rPr>
                <w:noProof/>
              </w:rPr>
              <w:instrText xml:space="preserve"> PAGEREF _Toc193367249 \h </w:instrText>
            </w:r>
            <w:r w:rsidR="00FF1679">
              <w:rPr>
                <w:noProof/>
              </w:rPr>
            </w:r>
            <w:r w:rsidR="00FF1679">
              <w:rPr>
                <w:noProof/>
              </w:rPr>
              <w:fldChar w:fldCharType="separate"/>
            </w:r>
            <w:r w:rsidR="00132F53">
              <w:rPr>
                <w:noProof/>
              </w:rPr>
              <w:t>195</w:t>
            </w:r>
            <w:r w:rsidR="00FF1679">
              <w:rPr>
                <w:noProof/>
              </w:rPr>
              <w:fldChar w:fldCharType="end"/>
            </w:r>
          </w:hyperlink>
        </w:p>
        <w:p w14:paraId="2AF71988" w14:textId="094F1B8D"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50" w:history="1">
            <w:r w:rsidR="00FF1679" w:rsidRPr="001D0EB8">
              <w:rPr>
                <w:rStyle w:val="Hyperlink"/>
                <w:noProof/>
              </w:rPr>
              <w:t>5.5: Discussion &amp; Conclusion</w:t>
            </w:r>
            <w:r w:rsidR="00FF1679">
              <w:rPr>
                <w:noProof/>
              </w:rPr>
              <w:tab/>
            </w:r>
            <w:r w:rsidR="00FF1679">
              <w:rPr>
                <w:noProof/>
              </w:rPr>
              <w:fldChar w:fldCharType="begin"/>
            </w:r>
            <w:r w:rsidR="00FF1679">
              <w:rPr>
                <w:noProof/>
              </w:rPr>
              <w:instrText xml:space="preserve"> PAGEREF _Toc193367250 \h </w:instrText>
            </w:r>
            <w:r w:rsidR="00FF1679">
              <w:rPr>
                <w:noProof/>
              </w:rPr>
            </w:r>
            <w:r w:rsidR="00FF1679">
              <w:rPr>
                <w:noProof/>
              </w:rPr>
              <w:fldChar w:fldCharType="separate"/>
            </w:r>
            <w:r w:rsidR="00132F53">
              <w:rPr>
                <w:noProof/>
              </w:rPr>
              <w:t>201</w:t>
            </w:r>
            <w:r w:rsidR="00FF1679">
              <w:rPr>
                <w:noProof/>
              </w:rPr>
              <w:fldChar w:fldCharType="end"/>
            </w:r>
          </w:hyperlink>
        </w:p>
        <w:p w14:paraId="649B363E" w14:textId="5637243C" w:rsidR="00FF1679" w:rsidRDefault="00000000">
          <w:pPr>
            <w:pStyle w:val="TOC1"/>
            <w:rPr>
              <w:rFonts w:asciiTheme="minorHAnsi" w:eastAsiaTheme="minorEastAsia" w:hAnsiTheme="minorHAnsi" w:cstheme="minorBidi"/>
              <w:noProof/>
              <w:kern w:val="2"/>
              <w:lang w:eastAsia="zh-CN"/>
              <w14:ligatures w14:val="standardContextual"/>
            </w:rPr>
          </w:pPr>
          <w:hyperlink w:anchor="_Toc193367251" w:history="1">
            <w:r w:rsidR="00FF1679" w:rsidRPr="001D0EB8">
              <w:rPr>
                <w:rStyle w:val="Hyperlink"/>
                <w:noProof/>
              </w:rPr>
              <w:t>Chapter 6: Who is engaging with SYFR’s content on social media and what implications are there for community resilience?</w:t>
            </w:r>
            <w:r w:rsidR="00FF1679">
              <w:rPr>
                <w:noProof/>
              </w:rPr>
              <w:tab/>
            </w:r>
            <w:r w:rsidR="00FF1679">
              <w:rPr>
                <w:noProof/>
              </w:rPr>
              <w:fldChar w:fldCharType="begin"/>
            </w:r>
            <w:r w:rsidR="00FF1679">
              <w:rPr>
                <w:noProof/>
              </w:rPr>
              <w:instrText xml:space="preserve"> PAGEREF _Toc193367251 \h </w:instrText>
            </w:r>
            <w:r w:rsidR="00FF1679">
              <w:rPr>
                <w:noProof/>
              </w:rPr>
            </w:r>
            <w:r w:rsidR="00FF1679">
              <w:rPr>
                <w:noProof/>
              </w:rPr>
              <w:fldChar w:fldCharType="separate"/>
            </w:r>
            <w:r w:rsidR="00132F53">
              <w:rPr>
                <w:noProof/>
              </w:rPr>
              <w:t>208</w:t>
            </w:r>
            <w:r w:rsidR="00FF1679">
              <w:rPr>
                <w:noProof/>
              </w:rPr>
              <w:fldChar w:fldCharType="end"/>
            </w:r>
          </w:hyperlink>
        </w:p>
        <w:p w14:paraId="317CDF70" w14:textId="735098B6"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52" w:history="1">
            <w:r w:rsidR="00FF1679" w:rsidRPr="001D0EB8">
              <w:rPr>
                <w:rStyle w:val="Hyperlink"/>
                <w:noProof/>
              </w:rPr>
              <w:t>6.1: Introduction</w:t>
            </w:r>
            <w:r w:rsidR="00FF1679">
              <w:rPr>
                <w:noProof/>
              </w:rPr>
              <w:tab/>
            </w:r>
            <w:r w:rsidR="00FF1679">
              <w:rPr>
                <w:noProof/>
              </w:rPr>
              <w:fldChar w:fldCharType="begin"/>
            </w:r>
            <w:r w:rsidR="00FF1679">
              <w:rPr>
                <w:noProof/>
              </w:rPr>
              <w:instrText xml:space="preserve"> PAGEREF _Toc193367252 \h </w:instrText>
            </w:r>
            <w:r w:rsidR="00FF1679">
              <w:rPr>
                <w:noProof/>
              </w:rPr>
            </w:r>
            <w:r w:rsidR="00FF1679">
              <w:rPr>
                <w:noProof/>
              </w:rPr>
              <w:fldChar w:fldCharType="separate"/>
            </w:r>
            <w:r w:rsidR="00132F53">
              <w:rPr>
                <w:noProof/>
              </w:rPr>
              <w:t>208</w:t>
            </w:r>
            <w:r w:rsidR="00FF1679">
              <w:rPr>
                <w:noProof/>
              </w:rPr>
              <w:fldChar w:fldCharType="end"/>
            </w:r>
          </w:hyperlink>
        </w:p>
        <w:p w14:paraId="1E948948" w14:textId="63D7B5F8"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53" w:history="1">
            <w:r w:rsidR="00FF1679" w:rsidRPr="001D0EB8">
              <w:rPr>
                <w:rStyle w:val="Hyperlink"/>
                <w:noProof/>
              </w:rPr>
              <w:t>6.1.1: Contributions to the literature and policy.</w:t>
            </w:r>
            <w:r w:rsidR="00FF1679">
              <w:rPr>
                <w:noProof/>
              </w:rPr>
              <w:tab/>
            </w:r>
            <w:r w:rsidR="00FF1679">
              <w:rPr>
                <w:noProof/>
              </w:rPr>
              <w:fldChar w:fldCharType="begin"/>
            </w:r>
            <w:r w:rsidR="00FF1679">
              <w:rPr>
                <w:noProof/>
              </w:rPr>
              <w:instrText xml:space="preserve"> PAGEREF _Toc193367253 \h </w:instrText>
            </w:r>
            <w:r w:rsidR="00FF1679">
              <w:rPr>
                <w:noProof/>
              </w:rPr>
            </w:r>
            <w:r w:rsidR="00FF1679">
              <w:rPr>
                <w:noProof/>
              </w:rPr>
              <w:fldChar w:fldCharType="separate"/>
            </w:r>
            <w:r w:rsidR="00132F53">
              <w:rPr>
                <w:noProof/>
              </w:rPr>
              <w:t>209</w:t>
            </w:r>
            <w:r w:rsidR="00FF1679">
              <w:rPr>
                <w:noProof/>
              </w:rPr>
              <w:fldChar w:fldCharType="end"/>
            </w:r>
          </w:hyperlink>
        </w:p>
        <w:p w14:paraId="43634E79" w14:textId="19A08CEE"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54" w:history="1">
            <w:r w:rsidR="00FF1679" w:rsidRPr="001D0EB8">
              <w:rPr>
                <w:rStyle w:val="Hyperlink"/>
                <w:noProof/>
              </w:rPr>
              <w:t>6.2: SYFR’s online community</w:t>
            </w:r>
            <w:r w:rsidR="00FF1679">
              <w:rPr>
                <w:noProof/>
              </w:rPr>
              <w:tab/>
            </w:r>
            <w:r w:rsidR="00FF1679">
              <w:rPr>
                <w:noProof/>
              </w:rPr>
              <w:fldChar w:fldCharType="begin"/>
            </w:r>
            <w:r w:rsidR="00FF1679">
              <w:rPr>
                <w:noProof/>
              </w:rPr>
              <w:instrText xml:space="preserve"> PAGEREF _Toc193367254 \h </w:instrText>
            </w:r>
            <w:r w:rsidR="00FF1679">
              <w:rPr>
                <w:noProof/>
              </w:rPr>
            </w:r>
            <w:r w:rsidR="00FF1679">
              <w:rPr>
                <w:noProof/>
              </w:rPr>
              <w:fldChar w:fldCharType="separate"/>
            </w:r>
            <w:r w:rsidR="00132F53">
              <w:rPr>
                <w:noProof/>
              </w:rPr>
              <w:t>211</w:t>
            </w:r>
            <w:r w:rsidR="00FF1679">
              <w:rPr>
                <w:noProof/>
              </w:rPr>
              <w:fldChar w:fldCharType="end"/>
            </w:r>
          </w:hyperlink>
        </w:p>
        <w:p w14:paraId="53C63E17" w14:textId="4433FB46"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55" w:history="1">
            <w:r w:rsidR="00FF1679" w:rsidRPr="001D0EB8">
              <w:rPr>
                <w:rStyle w:val="Hyperlink"/>
                <w:noProof/>
              </w:rPr>
              <w:t>6.2.1: SYFR’s Twitter followers</w:t>
            </w:r>
            <w:r w:rsidR="00FF1679">
              <w:rPr>
                <w:noProof/>
              </w:rPr>
              <w:tab/>
            </w:r>
            <w:r w:rsidR="00FF1679">
              <w:rPr>
                <w:noProof/>
              </w:rPr>
              <w:fldChar w:fldCharType="begin"/>
            </w:r>
            <w:r w:rsidR="00FF1679">
              <w:rPr>
                <w:noProof/>
              </w:rPr>
              <w:instrText xml:space="preserve"> PAGEREF _Toc193367255 \h </w:instrText>
            </w:r>
            <w:r w:rsidR="00FF1679">
              <w:rPr>
                <w:noProof/>
              </w:rPr>
            </w:r>
            <w:r w:rsidR="00FF1679">
              <w:rPr>
                <w:noProof/>
              </w:rPr>
              <w:fldChar w:fldCharType="separate"/>
            </w:r>
            <w:r w:rsidR="00132F53">
              <w:rPr>
                <w:noProof/>
              </w:rPr>
              <w:t>211</w:t>
            </w:r>
            <w:r w:rsidR="00FF1679">
              <w:rPr>
                <w:noProof/>
              </w:rPr>
              <w:fldChar w:fldCharType="end"/>
            </w:r>
          </w:hyperlink>
        </w:p>
        <w:p w14:paraId="7748D2CA" w14:textId="1AAF2158"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56" w:history="1">
            <w:r w:rsidR="00FF1679" w:rsidRPr="001D0EB8">
              <w:rPr>
                <w:rStyle w:val="Hyperlink"/>
                <w:noProof/>
              </w:rPr>
              <w:t>6.2.2: Twitter Mentions of SYFR</w:t>
            </w:r>
            <w:r w:rsidR="00FF1679">
              <w:rPr>
                <w:noProof/>
              </w:rPr>
              <w:tab/>
            </w:r>
            <w:r w:rsidR="00FF1679">
              <w:rPr>
                <w:noProof/>
              </w:rPr>
              <w:fldChar w:fldCharType="begin"/>
            </w:r>
            <w:r w:rsidR="00FF1679">
              <w:rPr>
                <w:noProof/>
              </w:rPr>
              <w:instrText xml:space="preserve"> PAGEREF _Toc193367256 \h </w:instrText>
            </w:r>
            <w:r w:rsidR="00FF1679">
              <w:rPr>
                <w:noProof/>
              </w:rPr>
            </w:r>
            <w:r w:rsidR="00FF1679">
              <w:rPr>
                <w:noProof/>
              </w:rPr>
              <w:fldChar w:fldCharType="separate"/>
            </w:r>
            <w:r w:rsidR="00132F53">
              <w:rPr>
                <w:noProof/>
              </w:rPr>
              <w:t>218</w:t>
            </w:r>
            <w:r w:rsidR="00FF1679">
              <w:rPr>
                <w:noProof/>
              </w:rPr>
              <w:fldChar w:fldCharType="end"/>
            </w:r>
          </w:hyperlink>
        </w:p>
        <w:p w14:paraId="3FCB98CD" w14:textId="2DAA1253"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57" w:history="1">
            <w:r w:rsidR="00FF1679" w:rsidRPr="001D0EB8">
              <w:rPr>
                <w:rStyle w:val="Hyperlink"/>
                <w:noProof/>
              </w:rPr>
              <w:t>6.2.3: Discussion</w:t>
            </w:r>
            <w:r w:rsidR="00FF1679">
              <w:rPr>
                <w:noProof/>
              </w:rPr>
              <w:tab/>
            </w:r>
            <w:r w:rsidR="00FF1679">
              <w:rPr>
                <w:noProof/>
              </w:rPr>
              <w:fldChar w:fldCharType="begin"/>
            </w:r>
            <w:r w:rsidR="00FF1679">
              <w:rPr>
                <w:noProof/>
              </w:rPr>
              <w:instrText xml:space="preserve"> PAGEREF _Toc193367257 \h </w:instrText>
            </w:r>
            <w:r w:rsidR="00FF1679">
              <w:rPr>
                <w:noProof/>
              </w:rPr>
            </w:r>
            <w:r w:rsidR="00FF1679">
              <w:rPr>
                <w:noProof/>
              </w:rPr>
              <w:fldChar w:fldCharType="separate"/>
            </w:r>
            <w:r w:rsidR="00132F53">
              <w:rPr>
                <w:noProof/>
              </w:rPr>
              <w:t>223</w:t>
            </w:r>
            <w:r w:rsidR="00FF1679">
              <w:rPr>
                <w:noProof/>
              </w:rPr>
              <w:fldChar w:fldCharType="end"/>
            </w:r>
          </w:hyperlink>
        </w:p>
        <w:p w14:paraId="00B1CF69" w14:textId="0736808F"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58" w:history="1">
            <w:r w:rsidR="00FF1679" w:rsidRPr="001D0EB8">
              <w:rPr>
                <w:rStyle w:val="Hyperlink"/>
                <w:noProof/>
              </w:rPr>
              <w:t>6.3: SYFR’s offline “community”</w:t>
            </w:r>
            <w:r w:rsidR="00FF1679">
              <w:rPr>
                <w:noProof/>
              </w:rPr>
              <w:tab/>
            </w:r>
            <w:r w:rsidR="00FF1679">
              <w:rPr>
                <w:noProof/>
              </w:rPr>
              <w:fldChar w:fldCharType="begin"/>
            </w:r>
            <w:r w:rsidR="00FF1679">
              <w:rPr>
                <w:noProof/>
              </w:rPr>
              <w:instrText xml:space="preserve"> PAGEREF _Toc193367258 \h </w:instrText>
            </w:r>
            <w:r w:rsidR="00FF1679">
              <w:rPr>
                <w:noProof/>
              </w:rPr>
            </w:r>
            <w:r w:rsidR="00FF1679">
              <w:rPr>
                <w:noProof/>
              </w:rPr>
              <w:fldChar w:fldCharType="separate"/>
            </w:r>
            <w:r w:rsidR="00132F53">
              <w:rPr>
                <w:noProof/>
              </w:rPr>
              <w:t>224</w:t>
            </w:r>
            <w:r w:rsidR="00FF1679">
              <w:rPr>
                <w:noProof/>
              </w:rPr>
              <w:fldChar w:fldCharType="end"/>
            </w:r>
          </w:hyperlink>
        </w:p>
        <w:p w14:paraId="406EA7F1" w14:textId="6EBC185E"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59" w:history="1">
            <w:r w:rsidR="00FF1679" w:rsidRPr="001D0EB8">
              <w:rPr>
                <w:rStyle w:val="Hyperlink"/>
                <w:noProof/>
              </w:rPr>
              <w:t>6.3.1: The importance of community composition</w:t>
            </w:r>
            <w:r w:rsidR="00FF1679">
              <w:rPr>
                <w:noProof/>
              </w:rPr>
              <w:tab/>
            </w:r>
            <w:r w:rsidR="00FF1679">
              <w:rPr>
                <w:noProof/>
              </w:rPr>
              <w:fldChar w:fldCharType="begin"/>
            </w:r>
            <w:r w:rsidR="00FF1679">
              <w:rPr>
                <w:noProof/>
              </w:rPr>
              <w:instrText xml:space="preserve"> PAGEREF _Toc193367259 \h </w:instrText>
            </w:r>
            <w:r w:rsidR="00FF1679">
              <w:rPr>
                <w:noProof/>
              </w:rPr>
            </w:r>
            <w:r w:rsidR="00FF1679">
              <w:rPr>
                <w:noProof/>
              </w:rPr>
              <w:fldChar w:fldCharType="separate"/>
            </w:r>
            <w:r w:rsidR="00132F53">
              <w:rPr>
                <w:noProof/>
              </w:rPr>
              <w:t>226</w:t>
            </w:r>
            <w:r w:rsidR="00FF1679">
              <w:rPr>
                <w:noProof/>
              </w:rPr>
              <w:fldChar w:fldCharType="end"/>
            </w:r>
          </w:hyperlink>
        </w:p>
        <w:p w14:paraId="702D9640" w14:textId="31375D76"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60" w:history="1">
            <w:r w:rsidR="00FF1679" w:rsidRPr="001D0EB8">
              <w:rPr>
                <w:rStyle w:val="Hyperlink"/>
                <w:noProof/>
              </w:rPr>
              <w:t>6.3.2: Community mentality</w:t>
            </w:r>
            <w:r w:rsidR="00FF1679">
              <w:rPr>
                <w:noProof/>
              </w:rPr>
              <w:tab/>
            </w:r>
            <w:r w:rsidR="00FF1679">
              <w:rPr>
                <w:noProof/>
              </w:rPr>
              <w:fldChar w:fldCharType="begin"/>
            </w:r>
            <w:r w:rsidR="00FF1679">
              <w:rPr>
                <w:noProof/>
              </w:rPr>
              <w:instrText xml:space="preserve"> PAGEREF _Toc193367260 \h </w:instrText>
            </w:r>
            <w:r w:rsidR="00FF1679">
              <w:rPr>
                <w:noProof/>
              </w:rPr>
            </w:r>
            <w:r w:rsidR="00FF1679">
              <w:rPr>
                <w:noProof/>
              </w:rPr>
              <w:fldChar w:fldCharType="separate"/>
            </w:r>
            <w:r w:rsidR="00132F53">
              <w:rPr>
                <w:noProof/>
              </w:rPr>
              <w:t>229</w:t>
            </w:r>
            <w:r w:rsidR="00FF1679">
              <w:rPr>
                <w:noProof/>
              </w:rPr>
              <w:fldChar w:fldCharType="end"/>
            </w:r>
          </w:hyperlink>
        </w:p>
        <w:p w14:paraId="1FEA086B" w14:textId="60EFE832"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61" w:history="1">
            <w:r w:rsidR="00FF1679" w:rsidRPr="001D0EB8">
              <w:rPr>
                <w:rStyle w:val="Hyperlink"/>
                <w:noProof/>
              </w:rPr>
              <w:t>6.3.3: Community logic</w:t>
            </w:r>
            <w:r w:rsidR="00FF1679">
              <w:rPr>
                <w:noProof/>
              </w:rPr>
              <w:tab/>
            </w:r>
            <w:r w:rsidR="00FF1679">
              <w:rPr>
                <w:noProof/>
              </w:rPr>
              <w:fldChar w:fldCharType="begin"/>
            </w:r>
            <w:r w:rsidR="00FF1679">
              <w:rPr>
                <w:noProof/>
              </w:rPr>
              <w:instrText xml:space="preserve"> PAGEREF _Toc193367261 \h </w:instrText>
            </w:r>
            <w:r w:rsidR="00FF1679">
              <w:rPr>
                <w:noProof/>
              </w:rPr>
            </w:r>
            <w:r w:rsidR="00FF1679">
              <w:rPr>
                <w:noProof/>
              </w:rPr>
              <w:fldChar w:fldCharType="separate"/>
            </w:r>
            <w:r w:rsidR="00132F53">
              <w:rPr>
                <w:noProof/>
              </w:rPr>
              <w:t>231</w:t>
            </w:r>
            <w:r w:rsidR="00FF1679">
              <w:rPr>
                <w:noProof/>
              </w:rPr>
              <w:fldChar w:fldCharType="end"/>
            </w:r>
          </w:hyperlink>
        </w:p>
        <w:p w14:paraId="7051AB63" w14:textId="4D170AA4"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62" w:history="1">
            <w:r w:rsidR="00FF1679" w:rsidRPr="001D0EB8">
              <w:rPr>
                <w:rStyle w:val="Hyperlink"/>
                <w:noProof/>
              </w:rPr>
              <w:t>6.3.4: Importance of disaster and risk context</w:t>
            </w:r>
            <w:r w:rsidR="00FF1679">
              <w:rPr>
                <w:noProof/>
              </w:rPr>
              <w:tab/>
            </w:r>
            <w:r w:rsidR="00FF1679">
              <w:rPr>
                <w:noProof/>
              </w:rPr>
              <w:fldChar w:fldCharType="begin"/>
            </w:r>
            <w:r w:rsidR="00FF1679">
              <w:rPr>
                <w:noProof/>
              </w:rPr>
              <w:instrText xml:space="preserve"> PAGEREF _Toc193367262 \h </w:instrText>
            </w:r>
            <w:r w:rsidR="00FF1679">
              <w:rPr>
                <w:noProof/>
              </w:rPr>
            </w:r>
            <w:r w:rsidR="00FF1679">
              <w:rPr>
                <w:noProof/>
              </w:rPr>
              <w:fldChar w:fldCharType="separate"/>
            </w:r>
            <w:r w:rsidR="00132F53">
              <w:rPr>
                <w:noProof/>
              </w:rPr>
              <w:t>233</w:t>
            </w:r>
            <w:r w:rsidR="00FF1679">
              <w:rPr>
                <w:noProof/>
              </w:rPr>
              <w:fldChar w:fldCharType="end"/>
            </w:r>
          </w:hyperlink>
        </w:p>
        <w:p w14:paraId="0828EFDA" w14:textId="06FFFAAA" w:rsidR="00FF1679" w:rsidRDefault="00000000">
          <w:pPr>
            <w:pStyle w:val="TOC3"/>
            <w:tabs>
              <w:tab w:val="right" w:leader="dot" w:pos="9016"/>
            </w:tabs>
            <w:rPr>
              <w:rFonts w:asciiTheme="minorHAnsi" w:eastAsiaTheme="minorEastAsia" w:hAnsiTheme="minorHAnsi" w:cstheme="minorBidi"/>
              <w:noProof/>
              <w:kern w:val="2"/>
              <w:lang w:eastAsia="zh-CN"/>
              <w14:ligatures w14:val="standardContextual"/>
            </w:rPr>
          </w:pPr>
          <w:hyperlink w:anchor="_Toc193367263" w:history="1">
            <w:r w:rsidR="00FF1679" w:rsidRPr="001D0EB8">
              <w:rPr>
                <w:rStyle w:val="Hyperlink"/>
                <w:noProof/>
              </w:rPr>
              <w:t>6.3.5: The community’s relationship to organisations</w:t>
            </w:r>
            <w:r w:rsidR="00FF1679">
              <w:rPr>
                <w:noProof/>
              </w:rPr>
              <w:tab/>
            </w:r>
            <w:r w:rsidR="00FF1679">
              <w:rPr>
                <w:noProof/>
              </w:rPr>
              <w:fldChar w:fldCharType="begin"/>
            </w:r>
            <w:r w:rsidR="00FF1679">
              <w:rPr>
                <w:noProof/>
              </w:rPr>
              <w:instrText xml:space="preserve"> PAGEREF _Toc193367263 \h </w:instrText>
            </w:r>
            <w:r w:rsidR="00FF1679">
              <w:rPr>
                <w:noProof/>
              </w:rPr>
            </w:r>
            <w:r w:rsidR="00FF1679">
              <w:rPr>
                <w:noProof/>
              </w:rPr>
              <w:fldChar w:fldCharType="separate"/>
            </w:r>
            <w:r w:rsidR="00132F53">
              <w:rPr>
                <w:noProof/>
              </w:rPr>
              <w:t>236</w:t>
            </w:r>
            <w:r w:rsidR="00FF1679">
              <w:rPr>
                <w:noProof/>
              </w:rPr>
              <w:fldChar w:fldCharType="end"/>
            </w:r>
          </w:hyperlink>
        </w:p>
        <w:p w14:paraId="25862D7A" w14:textId="24EFDE4C"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64" w:history="1">
            <w:r w:rsidR="00FF1679" w:rsidRPr="001D0EB8">
              <w:rPr>
                <w:rStyle w:val="Hyperlink"/>
                <w:noProof/>
              </w:rPr>
              <w:t>6.4: Discussion &amp; Conclusion</w:t>
            </w:r>
            <w:r w:rsidR="00FF1679">
              <w:rPr>
                <w:noProof/>
              </w:rPr>
              <w:tab/>
            </w:r>
            <w:r w:rsidR="00FF1679">
              <w:rPr>
                <w:noProof/>
              </w:rPr>
              <w:fldChar w:fldCharType="begin"/>
            </w:r>
            <w:r w:rsidR="00FF1679">
              <w:rPr>
                <w:noProof/>
              </w:rPr>
              <w:instrText xml:space="preserve"> PAGEREF _Toc193367264 \h </w:instrText>
            </w:r>
            <w:r w:rsidR="00FF1679">
              <w:rPr>
                <w:noProof/>
              </w:rPr>
            </w:r>
            <w:r w:rsidR="00FF1679">
              <w:rPr>
                <w:noProof/>
              </w:rPr>
              <w:fldChar w:fldCharType="separate"/>
            </w:r>
            <w:r w:rsidR="00132F53">
              <w:rPr>
                <w:noProof/>
              </w:rPr>
              <w:t>246</w:t>
            </w:r>
            <w:r w:rsidR="00FF1679">
              <w:rPr>
                <w:noProof/>
              </w:rPr>
              <w:fldChar w:fldCharType="end"/>
            </w:r>
          </w:hyperlink>
        </w:p>
        <w:p w14:paraId="278B6C66" w14:textId="40C8F767" w:rsidR="00FF1679" w:rsidRDefault="00000000">
          <w:pPr>
            <w:pStyle w:val="TOC1"/>
            <w:rPr>
              <w:rFonts w:asciiTheme="minorHAnsi" w:eastAsiaTheme="minorEastAsia" w:hAnsiTheme="minorHAnsi" w:cstheme="minorBidi"/>
              <w:noProof/>
              <w:kern w:val="2"/>
              <w:lang w:eastAsia="zh-CN"/>
              <w14:ligatures w14:val="standardContextual"/>
            </w:rPr>
          </w:pPr>
          <w:hyperlink w:anchor="_Toc193367265" w:history="1">
            <w:r w:rsidR="00FF1679" w:rsidRPr="001D0EB8">
              <w:rPr>
                <w:rStyle w:val="Hyperlink"/>
                <w:rFonts w:cs="Calibri"/>
                <w:noProof/>
              </w:rPr>
              <w:t>Chapter 7: Conclusion</w:t>
            </w:r>
            <w:r w:rsidR="00FF1679">
              <w:rPr>
                <w:noProof/>
              </w:rPr>
              <w:tab/>
            </w:r>
            <w:r w:rsidR="00FF1679">
              <w:rPr>
                <w:noProof/>
              </w:rPr>
              <w:fldChar w:fldCharType="begin"/>
            </w:r>
            <w:r w:rsidR="00FF1679">
              <w:rPr>
                <w:noProof/>
              </w:rPr>
              <w:instrText xml:space="preserve"> PAGEREF _Toc193367265 \h </w:instrText>
            </w:r>
            <w:r w:rsidR="00FF1679">
              <w:rPr>
                <w:noProof/>
              </w:rPr>
            </w:r>
            <w:r w:rsidR="00FF1679">
              <w:rPr>
                <w:noProof/>
              </w:rPr>
              <w:fldChar w:fldCharType="separate"/>
            </w:r>
            <w:r w:rsidR="00132F53">
              <w:rPr>
                <w:noProof/>
              </w:rPr>
              <w:t>255</w:t>
            </w:r>
            <w:r w:rsidR="00FF1679">
              <w:rPr>
                <w:noProof/>
              </w:rPr>
              <w:fldChar w:fldCharType="end"/>
            </w:r>
          </w:hyperlink>
        </w:p>
        <w:p w14:paraId="2ACA5F0C" w14:textId="2E2414F5"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66" w:history="1">
            <w:r w:rsidR="00FF1679" w:rsidRPr="001D0EB8">
              <w:rPr>
                <w:rStyle w:val="Hyperlink"/>
                <w:noProof/>
              </w:rPr>
              <w:t>7.1: Introduction</w:t>
            </w:r>
            <w:r w:rsidR="00FF1679">
              <w:rPr>
                <w:noProof/>
              </w:rPr>
              <w:tab/>
            </w:r>
            <w:r w:rsidR="00FF1679">
              <w:rPr>
                <w:noProof/>
              </w:rPr>
              <w:fldChar w:fldCharType="begin"/>
            </w:r>
            <w:r w:rsidR="00FF1679">
              <w:rPr>
                <w:noProof/>
              </w:rPr>
              <w:instrText xml:space="preserve"> PAGEREF _Toc193367266 \h </w:instrText>
            </w:r>
            <w:r w:rsidR="00FF1679">
              <w:rPr>
                <w:noProof/>
              </w:rPr>
            </w:r>
            <w:r w:rsidR="00FF1679">
              <w:rPr>
                <w:noProof/>
              </w:rPr>
              <w:fldChar w:fldCharType="separate"/>
            </w:r>
            <w:r w:rsidR="00132F53">
              <w:rPr>
                <w:noProof/>
              </w:rPr>
              <w:t>255</w:t>
            </w:r>
            <w:r w:rsidR="00FF1679">
              <w:rPr>
                <w:noProof/>
              </w:rPr>
              <w:fldChar w:fldCharType="end"/>
            </w:r>
          </w:hyperlink>
        </w:p>
        <w:p w14:paraId="30AD089B" w14:textId="1F86C113"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67" w:history="1">
            <w:r w:rsidR="00FF1679" w:rsidRPr="001D0EB8">
              <w:rPr>
                <w:rStyle w:val="Hyperlink"/>
                <w:noProof/>
              </w:rPr>
              <w:t>7.2: Thesis summary</w:t>
            </w:r>
            <w:r w:rsidR="00FF1679">
              <w:rPr>
                <w:noProof/>
              </w:rPr>
              <w:tab/>
            </w:r>
            <w:r w:rsidR="00FF1679">
              <w:rPr>
                <w:noProof/>
              </w:rPr>
              <w:fldChar w:fldCharType="begin"/>
            </w:r>
            <w:r w:rsidR="00FF1679">
              <w:rPr>
                <w:noProof/>
              </w:rPr>
              <w:instrText xml:space="preserve"> PAGEREF _Toc193367267 \h </w:instrText>
            </w:r>
            <w:r w:rsidR="00FF1679">
              <w:rPr>
                <w:noProof/>
              </w:rPr>
            </w:r>
            <w:r w:rsidR="00FF1679">
              <w:rPr>
                <w:noProof/>
              </w:rPr>
              <w:fldChar w:fldCharType="separate"/>
            </w:r>
            <w:r w:rsidR="00132F53">
              <w:rPr>
                <w:noProof/>
              </w:rPr>
              <w:t>255</w:t>
            </w:r>
            <w:r w:rsidR="00FF1679">
              <w:rPr>
                <w:noProof/>
              </w:rPr>
              <w:fldChar w:fldCharType="end"/>
            </w:r>
          </w:hyperlink>
        </w:p>
        <w:p w14:paraId="792FF374" w14:textId="7F06CF8A"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68" w:history="1">
            <w:r w:rsidR="00FF1679" w:rsidRPr="001D0EB8">
              <w:rPr>
                <w:rStyle w:val="Hyperlink"/>
                <w:noProof/>
              </w:rPr>
              <w:t>7.3: Contributions</w:t>
            </w:r>
            <w:r w:rsidR="00FF1679">
              <w:rPr>
                <w:noProof/>
              </w:rPr>
              <w:tab/>
            </w:r>
            <w:r w:rsidR="00FF1679">
              <w:rPr>
                <w:noProof/>
              </w:rPr>
              <w:fldChar w:fldCharType="begin"/>
            </w:r>
            <w:r w:rsidR="00FF1679">
              <w:rPr>
                <w:noProof/>
              </w:rPr>
              <w:instrText xml:space="preserve"> PAGEREF _Toc193367268 \h </w:instrText>
            </w:r>
            <w:r w:rsidR="00FF1679">
              <w:rPr>
                <w:noProof/>
              </w:rPr>
            </w:r>
            <w:r w:rsidR="00FF1679">
              <w:rPr>
                <w:noProof/>
              </w:rPr>
              <w:fldChar w:fldCharType="separate"/>
            </w:r>
            <w:r w:rsidR="00132F53">
              <w:rPr>
                <w:noProof/>
              </w:rPr>
              <w:t>266</w:t>
            </w:r>
            <w:r w:rsidR="00FF1679">
              <w:rPr>
                <w:noProof/>
              </w:rPr>
              <w:fldChar w:fldCharType="end"/>
            </w:r>
          </w:hyperlink>
        </w:p>
        <w:p w14:paraId="3F9B9E7B" w14:textId="29417E68"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69" w:history="1">
            <w:r w:rsidR="00FF1679" w:rsidRPr="001D0EB8">
              <w:rPr>
                <w:rStyle w:val="Hyperlink"/>
                <w:noProof/>
              </w:rPr>
              <w:t>7.4: Implications for future policy</w:t>
            </w:r>
            <w:r w:rsidR="00FF1679">
              <w:rPr>
                <w:noProof/>
              </w:rPr>
              <w:tab/>
            </w:r>
            <w:r w:rsidR="00FF1679">
              <w:rPr>
                <w:noProof/>
              </w:rPr>
              <w:fldChar w:fldCharType="begin"/>
            </w:r>
            <w:r w:rsidR="00FF1679">
              <w:rPr>
                <w:noProof/>
              </w:rPr>
              <w:instrText xml:space="preserve"> PAGEREF _Toc193367269 \h </w:instrText>
            </w:r>
            <w:r w:rsidR="00FF1679">
              <w:rPr>
                <w:noProof/>
              </w:rPr>
            </w:r>
            <w:r w:rsidR="00FF1679">
              <w:rPr>
                <w:noProof/>
              </w:rPr>
              <w:fldChar w:fldCharType="separate"/>
            </w:r>
            <w:r w:rsidR="00132F53">
              <w:rPr>
                <w:noProof/>
              </w:rPr>
              <w:t>268</w:t>
            </w:r>
            <w:r w:rsidR="00FF1679">
              <w:rPr>
                <w:noProof/>
              </w:rPr>
              <w:fldChar w:fldCharType="end"/>
            </w:r>
          </w:hyperlink>
        </w:p>
        <w:p w14:paraId="501B998B" w14:textId="6A6B28B4"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70" w:history="1">
            <w:r w:rsidR="00FF1679" w:rsidRPr="001D0EB8">
              <w:rPr>
                <w:rStyle w:val="Hyperlink"/>
                <w:noProof/>
              </w:rPr>
              <w:t>7.5: Limitations</w:t>
            </w:r>
            <w:r w:rsidR="00FF1679">
              <w:rPr>
                <w:noProof/>
              </w:rPr>
              <w:tab/>
            </w:r>
            <w:r w:rsidR="00FF1679">
              <w:rPr>
                <w:noProof/>
              </w:rPr>
              <w:fldChar w:fldCharType="begin"/>
            </w:r>
            <w:r w:rsidR="00FF1679">
              <w:rPr>
                <w:noProof/>
              </w:rPr>
              <w:instrText xml:space="preserve"> PAGEREF _Toc193367270 \h </w:instrText>
            </w:r>
            <w:r w:rsidR="00FF1679">
              <w:rPr>
                <w:noProof/>
              </w:rPr>
            </w:r>
            <w:r w:rsidR="00FF1679">
              <w:rPr>
                <w:noProof/>
              </w:rPr>
              <w:fldChar w:fldCharType="separate"/>
            </w:r>
            <w:r w:rsidR="00132F53">
              <w:rPr>
                <w:noProof/>
              </w:rPr>
              <w:t>269</w:t>
            </w:r>
            <w:r w:rsidR="00FF1679">
              <w:rPr>
                <w:noProof/>
              </w:rPr>
              <w:fldChar w:fldCharType="end"/>
            </w:r>
          </w:hyperlink>
        </w:p>
        <w:p w14:paraId="4DDE4090" w14:textId="672779F8"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71" w:history="1">
            <w:r w:rsidR="00FF1679" w:rsidRPr="001D0EB8">
              <w:rPr>
                <w:rStyle w:val="Hyperlink"/>
                <w:noProof/>
              </w:rPr>
              <w:t>7.6: Future research</w:t>
            </w:r>
            <w:r w:rsidR="00FF1679">
              <w:rPr>
                <w:noProof/>
              </w:rPr>
              <w:tab/>
            </w:r>
            <w:r w:rsidR="00FF1679">
              <w:rPr>
                <w:noProof/>
              </w:rPr>
              <w:fldChar w:fldCharType="begin"/>
            </w:r>
            <w:r w:rsidR="00FF1679">
              <w:rPr>
                <w:noProof/>
              </w:rPr>
              <w:instrText xml:space="preserve"> PAGEREF _Toc193367271 \h </w:instrText>
            </w:r>
            <w:r w:rsidR="00FF1679">
              <w:rPr>
                <w:noProof/>
              </w:rPr>
            </w:r>
            <w:r w:rsidR="00FF1679">
              <w:rPr>
                <w:noProof/>
              </w:rPr>
              <w:fldChar w:fldCharType="separate"/>
            </w:r>
            <w:r w:rsidR="00132F53">
              <w:rPr>
                <w:noProof/>
              </w:rPr>
              <w:t>272</w:t>
            </w:r>
            <w:r w:rsidR="00FF1679">
              <w:rPr>
                <w:noProof/>
              </w:rPr>
              <w:fldChar w:fldCharType="end"/>
            </w:r>
          </w:hyperlink>
        </w:p>
        <w:p w14:paraId="625FB0B3" w14:textId="57A41AFF"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72" w:history="1">
            <w:r w:rsidR="00FF1679" w:rsidRPr="001D0EB8">
              <w:rPr>
                <w:rStyle w:val="Hyperlink"/>
                <w:noProof/>
              </w:rPr>
              <w:t>7.7: Conclusion</w:t>
            </w:r>
            <w:r w:rsidR="00FF1679">
              <w:rPr>
                <w:noProof/>
              </w:rPr>
              <w:tab/>
            </w:r>
            <w:r w:rsidR="00FF1679">
              <w:rPr>
                <w:noProof/>
              </w:rPr>
              <w:fldChar w:fldCharType="begin"/>
            </w:r>
            <w:r w:rsidR="00FF1679">
              <w:rPr>
                <w:noProof/>
              </w:rPr>
              <w:instrText xml:space="preserve"> PAGEREF _Toc193367272 \h </w:instrText>
            </w:r>
            <w:r w:rsidR="00FF1679">
              <w:rPr>
                <w:noProof/>
              </w:rPr>
            </w:r>
            <w:r w:rsidR="00FF1679">
              <w:rPr>
                <w:noProof/>
              </w:rPr>
              <w:fldChar w:fldCharType="separate"/>
            </w:r>
            <w:r w:rsidR="00132F53">
              <w:rPr>
                <w:noProof/>
              </w:rPr>
              <w:t>272</w:t>
            </w:r>
            <w:r w:rsidR="00FF1679">
              <w:rPr>
                <w:noProof/>
              </w:rPr>
              <w:fldChar w:fldCharType="end"/>
            </w:r>
          </w:hyperlink>
        </w:p>
        <w:p w14:paraId="0C0A9B72" w14:textId="6F8083B2" w:rsidR="00FF1679" w:rsidRDefault="00000000">
          <w:pPr>
            <w:pStyle w:val="TOC1"/>
            <w:rPr>
              <w:rFonts w:asciiTheme="minorHAnsi" w:eastAsiaTheme="minorEastAsia" w:hAnsiTheme="minorHAnsi" w:cstheme="minorBidi"/>
              <w:noProof/>
              <w:kern w:val="2"/>
              <w:lang w:eastAsia="zh-CN"/>
              <w14:ligatures w14:val="standardContextual"/>
            </w:rPr>
          </w:pPr>
          <w:hyperlink w:anchor="_Toc193367273" w:history="1">
            <w:r w:rsidR="00FF1679" w:rsidRPr="001D0EB8">
              <w:rPr>
                <w:rStyle w:val="Hyperlink"/>
                <w:rFonts w:cs="Calibri"/>
                <w:noProof/>
              </w:rPr>
              <w:t>References</w:t>
            </w:r>
            <w:r w:rsidR="00FF1679">
              <w:rPr>
                <w:noProof/>
              </w:rPr>
              <w:tab/>
            </w:r>
            <w:r w:rsidR="00FF1679">
              <w:rPr>
                <w:noProof/>
              </w:rPr>
              <w:fldChar w:fldCharType="begin"/>
            </w:r>
            <w:r w:rsidR="00FF1679">
              <w:rPr>
                <w:noProof/>
              </w:rPr>
              <w:instrText xml:space="preserve"> PAGEREF _Toc193367273 \h </w:instrText>
            </w:r>
            <w:r w:rsidR="00FF1679">
              <w:rPr>
                <w:noProof/>
              </w:rPr>
            </w:r>
            <w:r w:rsidR="00FF1679">
              <w:rPr>
                <w:noProof/>
              </w:rPr>
              <w:fldChar w:fldCharType="separate"/>
            </w:r>
            <w:r w:rsidR="00132F53">
              <w:rPr>
                <w:noProof/>
              </w:rPr>
              <w:t>274</w:t>
            </w:r>
            <w:r w:rsidR="00FF1679">
              <w:rPr>
                <w:noProof/>
              </w:rPr>
              <w:fldChar w:fldCharType="end"/>
            </w:r>
          </w:hyperlink>
        </w:p>
        <w:p w14:paraId="0DFA24C8" w14:textId="0298919C" w:rsidR="00FF1679" w:rsidRDefault="00000000">
          <w:pPr>
            <w:pStyle w:val="TOC1"/>
            <w:rPr>
              <w:rFonts w:asciiTheme="minorHAnsi" w:eastAsiaTheme="minorEastAsia" w:hAnsiTheme="minorHAnsi" w:cstheme="minorBidi"/>
              <w:noProof/>
              <w:kern w:val="2"/>
              <w:lang w:eastAsia="zh-CN"/>
              <w14:ligatures w14:val="standardContextual"/>
            </w:rPr>
          </w:pPr>
          <w:hyperlink w:anchor="_Toc193367274" w:history="1">
            <w:r w:rsidR="00FF1679" w:rsidRPr="001D0EB8">
              <w:rPr>
                <w:rStyle w:val="Hyperlink"/>
                <w:rFonts w:cs="Calibri"/>
                <w:noProof/>
              </w:rPr>
              <w:t>Appendices</w:t>
            </w:r>
            <w:r w:rsidR="00FF1679">
              <w:rPr>
                <w:noProof/>
              </w:rPr>
              <w:tab/>
            </w:r>
            <w:r w:rsidR="00FF1679">
              <w:rPr>
                <w:noProof/>
              </w:rPr>
              <w:fldChar w:fldCharType="begin"/>
            </w:r>
            <w:r w:rsidR="00FF1679">
              <w:rPr>
                <w:noProof/>
              </w:rPr>
              <w:instrText xml:space="preserve"> PAGEREF _Toc193367274 \h </w:instrText>
            </w:r>
            <w:r w:rsidR="00FF1679">
              <w:rPr>
                <w:noProof/>
              </w:rPr>
            </w:r>
            <w:r w:rsidR="00FF1679">
              <w:rPr>
                <w:noProof/>
              </w:rPr>
              <w:fldChar w:fldCharType="separate"/>
            </w:r>
            <w:r w:rsidR="00132F53">
              <w:rPr>
                <w:noProof/>
              </w:rPr>
              <w:t>311</w:t>
            </w:r>
            <w:r w:rsidR="00FF1679">
              <w:rPr>
                <w:noProof/>
              </w:rPr>
              <w:fldChar w:fldCharType="end"/>
            </w:r>
          </w:hyperlink>
        </w:p>
        <w:p w14:paraId="5061C141" w14:textId="2F69B00E"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75" w:history="1">
            <w:r w:rsidR="00FF1679" w:rsidRPr="001D0EB8">
              <w:rPr>
                <w:rStyle w:val="Hyperlink"/>
                <w:rFonts w:cs="Calibri"/>
                <w:noProof/>
              </w:rPr>
              <w:t>Appendix 1: Dates of data collection</w:t>
            </w:r>
            <w:r w:rsidR="00FF1679">
              <w:rPr>
                <w:noProof/>
              </w:rPr>
              <w:tab/>
            </w:r>
            <w:r w:rsidR="00FF1679">
              <w:rPr>
                <w:noProof/>
              </w:rPr>
              <w:fldChar w:fldCharType="begin"/>
            </w:r>
            <w:r w:rsidR="00FF1679">
              <w:rPr>
                <w:noProof/>
              </w:rPr>
              <w:instrText xml:space="preserve"> PAGEREF _Toc193367275 \h </w:instrText>
            </w:r>
            <w:r w:rsidR="00FF1679">
              <w:rPr>
                <w:noProof/>
              </w:rPr>
            </w:r>
            <w:r w:rsidR="00FF1679">
              <w:rPr>
                <w:noProof/>
              </w:rPr>
              <w:fldChar w:fldCharType="separate"/>
            </w:r>
            <w:r w:rsidR="00132F53">
              <w:rPr>
                <w:noProof/>
              </w:rPr>
              <w:t>311</w:t>
            </w:r>
            <w:r w:rsidR="00FF1679">
              <w:rPr>
                <w:noProof/>
              </w:rPr>
              <w:fldChar w:fldCharType="end"/>
            </w:r>
          </w:hyperlink>
        </w:p>
        <w:p w14:paraId="513FC815" w14:textId="3824F364"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76" w:history="1">
            <w:r w:rsidR="00FF1679" w:rsidRPr="001D0EB8">
              <w:rPr>
                <w:rStyle w:val="Hyperlink"/>
                <w:rFonts w:cs="Calibri"/>
                <w:noProof/>
              </w:rPr>
              <w:t>Appendix 2: Information Sheet</w:t>
            </w:r>
            <w:r w:rsidR="00FF1679">
              <w:rPr>
                <w:noProof/>
              </w:rPr>
              <w:tab/>
            </w:r>
            <w:r w:rsidR="00FF1679">
              <w:rPr>
                <w:noProof/>
              </w:rPr>
              <w:fldChar w:fldCharType="begin"/>
            </w:r>
            <w:r w:rsidR="00FF1679">
              <w:rPr>
                <w:noProof/>
              </w:rPr>
              <w:instrText xml:space="preserve"> PAGEREF _Toc193367276 \h </w:instrText>
            </w:r>
            <w:r w:rsidR="00FF1679">
              <w:rPr>
                <w:noProof/>
              </w:rPr>
            </w:r>
            <w:r w:rsidR="00FF1679">
              <w:rPr>
                <w:noProof/>
              </w:rPr>
              <w:fldChar w:fldCharType="separate"/>
            </w:r>
            <w:r w:rsidR="00132F53">
              <w:rPr>
                <w:noProof/>
              </w:rPr>
              <w:t>312</w:t>
            </w:r>
            <w:r w:rsidR="00FF1679">
              <w:rPr>
                <w:noProof/>
              </w:rPr>
              <w:fldChar w:fldCharType="end"/>
            </w:r>
          </w:hyperlink>
        </w:p>
        <w:p w14:paraId="16EBB5EF" w14:textId="3F580C8D" w:rsidR="00FF1679" w:rsidRDefault="00000000">
          <w:pPr>
            <w:pStyle w:val="TOC2"/>
            <w:tabs>
              <w:tab w:val="right" w:leader="dot" w:pos="9016"/>
            </w:tabs>
            <w:rPr>
              <w:rFonts w:asciiTheme="minorHAnsi" w:eastAsiaTheme="minorEastAsia" w:hAnsiTheme="minorHAnsi" w:cstheme="minorBidi"/>
              <w:noProof/>
              <w:kern w:val="2"/>
              <w:lang w:eastAsia="zh-CN"/>
              <w14:ligatures w14:val="standardContextual"/>
            </w:rPr>
          </w:pPr>
          <w:hyperlink w:anchor="_Toc193367277" w:history="1">
            <w:r w:rsidR="00FF1679" w:rsidRPr="001D0EB8">
              <w:rPr>
                <w:rStyle w:val="Hyperlink"/>
                <w:rFonts w:cs="Calibri"/>
                <w:noProof/>
              </w:rPr>
              <w:t>Appendix 3: Consent Form</w:t>
            </w:r>
            <w:r w:rsidR="00FF1679">
              <w:rPr>
                <w:noProof/>
              </w:rPr>
              <w:tab/>
            </w:r>
            <w:r w:rsidR="00FF1679">
              <w:rPr>
                <w:noProof/>
              </w:rPr>
              <w:fldChar w:fldCharType="begin"/>
            </w:r>
            <w:r w:rsidR="00FF1679">
              <w:rPr>
                <w:noProof/>
              </w:rPr>
              <w:instrText xml:space="preserve"> PAGEREF _Toc193367277 \h </w:instrText>
            </w:r>
            <w:r w:rsidR="00FF1679">
              <w:rPr>
                <w:noProof/>
              </w:rPr>
            </w:r>
            <w:r w:rsidR="00FF1679">
              <w:rPr>
                <w:noProof/>
              </w:rPr>
              <w:fldChar w:fldCharType="separate"/>
            </w:r>
            <w:r w:rsidR="00132F53">
              <w:rPr>
                <w:noProof/>
              </w:rPr>
              <w:t>315</w:t>
            </w:r>
            <w:r w:rsidR="00FF1679">
              <w:rPr>
                <w:noProof/>
              </w:rPr>
              <w:fldChar w:fldCharType="end"/>
            </w:r>
          </w:hyperlink>
        </w:p>
        <w:p w14:paraId="597C7C04" w14:textId="77777777" w:rsidR="00787F73" w:rsidRDefault="00742FB7" w:rsidP="00866155">
          <w:pPr>
            <w:pStyle w:val="TOC2"/>
            <w:tabs>
              <w:tab w:val="right" w:leader="dot" w:pos="9016"/>
            </w:tabs>
          </w:pPr>
          <w:r>
            <w:rPr>
              <w:rStyle w:val="IndexLink"/>
            </w:rPr>
            <w:fldChar w:fldCharType="end"/>
          </w:r>
        </w:p>
      </w:sdtContent>
    </w:sdt>
    <w:p w14:paraId="17AE9865" w14:textId="77777777" w:rsidR="00787F73" w:rsidRDefault="00787F73" w:rsidP="00866155">
      <w:pPr>
        <w:rPr>
          <w:rFonts w:cs="Calibri"/>
          <w:b/>
          <w:bCs/>
        </w:rPr>
      </w:pPr>
    </w:p>
    <w:p w14:paraId="20192699" w14:textId="77777777" w:rsidR="00787F73" w:rsidRDefault="00742FB7" w:rsidP="00866155">
      <w:pPr>
        <w:rPr>
          <w:rFonts w:cs="Calibri"/>
          <w:b/>
          <w:bCs/>
        </w:rPr>
      </w:pPr>
      <w:r>
        <w:br w:type="page"/>
      </w:r>
    </w:p>
    <w:p w14:paraId="7FEA6F21" w14:textId="77777777" w:rsidR="00787F73" w:rsidRDefault="00742FB7" w:rsidP="00866155">
      <w:pPr>
        <w:pStyle w:val="Heading1"/>
        <w:spacing w:before="0"/>
      </w:pPr>
      <w:bookmarkStart w:id="3" w:name="_Toc193367161"/>
      <w:r>
        <w:rPr>
          <w:rFonts w:ascii="Calibri" w:hAnsi="Calibri" w:cs="Calibri"/>
        </w:rPr>
        <w:lastRenderedPageBreak/>
        <w:t>List of Tables</w:t>
      </w:r>
      <w:bookmarkEnd w:id="3"/>
    </w:p>
    <w:p w14:paraId="2F1248DC" w14:textId="03C05124" w:rsidR="00FF1679" w:rsidRDefault="00742FB7">
      <w:pPr>
        <w:pStyle w:val="TableofFigures"/>
        <w:tabs>
          <w:tab w:val="right" w:leader="dot" w:pos="9016"/>
        </w:tabs>
        <w:rPr>
          <w:rFonts w:asciiTheme="minorHAnsi" w:eastAsiaTheme="minorEastAsia" w:hAnsiTheme="minorHAnsi" w:cstheme="minorBidi"/>
          <w:noProof/>
          <w:kern w:val="2"/>
          <w:lang w:eastAsia="zh-CN"/>
          <w14:ligatures w14:val="standardContextual"/>
        </w:rPr>
      </w:pPr>
      <w:r>
        <w:fldChar w:fldCharType="begin"/>
      </w:r>
      <w:r>
        <w:rPr>
          <w:rStyle w:val="IndexLink"/>
          <w:rFonts w:eastAsia="DengXian Light" w:cs="Calibri"/>
        </w:rPr>
        <w:instrText xml:space="preserve"> TOC \c "Table" \h </w:instrText>
      </w:r>
      <w:r>
        <w:rPr>
          <w:rStyle w:val="IndexLink"/>
          <w:rFonts w:eastAsia="DengXian Light" w:cs="Calibri"/>
        </w:rPr>
        <w:fldChar w:fldCharType="separate"/>
      </w:r>
      <w:hyperlink w:anchor="_Toc193367278" w:history="1">
        <w:r w:rsidR="00FF1679" w:rsidRPr="00E11F3E">
          <w:rPr>
            <w:rStyle w:val="Hyperlink"/>
            <w:rFonts w:eastAsia="DengXian Light" w:cs="Calibri"/>
            <w:noProof/>
          </w:rPr>
          <w:t>Table 1: Elements and sub-elements within definitions of community resilience; source: Patel et al. (2017)</w:t>
        </w:r>
        <w:r w:rsidR="00FF1679">
          <w:rPr>
            <w:noProof/>
          </w:rPr>
          <w:tab/>
        </w:r>
        <w:r w:rsidR="00FF1679">
          <w:rPr>
            <w:noProof/>
          </w:rPr>
          <w:fldChar w:fldCharType="begin"/>
        </w:r>
        <w:r w:rsidR="00FF1679">
          <w:rPr>
            <w:noProof/>
          </w:rPr>
          <w:instrText xml:space="preserve"> PAGEREF _Toc193367278 \h </w:instrText>
        </w:r>
        <w:r w:rsidR="00FF1679">
          <w:rPr>
            <w:noProof/>
          </w:rPr>
        </w:r>
        <w:r w:rsidR="00FF1679">
          <w:rPr>
            <w:noProof/>
          </w:rPr>
          <w:fldChar w:fldCharType="separate"/>
        </w:r>
        <w:r w:rsidR="00132F53">
          <w:rPr>
            <w:noProof/>
          </w:rPr>
          <w:t>72</w:t>
        </w:r>
        <w:r w:rsidR="00FF1679">
          <w:rPr>
            <w:noProof/>
          </w:rPr>
          <w:fldChar w:fldCharType="end"/>
        </w:r>
      </w:hyperlink>
    </w:p>
    <w:p w14:paraId="3D314EF8" w14:textId="77777777" w:rsidR="00787F73" w:rsidRDefault="00742FB7" w:rsidP="00866155">
      <w:pPr>
        <w:pStyle w:val="TableofFigures"/>
        <w:tabs>
          <w:tab w:val="right" w:leader="dot" w:pos="9016"/>
        </w:tabs>
      </w:pPr>
      <w:r>
        <w:rPr>
          <w:rStyle w:val="IndexLink"/>
        </w:rPr>
        <w:fldChar w:fldCharType="end"/>
      </w:r>
    </w:p>
    <w:p w14:paraId="27AF445B" w14:textId="77777777" w:rsidR="00787F73" w:rsidRDefault="00742FB7" w:rsidP="00866155">
      <w:pPr>
        <w:pStyle w:val="Heading1"/>
      </w:pPr>
      <w:bookmarkStart w:id="4" w:name="_Toc193367162"/>
      <w:r>
        <w:rPr>
          <w:rFonts w:ascii="Calibri" w:hAnsi="Calibri" w:cs="Calibri"/>
        </w:rPr>
        <w:t>List of Figures</w:t>
      </w:r>
      <w:bookmarkEnd w:id="4"/>
    </w:p>
    <w:p w14:paraId="53EB4AC0" w14:textId="7BCC98DE" w:rsidR="00FF1679" w:rsidRDefault="00742FB7">
      <w:pPr>
        <w:pStyle w:val="TableofFigures"/>
        <w:tabs>
          <w:tab w:val="right" w:leader="dot" w:pos="9016"/>
        </w:tabs>
        <w:rPr>
          <w:rFonts w:asciiTheme="minorHAnsi" w:eastAsiaTheme="minorEastAsia" w:hAnsiTheme="minorHAnsi" w:cstheme="minorBidi"/>
          <w:noProof/>
          <w:kern w:val="2"/>
          <w:lang w:eastAsia="zh-CN"/>
          <w14:ligatures w14:val="standardContextual"/>
        </w:rPr>
      </w:pPr>
      <w:r>
        <w:fldChar w:fldCharType="begin"/>
      </w:r>
      <w:r>
        <w:rPr>
          <w:rStyle w:val="IndexLink"/>
          <w:rFonts w:eastAsia="DengXian Light" w:cs="Calibri"/>
        </w:rPr>
        <w:instrText xml:space="preserve"> TOC \c "Figure" \h </w:instrText>
      </w:r>
      <w:r>
        <w:rPr>
          <w:rStyle w:val="IndexLink"/>
          <w:rFonts w:eastAsia="DengXian Light" w:cs="Calibri"/>
        </w:rPr>
        <w:fldChar w:fldCharType="separate"/>
      </w:r>
      <w:hyperlink w:anchor="_Toc193367279" w:history="1">
        <w:r w:rsidR="00FF1679" w:rsidRPr="0014490C">
          <w:rPr>
            <w:rStyle w:val="Hyperlink"/>
            <w:rFonts w:eastAsia="DengXian Light" w:cs="Calibri"/>
            <w:noProof/>
          </w:rPr>
          <w:t>Figure 1: Map of South Yorkshire (1: Sheffield, 2: Rotherham, 3: Doncaster, 4: Barnsley); Source: Nilfanion (2014)</w:t>
        </w:r>
        <w:r w:rsidR="00FF1679">
          <w:rPr>
            <w:noProof/>
          </w:rPr>
          <w:tab/>
        </w:r>
        <w:r w:rsidR="00FF1679">
          <w:rPr>
            <w:noProof/>
          </w:rPr>
          <w:fldChar w:fldCharType="begin"/>
        </w:r>
        <w:r w:rsidR="00FF1679">
          <w:rPr>
            <w:noProof/>
          </w:rPr>
          <w:instrText xml:space="preserve"> PAGEREF _Toc193367279 \h </w:instrText>
        </w:r>
        <w:r w:rsidR="00FF1679">
          <w:rPr>
            <w:noProof/>
          </w:rPr>
        </w:r>
        <w:r w:rsidR="00FF1679">
          <w:rPr>
            <w:noProof/>
          </w:rPr>
          <w:fldChar w:fldCharType="separate"/>
        </w:r>
        <w:r w:rsidR="00132F53">
          <w:rPr>
            <w:noProof/>
          </w:rPr>
          <w:t>15</w:t>
        </w:r>
        <w:r w:rsidR="00FF1679">
          <w:rPr>
            <w:noProof/>
          </w:rPr>
          <w:fldChar w:fldCharType="end"/>
        </w:r>
      </w:hyperlink>
    </w:p>
    <w:p w14:paraId="049F8AE2" w14:textId="01AA6077"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80" w:history="1">
        <w:r w:rsidR="00FF1679" w:rsidRPr="0014490C">
          <w:rPr>
            <w:rStyle w:val="Hyperlink"/>
            <w:rFonts w:eastAsia="DengXian Light" w:cs="Calibri"/>
            <w:noProof/>
          </w:rPr>
          <w:t>Figure 2: SYFR organisational structure - focus on communications team; Source: SYFR (2022) Edited by Author</w:t>
        </w:r>
        <w:r w:rsidR="00FF1679">
          <w:rPr>
            <w:noProof/>
          </w:rPr>
          <w:tab/>
        </w:r>
        <w:r w:rsidR="00FF1679">
          <w:rPr>
            <w:noProof/>
          </w:rPr>
          <w:fldChar w:fldCharType="begin"/>
        </w:r>
        <w:r w:rsidR="00FF1679">
          <w:rPr>
            <w:noProof/>
          </w:rPr>
          <w:instrText xml:space="preserve"> PAGEREF _Toc193367280 \h </w:instrText>
        </w:r>
        <w:r w:rsidR="00FF1679">
          <w:rPr>
            <w:noProof/>
          </w:rPr>
        </w:r>
        <w:r w:rsidR="00FF1679">
          <w:rPr>
            <w:noProof/>
          </w:rPr>
          <w:fldChar w:fldCharType="separate"/>
        </w:r>
        <w:r w:rsidR="00132F53">
          <w:rPr>
            <w:noProof/>
          </w:rPr>
          <w:t>16</w:t>
        </w:r>
        <w:r w:rsidR="00FF1679">
          <w:rPr>
            <w:noProof/>
          </w:rPr>
          <w:fldChar w:fldCharType="end"/>
        </w:r>
      </w:hyperlink>
    </w:p>
    <w:p w14:paraId="779FBF7D" w14:textId="352038E9"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81" w:history="1">
        <w:r w:rsidR="00FF1679" w:rsidRPr="0014490C">
          <w:rPr>
            <w:rStyle w:val="Hyperlink"/>
            <w:rFonts w:eastAsia="DengXian Light" w:cs="Calibri"/>
            <w:noProof/>
          </w:rPr>
          <w:t>Figure 3: Disaster management cycle; Source: Forino (2017)</w:t>
        </w:r>
        <w:r w:rsidR="00FF1679">
          <w:rPr>
            <w:noProof/>
          </w:rPr>
          <w:tab/>
        </w:r>
        <w:r w:rsidR="00FF1679">
          <w:rPr>
            <w:noProof/>
          </w:rPr>
          <w:fldChar w:fldCharType="begin"/>
        </w:r>
        <w:r w:rsidR="00FF1679">
          <w:rPr>
            <w:noProof/>
          </w:rPr>
          <w:instrText xml:space="preserve"> PAGEREF _Toc193367281 \h </w:instrText>
        </w:r>
        <w:r w:rsidR="00FF1679">
          <w:rPr>
            <w:noProof/>
          </w:rPr>
        </w:r>
        <w:r w:rsidR="00FF1679">
          <w:rPr>
            <w:noProof/>
          </w:rPr>
          <w:fldChar w:fldCharType="separate"/>
        </w:r>
        <w:r w:rsidR="00132F53">
          <w:rPr>
            <w:noProof/>
          </w:rPr>
          <w:t>18</w:t>
        </w:r>
        <w:r w:rsidR="00FF1679">
          <w:rPr>
            <w:noProof/>
          </w:rPr>
          <w:fldChar w:fldCharType="end"/>
        </w:r>
      </w:hyperlink>
    </w:p>
    <w:p w14:paraId="468211E0" w14:textId="5B1E319F"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82" w:history="1">
        <w:r w:rsidR="00FF1679" w:rsidRPr="0014490C">
          <w:rPr>
            <w:rStyle w:val="Hyperlink"/>
            <w:rFonts w:eastAsia="DengXian Light" w:cs="Calibri"/>
            <w:noProof/>
          </w:rPr>
          <w:t>Figure 4: Different types of communication in the disaster management cycle. Image created by the author.</w:t>
        </w:r>
        <w:r w:rsidR="00FF1679">
          <w:rPr>
            <w:noProof/>
          </w:rPr>
          <w:tab/>
        </w:r>
        <w:r w:rsidR="00FF1679">
          <w:rPr>
            <w:noProof/>
          </w:rPr>
          <w:fldChar w:fldCharType="begin"/>
        </w:r>
        <w:r w:rsidR="00FF1679">
          <w:rPr>
            <w:noProof/>
          </w:rPr>
          <w:instrText xml:space="preserve"> PAGEREF _Toc193367282 \h </w:instrText>
        </w:r>
        <w:r w:rsidR="00FF1679">
          <w:rPr>
            <w:noProof/>
          </w:rPr>
        </w:r>
        <w:r w:rsidR="00FF1679">
          <w:rPr>
            <w:noProof/>
          </w:rPr>
          <w:fldChar w:fldCharType="separate"/>
        </w:r>
        <w:r w:rsidR="00132F53">
          <w:rPr>
            <w:noProof/>
          </w:rPr>
          <w:t>45</w:t>
        </w:r>
        <w:r w:rsidR="00FF1679">
          <w:rPr>
            <w:noProof/>
          </w:rPr>
          <w:fldChar w:fldCharType="end"/>
        </w:r>
      </w:hyperlink>
    </w:p>
    <w:p w14:paraId="06F494C5" w14:textId="4C488027"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83" w:history="1">
        <w:r w:rsidR="00FF1679" w:rsidRPr="0014490C">
          <w:rPr>
            <w:rStyle w:val="Hyperlink"/>
            <w:rFonts w:eastAsia="DengXian Light"/>
            <w:noProof/>
          </w:rPr>
          <w:t xml:space="preserve">Figure 5: </w:t>
        </w:r>
        <w:r w:rsidR="00FF1679" w:rsidRPr="0014490C">
          <w:rPr>
            <w:rStyle w:val="Hyperlink"/>
            <w:rFonts w:eastAsia="DengXian Light" w:cs="Calibri"/>
            <w:noProof/>
          </w:rPr>
          <w:t>Arnstein</w:t>
        </w:r>
        <w:r w:rsidR="00FF1679" w:rsidRPr="0014490C">
          <w:rPr>
            <w:rStyle w:val="Hyperlink"/>
            <w:rFonts w:eastAsia="DengXian Light"/>
            <w:noProof/>
          </w:rPr>
          <w:t>’s Ladder of Participation (Arnstein, 1969). Image Source: (Rogers, 2024)</w:t>
        </w:r>
        <w:r w:rsidR="00FF1679">
          <w:rPr>
            <w:noProof/>
          </w:rPr>
          <w:tab/>
        </w:r>
        <w:r w:rsidR="00FF1679">
          <w:rPr>
            <w:noProof/>
          </w:rPr>
          <w:fldChar w:fldCharType="begin"/>
        </w:r>
        <w:r w:rsidR="00FF1679">
          <w:rPr>
            <w:noProof/>
          </w:rPr>
          <w:instrText xml:space="preserve"> PAGEREF _Toc193367283 \h </w:instrText>
        </w:r>
        <w:r w:rsidR="00FF1679">
          <w:rPr>
            <w:noProof/>
          </w:rPr>
        </w:r>
        <w:r w:rsidR="00FF1679">
          <w:rPr>
            <w:noProof/>
          </w:rPr>
          <w:fldChar w:fldCharType="separate"/>
        </w:r>
        <w:r w:rsidR="00132F53">
          <w:rPr>
            <w:noProof/>
          </w:rPr>
          <w:t>49</w:t>
        </w:r>
        <w:r w:rsidR="00FF1679">
          <w:rPr>
            <w:noProof/>
          </w:rPr>
          <w:fldChar w:fldCharType="end"/>
        </w:r>
      </w:hyperlink>
    </w:p>
    <w:p w14:paraId="6FFC0D99" w14:textId="2323433A"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84" w:history="1">
        <w:r w:rsidR="00FF1679" w:rsidRPr="0014490C">
          <w:rPr>
            <w:rStyle w:val="Hyperlink"/>
            <w:rFonts w:eastAsia="DengXian Light" w:cs="Calibri"/>
            <w:noProof/>
          </w:rPr>
          <w:t>Figure 6: Disaster Management Cycle; source: Forino (2017)</w:t>
        </w:r>
        <w:r w:rsidR="00FF1679">
          <w:rPr>
            <w:noProof/>
          </w:rPr>
          <w:tab/>
        </w:r>
        <w:r w:rsidR="00FF1679">
          <w:rPr>
            <w:noProof/>
          </w:rPr>
          <w:fldChar w:fldCharType="begin"/>
        </w:r>
        <w:r w:rsidR="00FF1679">
          <w:rPr>
            <w:noProof/>
          </w:rPr>
          <w:instrText xml:space="preserve"> PAGEREF _Toc193367284 \h </w:instrText>
        </w:r>
        <w:r w:rsidR="00FF1679">
          <w:rPr>
            <w:noProof/>
          </w:rPr>
        </w:r>
        <w:r w:rsidR="00FF1679">
          <w:rPr>
            <w:noProof/>
          </w:rPr>
          <w:fldChar w:fldCharType="separate"/>
        </w:r>
        <w:r w:rsidR="00132F53">
          <w:rPr>
            <w:noProof/>
          </w:rPr>
          <w:t>63</w:t>
        </w:r>
        <w:r w:rsidR="00FF1679">
          <w:rPr>
            <w:noProof/>
          </w:rPr>
          <w:fldChar w:fldCharType="end"/>
        </w:r>
      </w:hyperlink>
    </w:p>
    <w:p w14:paraId="33A2A417" w14:textId="3EDF4DC0"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85" w:history="1">
        <w:r w:rsidR="00FF1679" w:rsidRPr="0014490C">
          <w:rPr>
            <w:rStyle w:val="Hyperlink"/>
            <w:rFonts w:eastAsia="DengXian Light" w:cs="Calibri"/>
            <w:noProof/>
          </w:rPr>
          <w:t>Figure 7: Reconceptualising disaster management, Source: O’Brien et al. (2010, p. 505)</w:t>
        </w:r>
        <w:r w:rsidR="00FF1679">
          <w:rPr>
            <w:noProof/>
          </w:rPr>
          <w:tab/>
        </w:r>
        <w:r w:rsidR="00FF1679">
          <w:rPr>
            <w:noProof/>
          </w:rPr>
          <w:fldChar w:fldCharType="begin"/>
        </w:r>
        <w:r w:rsidR="00FF1679">
          <w:rPr>
            <w:noProof/>
          </w:rPr>
          <w:instrText xml:space="preserve"> PAGEREF _Toc193367285 \h </w:instrText>
        </w:r>
        <w:r w:rsidR="00FF1679">
          <w:rPr>
            <w:noProof/>
          </w:rPr>
        </w:r>
        <w:r w:rsidR="00FF1679">
          <w:rPr>
            <w:noProof/>
          </w:rPr>
          <w:fldChar w:fldCharType="separate"/>
        </w:r>
        <w:r w:rsidR="00132F53">
          <w:rPr>
            <w:noProof/>
          </w:rPr>
          <w:t>64</w:t>
        </w:r>
        <w:r w:rsidR="00FF1679">
          <w:rPr>
            <w:noProof/>
          </w:rPr>
          <w:fldChar w:fldCharType="end"/>
        </w:r>
      </w:hyperlink>
    </w:p>
    <w:p w14:paraId="017DC36D" w14:textId="52CF2D1D"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86" w:history="1">
        <w:r w:rsidR="00FF1679" w:rsidRPr="0014490C">
          <w:rPr>
            <w:rStyle w:val="Hyperlink"/>
            <w:rFonts w:eastAsia="DengXian Light" w:cs="Calibri"/>
            <w:noProof/>
          </w:rPr>
          <w:t>Figure 8: Bonding, bridging, and linking social capital; Soure: Sanyal &amp; Routray (2016, p. 103)</w:t>
        </w:r>
        <w:r w:rsidR="00FF1679">
          <w:rPr>
            <w:noProof/>
          </w:rPr>
          <w:tab/>
        </w:r>
        <w:r w:rsidR="00FF1679">
          <w:rPr>
            <w:noProof/>
          </w:rPr>
          <w:fldChar w:fldCharType="begin"/>
        </w:r>
        <w:r w:rsidR="00FF1679">
          <w:rPr>
            <w:noProof/>
          </w:rPr>
          <w:instrText xml:space="preserve"> PAGEREF _Toc193367286 \h </w:instrText>
        </w:r>
        <w:r w:rsidR="00FF1679">
          <w:rPr>
            <w:noProof/>
          </w:rPr>
        </w:r>
        <w:r w:rsidR="00FF1679">
          <w:rPr>
            <w:noProof/>
          </w:rPr>
          <w:fldChar w:fldCharType="separate"/>
        </w:r>
        <w:r w:rsidR="00132F53">
          <w:rPr>
            <w:noProof/>
          </w:rPr>
          <w:t>76</w:t>
        </w:r>
        <w:r w:rsidR="00FF1679">
          <w:rPr>
            <w:noProof/>
          </w:rPr>
          <w:fldChar w:fldCharType="end"/>
        </w:r>
      </w:hyperlink>
    </w:p>
    <w:p w14:paraId="50BEE17F" w14:textId="0A72EA7F"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87" w:history="1">
        <w:r w:rsidR="00FF1679" w:rsidRPr="0014490C">
          <w:rPr>
            <w:rStyle w:val="Hyperlink"/>
            <w:rFonts w:eastAsia="DengXian Light" w:cs="Calibri"/>
            <w:noProof/>
          </w:rPr>
          <w:t>Figure 9: Flood Forecasting Centre account on X (image collected at 17.26 on 13th September 2023); Source: Flood Forecasting Centre (2023)</w:t>
        </w:r>
        <w:r w:rsidR="00FF1679">
          <w:rPr>
            <w:noProof/>
          </w:rPr>
          <w:tab/>
        </w:r>
        <w:r w:rsidR="00FF1679">
          <w:rPr>
            <w:noProof/>
          </w:rPr>
          <w:fldChar w:fldCharType="begin"/>
        </w:r>
        <w:r w:rsidR="00FF1679">
          <w:rPr>
            <w:noProof/>
          </w:rPr>
          <w:instrText xml:space="preserve"> PAGEREF _Toc193367287 \h </w:instrText>
        </w:r>
        <w:r w:rsidR="00FF1679">
          <w:rPr>
            <w:noProof/>
          </w:rPr>
        </w:r>
        <w:r w:rsidR="00FF1679">
          <w:rPr>
            <w:noProof/>
          </w:rPr>
          <w:fldChar w:fldCharType="separate"/>
        </w:r>
        <w:r w:rsidR="00132F53">
          <w:rPr>
            <w:noProof/>
          </w:rPr>
          <w:t>91</w:t>
        </w:r>
        <w:r w:rsidR="00FF1679">
          <w:rPr>
            <w:noProof/>
          </w:rPr>
          <w:fldChar w:fldCharType="end"/>
        </w:r>
      </w:hyperlink>
    </w:p>
    <w:p w14:paraId="45DDA81E" w14:textId="4F1AE2AB"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88" w:history="1">
        <w:r w:rsidR="00FF1679" w:rsidRPr="0014490C">
          <w:rPr>
            <w:rStyle w:val="Hyperlink"/>
            <w:rFonts w:eastAsia="DengXian Light" w:cs="Calibri"/>
            <w:noProof/>
          </w:rPr>
          <w:t>Figure 10: Research philosophy and strategy of the project, created by the author.</w:t>
        </w:r>
        <w:r w:rsidR="00FF1679">
          <w:rPr>
            <w:noProof/>
          </w:rPr>
          <w:tab/>
        </w:r>
        <w:r w:rsidR="00FF1679">
          <w:rPr>
            <w:noProof/>
          </w:rPr>
          <w:fldChar w:fldCharType="begin"/>
        </w:r>
        <w:r w:rsidR="00FF1679">
          <w:rPr>
            <w:noProof/>
          </w:rPr>
          <w:instrText xml:space="preserve"> PAGEREF _Toc193367288 \h </w:instrText>
        </w:r>
        <w:r w:rsidR="00FF1679">
          <w:rPr>
            <w:noProof/>
          </w:rPr>
        </w:r>
        <w:r w:rsidR="00FF1679">
          <w:rPr>
            <w:noProof/>
          </w:rPr>
          <w:fldChar w:fldCharType="separate"/>
        </w:r>
        <w:r w:rsidR="00132F53">
          <w:rPr>
            <w:noProof/>
          </w:rPr>
          <w:t>106</w:t>
        </w:r>
        <w:r w:rsidR="00FF1679">
          <w:rPr>
            <w:noProof/>
          </w:rPr>
          <w:fldChar w:fldCharType="end"/>
        </w:r>
      </w:hyperlink>
    </w:p>
    <w:p w14:paraId="63876A2D" w14:textId="424D8812"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89" w:history="1">
        <w:r w:rsidR="00FF1679" w:rsidRPr="0014490C">
          <w:rPr>
            <w:rStyle w:val="Hyperlink"/>
            <w:rFonts w:eastAsia="DengXian Light" w:cs="Calibri"/>
            <w:noProof/>
          </w:rPr>
          <w:t>Figure 11: My Twitter profile</w:t>
        </w:r>
        <w:r w:rsidR="00FF1679">
          <w:rPr>
            <w:noProof/>
          </w:rPr>
          <w:tab/>
        </w:r>
        <w:r w:rsidR="00FF1679">
          <w:rPr>
            <w:noProof/>
          </w:rPr>
          <w:fldChar w:fldCharType="begin"/>
        </w:r>
        <w:r w:rsidR="00FF1679">
          <w:rPr>
            <w:noProof/>
          </w:rPr>
          <w:instrText xml:space="preserve"> PAGEREF _Toc193367289 \h </w:instrText>
        </w:r>
        <w:r w:rsidR="00FF1679">
          <w:rPr>
            <w:noProof/>
          </w:rPr>
        </w:r>
        <w:r w:rsidR="00FF1679">
          <w:rPr>
            <w:noProof/>
          </w:rPr>
          <w:fldChar w:fldCharType="separate"/>
        </w:r>
        <w:r w:rsidR="00132F53">
          <w:rPr>
            <w:noProof/>
          </w:rPr>
          <w:t>120</w:t>
        </w:r>
        <w:r w:rsidR="00FF1679">
          <w:rPr>
            <w:noProof/>
          </w:rPr>
          <w:fldChar w:fldCharType="end"/>
        </w:r>
      </w:hyperlink>
    </w:p>
    <w:p w14:paraId="5D013409" w14:textId="050A254F"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90" w:history="1">
        <w:r w:rsidR="00FF1679" w:rsidRPr="0014490C">
          <w:rPr>
            <w:rStyle w:val="Hyperlink"/>
            <w:rFonts w:eastAsia="DengXian Light" w:cs="Calibri"/>
            <w:noProof/>
          </w:rPr>
          <w:t>Figure 12: SYFR Community Risk Model methodology formula (South Yorkshire Fire and Rescue, 2015)</w:t>
        </w:r>
        <w:r w:rsidR="00FF1679">
          <w:rPr>
            <w:noProof/>
          </w:rPr>
          <w:tab/>
        </w:r>
        <w:r w:rsidR="00FF1679">
          <w:rPr>
            <w:noProof/>
          </w:rPr>
          <w:fldChar w:fldCharType="begin"/>
        </w:r>
        <w:r w:rsidR="00FF1679">
          <w:rPr>
            <w:noProof/>
          </w:rPr>
          <w:instrText xml:space="preserve"> PAGEREF _Toc193367290 \h </w:instrText>
        </w:r>
        <w:r w:rsidR="00FF1679">
          <w:rPr>
            <w:noProof/>
          </w:rPr>
        </w:r>
        <w:r w:rsidR="00FF1679">
          <w:rPr>
            <w:noProof/>
          </w:rPr>
          <w:fldChar w:fldCharType="separate"/>
        </w:r>
        <w:r w:rsidR="00132F53">
          <w:rPr>
            <w:noProof/>
          </w:rPr>
          <w:t>121</w:t>
        </w:r>
        <w:r w:rsidR="00FF1679">
          <w:rPr>
            <w:noProof/>
          </w:rPr>
          <w:fldChar w:fldCharType="end"/>
        </w:r>
      </w:hyperlink>
    </w:p>
    <w:p w14:paraId="1236287F" w14:textId="2323D1A5"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91" w:history="1">
        <w:r w:rsidR="00FF1679" w:rsidRPr="0014490C">
          <w:rPr>
            <w:rStyle w:val="Hyperlink"/>
            <w:rFonts w:eastAsia="DengXian Light" w:cs="Calibri"/>
            <w:noProof/>
          </w:rPr>
          <w:t>Figure 13: SYFR campaign calendar 2019</w:t>
        </w:r>
        <w:r w:rsidR="00FF1679">
          <w:rPr>
            <w:noProof/>
          </w:rPr>
          <w:tab/>
        </w:r>
        <w:r w:rsidR="00FF1679">
          <w:rPr>
            <w:noProof/>
          </w:rPr>
          <w:fldChar w:fldCharType="begin"/>
        </w:r>
        <w:r w:rsidR="00FF1679">
          <w:rPr>
            <w:noProof/>
          </w:rPr>
          <w:instrText xml:space="preserve"> PAGEREF _Toc193367291 \h </w:instrText>
        </w:r>
        <w:r w:rsidR="00FF1679">
          <w:rPr>
            <w:noProof/>
          </w:rPr>
        </w:r>
        <w:r w:rsidR="00FF1679">
          <w:rPr>
            <w:noProof/>
          </w:rPr>
          <w:fldChar w:fldCharType="separate"/>
        </w:r>
        <w:r w:rsidR="00132F53">
          <w:rPr>
            <w:noProof/>
          </w:rPr>
          <w:t>159</w:t>
        </w:r>
        <w:r w:rsidR="00FF1679">
          <w:rPr>
            <w:noProof/>
          </w:rPr>
          <w:fldChar w:fldCharType="end"/>
        </w:r>
      </w:hyperlink>
    </w:p>
    <w:p w14:paraId="42BC40D7" w14:textId="7FF5EE05"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92" w:history="1">
        <w:r w:rsidR="00FF1679" w:rsidRPr="0014490C">
          <w:rPr>
            <w:rStyle w:val="Hyperlink"/>
            <w:rFonts w:eastAsia="DengXian Light" w:cs="Calibri"/>
            <w:noProof/>
          </w:rPr>
          <w:t>Figure 14: SYFR campaign calendar 2020</w:t>
        </w:r>
        <w:r w:rsidR="00FF1679">
          <w:rPr>
            <w:noProof/>
          </w:rPr>
          <w:tab/>
        </w:r>
        <w:r w:rsidR="00FF1679">
          <w:rPr>
            <w:noProof/>
          </w:rPr>
          <w:fldChar w:fldCharType="begin"/>
        </w:r>
        <w:r w:rsidR="00FF1679">
          <w:rPr>
            <w:noProof/>
          </w:rPr>
          <w:instrText xml:space="preserve"> PAGEREF _Toc193367292 \h </w:instrText>
        </w:r>
        <w:r w:rsidR="00FF1679">
          <w:rPr>
            <w:noProof/>
          </w:rPr>
        </w:r>
        <w:r w:rsidR="00FF1679">
          <w:rPr>
            <w:noProof/>
          </w:rPr>
          <w:fldChar w:fldCharType="separate"/>
        </w:r>
        <w:r w:rsidR="00132F53">
          <w:rPr>
            <w:noProof/>
          </w:rPr>
          <w:t>160</w:t>
        </w:r>
        <w:r w:rsidR="00FF1679">
          <w:rPr>
            <w:noProof/>
          </w:rPr>
          <w:fldChar w:fldCharType="end"/>
        </w:r>
      </w:hyperlink>
    </w:p>
    <w:p w14:paraId="4B10547E" w14:textId="1243879F"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93" w:history="1">
        <w:r w:rsidR="00FF1679" w:rsidRPr="0014490C">
          <w:rPr>
            <w:rStyle w:val="Hyperlink"/>
            <w:rFonts w:eastAsia="DengXian Light" w:cs="Calibri"/>
            <w:noProof/>
          </w:rPr>
          <w:t>Figure 15: SYFR campaign calendar 2021</w:t>
        </w:r>
        <w:r w:rsidR="00FF1679">
          <w:rPr>
            <w:noProof/>
          </w:rPr>
          <w:tab/>
        </w:r>
        <w:r w:rsidR="00FF1679">
          <w:rPr>
            <w:noProof/>
          </w:rPr>
          <w:fldChar w:fldCharType="begin"/>
        </w:r>
        <w:r w:rsidR="00FF1679">
          <w:rPr>
            <w:noProof/>
          </w:rPr>
          <w:instrText xml:space="preserve"> PAGEREF _Toc193367293 \h </w:instrText>
        </w:r>
        <w:r w:rsidR="00FF1679">
          <w:rPr>
            <w:noProof/>
          </w:rPr>
        </w:r>
        <w:r w:rsidR="00FF1679">
          <w:rPr>
            <w:noProof/>
          </w:rPr>
          <w:fldChar w:fldCharType="separate"/>
        </w:r>
        <w:r w:rsidR="00132F53">
          <w:rPr>
            <w:noProof/>
          </w:rPr>
          <w:t>161</w:t>
        </w:r>
        <w:r w:rsidR="00FF1679">
          <w:rPr>
            <w:noProof/>
          </w:rPr>
          <w:fldChar w:fldCharType="end"/>
        </w:r>
      </w:hyperlink>
    </w:p>
    <w:p w14:paraId="4C863E30" w14:textId="4EF255E0"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94" w:history="1">
        <w:r w:rsidR="00FF1679" w:rsidRPr="0014490C">
          <w:rPr>
            <w:rStyle w:val="Hyperlink"/>
            <w:rFonts w:eastAsia="DengXian Light" w:cs="Calibri"/>
            <w:noProof/>
          </w:rPr>
          <w:t>Figure 16: SYFR IRS database - Deliberate Fires; Source: photo taken by author on 29/11/2019.</w:t>
        </w:r>
        <w:r w:rsidR="00FF1679">
          <w:rPr>
            <w:noProof/>
          </w:rPr>
          <w:tab/>
        </w:r>
        <w:r w:rsidR="00FF1679">
          <w:rPr>
            <w:noProof/>
          </w:rPr>
          <w:fldChar w:fldCharType="begin"/>
        </w:r>
        <w:r w:rsidR="00FF1679">
          <w:rPr>
            <w:noProof/>
          </w:rPr>
          <w:instrText xml:space="preserve"> PAGEREF _Toc193367294 \h </w:instrText>
        </w:r>
        <w:r w:rsidR="00FF1679">
          <w:rPr>
            <w:noProof/>
          </w:rPr>
        </w:r>
        <w:r w:rsidR="00FF1679">
          <w:rPr>
            <w:noProof/>
          </w:rPr>
          <w:fldChar w:fldCharType="separate"/>
        </w:r>
        <w:r w:rsidR="00132F53">
          <w:rPr>
            <w:noProof/>
          </w:rPr>
          <w:t>164</w:t>
        </w:r>
        <w:r w:rsidR="00FF1679">
          <w:rPr>
            <w:noProof/>
          </w:rPr>
          <w:fldChar w:fldCharType="end"/>
        </w:r>
      </w:hyperlink>
    </w:p>
    <w:p w14:paraId="550C9E2A" w14:textId="2D38DE68"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95" w:history="1">
        <w:r w:rsidR="00FF1679" w:rsidRPr="0014490C">
          <w:rPr>
            <w:rStyle w:val="Hyperlink"/>
            <w:rFonts w:eastAsia="DengXian Light" w:cs="Calibri"/>
            <w:noProof/>
          </w:rPr>
          <w:t>Figure 17: SYFR IRS database - Non-Domestic Fires; Source: photo taken by author on 29/11/2019.</w:t>
        </w:r>
        <w:r w:rsidR="00FF1679">
          <w:rPr>
            <w:noProof/>
          </w:rPr>
          <w:tab/>
        </w:r>
        <w:r w:rsidR="00FF1679">
          <w:rPr>
            <w:noProof/>
          </w:rPr>
          <w:fldChar w:fldCharType="begin"/>
        </w:r>
        <w:r w:rsidR="00FF1679">
          <w:rPr>
            <w:noProof/>
          </w:rPr>
          <w:instrText xml:space="preserve"> PAGEREF _Toc193367295 \h </w:instrText>
        </w:r>
        <w:r w:rsidR="00FF1679">
          <w:rPr>
            <w:noProof/>
          </w:rPr>
        </w:r>
        <w:r w:rsidR="00FF1679">
          <w:rPr>
            <w:noProof/>
          </w:rPr>
          <w:fldChar w:fldCharType="separate"/>
        </w:r>
        <w:r w:rsidR="00132F53">
          <w:rPr>
            <w:noProof/>
          </w:rPr>
          <w:t>165</w:t>
        </w:r>
        <w:r w:rsidR="00FF1679">
          <w:rPr>
            <w:noProof/>
          </w:rPr>
          <w:fldChar w:fldCharType="end"/>
        </w:r>
      </w:hyperlink>
    </w:p>
    <w:p w14:paraId="601C8C38" w14:textId="49FE4346"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96" w:history="1">
        <w:r w:rsidR="00FF1679" w:rsidRPr="0014490C">
          <w:rPr>
            <w:rStyle w:val="Hyperlink"/>
            <w:rFonts w:eastAsia="DengXian Light" w:cs="Calibri"/>
            <w:noProof/>
          </w:rPr>
          <w:t>Figure 18: SYFR IRS database - Incidents by Occupancy; Source: photo taken by author on 29/11/2019.</w:t>
        </w:r>
        <w:r w:rsidR="00FF1679">
          <w:rPr>
            <w:noProof/>
          </w:rPr>
          <w:tab/>
        </w:r>
        <w:r w:rsidR="00FF1679">
          <w:rPr>
            <w:noProof/>
          </w:rPr>
          <w:fldChar w:fldCharType="begin"/>
        </w:r>
        <w:r w:rsidR="00FF1679">
          <w:rPr>
            <w:noProof/>
          </w:rPr>
          <w:instrText xml:space="preserve"> PAGEREF _Toc193367296 \h </w:instrText>
        </w:r>
        <w:r w:rsidR="00FF1679">
          <w:rPr>
            <w:noProof/>
          </w:rPr>
        </w:r>
        <w:r w:rsidR="00FF1679">
          <w:rPr>
            <w:noProof/>
          </w:rPr>
          <w:fldChar w:fldCharType="separate"/>
        </w:r>
        <w:r w:rsidR="00132F53">
          <w:rPr>
            <w:noProof/>
          </w:rPr>
          <w:t>166</w:t>
        </w:r>
        <w:r w:rsidR="00FF1679">
          <w:rPr>
            <w:noProof/>
          </w:rPr>
          <w:fldChar w:fldCharType="end"/>
        </w:r>
      </w:hyperlink>
    </w:p>
    <w:p w14:paraId="423C2DD0" w14:textId="3644E25C"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97" w:history="1">
        <w:r w:rsidR="00FF1679" w:rsidRPr="0014490C">
          <w:rPr>
            <w:rStyle w:val="Hyperlink"/>
            <w:rFonts w:eastAsia="DengXian Light"/>
            <w:noProof/>
          </w:rPr>
          <w:t>Figure 19: Nesting of communication logics; Source: Author</w:t>
        </w:r>
        <w:r w:rsidR="00FF1679">
          <w:rPr>
            <w:noProof/>
          </w:rPr>
          <w:tab/>
        </w:r>
        <w:r w:rsidR="00FF1679">
          <w:rPr>
            <w:noProof/>
          </w:rPr>
          <w:fldChar w:fldCharType="begin"/>
        </w:r>
        <w:r w:rsidR="00FF1679">
          <w:rPr>
            <w:noProof/>
          </w:rPr>
          <w:instrText xml:space="preserve"> PAGEREF _Toc193367297 \h </w:instrText>
        </w:r>
        <w:r w:rsidR="00FF1679">
          <w:rPr>
            <w:noProof/>
          </w:rPr>
        </w:r>
        <w:r w:rsidR="00FF1679">
          <w:rPr>
            <w:noProof/>
          </w:rPr>
          <w:fldChar w:fldCharType="separate"/>
        </w:r>
        <w:r w:rsidR="00132F53">
          <w:rPr>
            <w:noProof/>
          </w:rPr>
          <w:t>191</w:t>
        </w:r>
        <w:r w:rsidR="00FF1679">
          <w:rPr>
            <w:noProof/>
          </w:rPr>
          <w:fldChar w:fldCharType="end"/>
        </w:r>
      </w:hyperlink>
    </w:p>
    <w:p w14:paraId="19B66CDE" w14:textId="7CDFC544"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98" w:history="1">
        <w:r w:rsidR="00FF1679" w:rsidRPr="0014490C">
          <w:rPr>
            <w:rStyle w:val="Hyperlink"/>
            <w:rFonts w:eastAsia="DengXian Light" w:cs="Calibri"/>
            <w:noProof/>
          </w:rPr>
          <w:t>Figure 20: SYFR’s Twitter Followers - Top Locations; Source: Author (October 2020)</w:t>
        </w:r>
        <w:r w:rsidR="00FF1679">
          <w:rPr>
            <w:noProof/>
          </w:rPr>
          <w:tab/>
        </w:r>
        <w:r w:rsidR="00FF1679">
          <w:rPr>
            <w:noProof/>
          </w:rPr>
          <w:fldChar w:fldCharType="begin"/>
        </w:r>
        <w:r w:rsidR="00FF1679">
          <w:rPr>
            <w:noProof/>
          </w:rPr>
          <w:instrText xml:space="preserve"> PAGEREF _Toc193367298 \h </w:instrText>
        </w:r>
        <w:r w:rsidR="00FF1679">
          <w:rPr>
            <w:noProof/>
          </w:rPr>
        </w:r>
        <w:r w:rsidR="00FF1679">
          <w:rPr>
            <w:noProof/>
          </w:rPr>
          <w:fldChar w:fldCharType="separate"/>
        </w:r>
        <w:r w:rsidR="00132F53">
          <w:rPr>
            <w:noProof/>
          </w:rPr>
          <w:t>212</w:t>
        </w:r>
        <w:r w:rsidR="00FF1679">
          <w:rPr>
            <w:noProof/>
          </w:rPr>
          <w:fldChar w:fldCharType="end"/>
        </w:r>
      </w:hyperlink>
    </w:p>
    <w:p w14:paraId="067B2E22" w14:textId="2009A595"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299" w:history="1">
        <w:r w:rsidR="00FF1679" w:rsidRPr="0014490C">
          <w:rPr>
            <w:rStyle w:val="Hyperlink"/>
            <w:rFonts w:eastAsia="DengXian Light" w:cs="Calibri"/>
            <w:noProof/>
          </w:rPr>
          <w:t>Figure 21: A map the world showing SYFR’s Twitter Followers; Source: Author (October 2020).</w:t>
        </w:r>
        <w:r w:rsidR="00FF1679">
          <w:rPr>
            <w:noProof/>
          </w:rPr>
          <w:tab/>
        </w:r>
        <w:r w:rsidR="00FF1679">
          <w:rPr>
            <w:noProof/>
          </w:rPr>
          <w:fldChar w:fldCharType="begin"/>
        </w:r>
        <w:r w:rsidR="00FF1679">
          <w:rPr>
            <w:noProof/>
          </w:rPr>
          <w:instrText xml:space="preserve"> PAGEREF _Toc193367299 \h </w:instrText>
        </w:r>
        <w:r w:rsidR="00FF1679">
          <w:rPr>
            <w:noProof/>
          </w:rPr>
        </w:r>
        <w:r w:rsidR="00FF1679">
          <w:rPr>
            <w:noProof/>
          </w:rPr>
          <w:fldChar w:fldCharType="separate"/>
        </w:r>
        <w:r w:rsidR="00132F53">
          <w:rPr>
            <w:noProof/>
          </w:rPr>
          <w:t>214</w:t>
        </w:r>
        <w:r w:rsidR="00FF1679">
          <w:rPr>
            <w:noProof/>
          </w:rPr>
          <w:fldChar w:fldCharType="end"/>
        </w:r>
      </w:hyperlink>
    </w:p>
    <w:p w14:paraId="3EA58BA5" w14:textId="0B48441D"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300" w:history="1">
        <w:r w:rsidR="00FF1679" w:rsidRPr="0014490C">
          <w:rPr>
            <w:rStyle w:val="Hyperlink"/>
            <w:rFonts w:eastAsia="DengXian Light" w:cs="Calibri"/>
            <w:noProof/>
          </w:rPr>
          <w:t xml:space="preserve">Figure 22: A map of the UK showing SYFR’s Twitter </w:t>
        </w:r>
        <w:r w:rsidR="00FF1679" w:rsidRPr="0014490C">
          <w:rPr>
            <w:rStyle w:val="Hyperlink"/>
            <w:rFonts w:eastAsia="DengXian Light"/>
            <w:noProof/>
          </w:rPr>
          <w:t>Followers</w:t>
        </w:r>
        <w:r w:rsidR="00FF1679" w:rsidRPr="0014490C">
          <w:rPr>
            <w:rStyle w:val="Hyperlink"/>
            <w:rFonts w:eastAsia="Calibri"/>
            <w:noProof/>
          </w:rPr>
          <w:t>; Source: Author (October 2020).</w:t>
        </w:r>
        <w:r w:rsidR="00FF1679">
          <w:rPr>
            <w:noProof/>
          </w:rPr>
          <w:tab/>
        </w:r>
        <w:r w:rsidR="00FF1679">
          <w:rPr>
            <w:noProof/>
          </w:rPr>
          <w:fldChar w:fldCharType="begin"/>
        </w:r>
        <w:r w:rsidR="00FF1679">
          <w:rPr>
            <w:noProof/>
          </w:rPr>
          <w:instrText xml:space="preserve"> PAGEREF _Toc193367300 \h </w:instrText>
        </w:r>
        <w:r w:rsidR="00FF1679">
          <w:rPr>
            <w:noProof/>
          </w:rPr>
        </w:r>
        <w:r w:rsidR="00FF1679">
          <w:rPr>
            <w:noProof/>
          </w:rPr>
          <w:fldChar w:fldCharType="separate"/>
        </w:r>
        <w:r w:rsidR="00132F53">
          <w:rPr>
            <w:noProof/>
          </w:rPr>
          <w:t>215</w:t>
        </w:r>
        <w:r w:rsidR="00FF1679">
          <w:rPr>
            <w:noProof/>
          </w:rPr>
          <w:fldChar w:fldCharType="end"/>
        </w:r>
      </w:hyperlink>
    </w:p>
    <w:p w14:paraId="6FEB02BE" w14:textId="6A84DE6C"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301" w:history="1">
        <w:r w:rsidR="00FF1679" w:rsidRPr="0014490C">
          <w:rPr>
            <w:rStyle w:val="Hyperlink"/>
            <w:rFonts w:eastAsia="DengXian Light" w:cs="Calibri"/>
            <w:noProof/>
          </w:rPr>
          <w:t>Figure 23: Map of South Yorkshire showing SYFR's Twitter followers; Source: Author (October 2020).</w:t>
        </w:r>
        <w:r w:rsidR="00FF1679">
          <w:rPr>
            <w:noProof/>
          </w:rPr>
          <w:tab/>
        </w:r>
        <w:r w:rsidR="00FF1679">
          <w:rPr>
            <w:noProof/>
          </w:rPr>
          <w:fldChar w:fldCharType="begin"/>
        </w:r>
        <w:r w:rsidR="00FF1679">
          <w:rPr>
            <w:noProof/>
          </w:rPr>
          <w:instrText xml:space="preserve"> PAGEREF _Toc193367301 \h </w:instrText>
        </w:r>
        <w:r w:rsidR="00FF1679">
          <w:rPr>
            <w:noProof/>
          </w:rPr>
        </w:r>
        <w:r w:rsidR="00FF1679">
          <w:rPr>
            <w:noProof/>
          </w:rPr>
          <w:fldChar w:fldCharType="separate"/>
        </w:r>
        <w:r w:rsidR="00132F53">
          <w:rPr>
            <w:noProof/>
          </w:rPr>
          <w:t>217</w:t>
        </w:r>
        <w:r w:rsidR="00FF1679">
          <w:rPr>
            <w:noProof/>
          </w:rPr>
          <w:fldChar w:fldCharType="end"/>
        </w:r>
      </w:hyperlink>
    </w:p>
    <w:p w14:paraId="25D53001" w14:textId="24578D78"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302" w:history="1">
        <w:r w:rsidR="00FF1679" w:rsidRPr="0014490C">
          <w:rPr>
            <w:rStyle w:val="Hyperlink"/>
            <w:rFonts w:eastAsia="DengXian Light" w:cs="Calibri"/>
            <w:noProof/>
          </w:rPr>
          <w:t>Figure 24: Mentions of @SYFR on Twitter - Unique locations; Source: Author (October 2020).</w:t>
        </w:r>
        <w:r w:rsidR="00FF1679">
          <w:rPr>
            <w:noProof/>
          </w:rPr>
          <w:tab/>
        </w:r>
        <w:r w:rsidR="00FF1679">
          <w:rPr>
            <w:noProof/>
          </w:rPr>
          <w:fldChar w:fldCharType="begin"/>
        </w:r>
        <w:r w:rsidR="00FF1679">
          <w:rPr>
            <w:noProof/>
          </w:rPr>
          <w:instrText xml:space="preserve"> PAGEREF _Toc193367302 \h </w:instrText>
        </w:r>
        <w:r w:rsidR="00FF1679">
          <w:rPr>
            <w:noProof/>
          </w:rPr>
        </w:r>
        <w:r w:rsidR="00FF1679">
          <w:rPr>
            <w:noProof/>
          </w:rPr>
          <w:fldChar w:fldCharType="separate"/>
        </w:r>
        <w:r w:rsidR="00132F53">
          <w:rPr>
            <w:noProof/>
          </w:rPr>
          <w:t>219</w:t>
        </w:r>
        <w:r w:rsidR="00FF1679">
          <w:rPr>
            <w:noProof/>
          </w:rPr>
          <w:fldChar w:fldCharType="end"/>
        </w:r>
      </w:hyperlink>
    </w:p>
    <w:p w14:paraId="7E9F6F4D" w14:textId="622E0A66"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303" w:history="1">
        <w:r w:rsidR="00FF1679" w:rsidRPr="0014490C">
          <w:rPr>
            <w:rStyle w:val="Hyperlink"/>
            <w:rFonts w:eastAsia="DengXian Light" w:cs="Calibri"/>
            <w:noProof/>
          </w:rPr>
          <w:t>Figure 25: Mentions of @SYFR with retweets – unique locations; Source: Author (October 2020).</w:t>
        </w:r>
        <w:r w:rsidR="00FF1679">
          <w:rPr>
            <w:noProof/>
          </w:rPr>
          <w:tab/>
        </w:r>
        <w:r w:rsidR="00FF1679">
          <w:rPr>
            <w:noProof/>
          </w:rPr>
          <w:fldChar w:fldCharType="begin"/>
        </w:r>
        <w:r w:rsidR="00FF1679">
          <w:rPr>
            <w:noProof/>
          </w:rPr>
          <w:instrText xml:space="preserve"> PAGEREF _Toc193367303 \h </w:instrText>
        </w:r>
        <w:r w:rsidR="00FF1679">
          <w:rPr>
            <w:noProof/>
          </w:rPr>
        </w:r>
        <w:r w:rsidR="00FF1679">
          <w:rPr>
            <w:noProof/>
          </w:rPr>
          <w:fldChar w:fldCharType="separate"/>
        </w:r>
        <w:r w:rsidR="00132F53">
          <w:rPr>
            <w:noProof/>
          </w:rPr>
          <w:t>221</w:t>
        </w:r>
        <w:r w:rsidR="00FF1679">
          <w:rPr>
            <w:noProof/>
          </w:rPr>
          <w:fldChar w:fldCharType="end"/>
        </w:r>
      </w:hyperlink>
    </w:p>
    <w:p w14:paraId="457DCE1D" w14:textId="2DC436CB"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304" w:history="1">
        <w:r w:rsidR="00FF1679" w:rsidRPr="0014490C">
          <w:rPr>
            <w:rStyle w:val="Hyperlink"/>
            <w:rFonts w:eastAsia="DengXian Light" w:cs="Calibri"/>
            <w:noProof/>
          </w:rPr>
          <w:t>Figure 26: Social media performance (SYFR Communication Report – January – February 2019; pg3).</w:t>
        </w:r>
        <w:r w:rsidR="00FF1679">
          <w:rPr>
            <w:noProof/>
          </w:rPr>
          <w:tab/>
        </w:r>
        <w:r w:rsidR="00FF1679">
          <w:rPr>
            <w:noProof/>
          </w:rPr>
          <w:fldChar w:fldCharType="begin"/>
        </w:r>
        <w:r w:rsidR="00FF1679">
          <w:rPr>
            <w:noProof/>
          </w:rPr>
          <w:instrText xml:space="preserve"> PAGEREF _Toc193367304 \h </w:instrText>
        </w:r>
        <w:r w:rsidR="00FF1679">
          <w:rPr>
            <w:noProof/>
          </w:rPr>
        </w:r>
        <w:r w:rsidR="00FF1679">
          <w:rPr>
            <w:noProof/>
          </w:rPr>
          <w:fldChar w:fldCharType="separate"/>
        </w:r>
        <w:r w:rsidR="00132F53">
          <w:rPr>
            <w:noProof/>
          </w:rPr>
          <w:t>222</w:t>
        </w:r>
        <w:r w:rsidR="00FF1679">
          <w:rPr>
            <w:noProof/>
          </w:rPr>
          <w:fldChar w:fldCharType="end"/>
        </w:r>
      </w:hyperlink>
    </w:p>
    <w:p w14:paraId="0659132B" w14:textId="7745AE5B" w:rsidR="00FF1679" w:rsidRDefault="00000000">
      <w:pPr>
        <w:pStyle w:val="TableofFigures"/>
        <w:tabs>
          <w:tab w:val="right" w:leader="dot" w:pos="9016"/>
        </w:tabs>
        <w:rPr>
          <w:rFonts w:asciiTheme="minorHAnsi" w:eastAsiaTheme="minorEastAsia" w:hAnsiTheme="minorHAnsi" w:cstheme="minorBidi"/>
          <w:noProof/>
          <w:kern w:val="2"/>
          <w:lang w:eastAsia="zh-CN"/>
          <w14:ligatures w14:val="standardContextual"/>
        </w:rPr>
      </w:pPr>
      <w:hyperlink w:anchor="_Toc193367305" w:history="1">
        <w:r w:rsidR="00FF1679" w:rsidRPr="0014490C">
          <w:rPr>
            <w:rStyle w:val="Hyperlink"/>
            <w:rFonts w:eastAsia="DengXian Light"/>
            <w:noProof/>
          </w:rPr>
          <w:t xml:space="preserve">Figure 27: </w:t>
        </w:r>
        <w:r w:rsidR="00FF1679" w:rsidRPr="0014490C">
          <w:rPr>
            <w:rStyle w:val="Hyperlink"/>
            <w:rFonts w:eastAsia="DengXian Light" w:cs="Calibri"/>
            <w:noProof/>
          </w:rPr>
          <w:t>SYFR Community Risk Model methodology formula (South Yorkshire Fire and Rescue, 2015)</w:t>
        </w:r>
        <w:r w:rsidR="00FF1679">
          <w:rPr>
            <w:noProof/>
          </w:rPr>
          <w:tab/>
        </w:r>
        <w:r w:rsidR="00FF1679">
          <w:rPr>
            <w:noProof/>
          </w:rPr>
          <w:fldChar w:fldCharType="begin"/>
        </w:r>
        <w:r w:rsidR="00FF1679">
          <w:rPr>
            <w:noProof/>
          </w:rPr>
          <w:instrText xml:space="preserve"> PAGEREF _Toc193367305 \h </w:instrText>
        </w:r>
        <w:r w:rsidR="00FF1679">
          <w:rPr>
            <w:noProof/>
          </w:rPr>
        </w:r>
        <w:r w:rsidR="00FF1679">
          <w:rPr>
            <w:noProof/>
          </w:rPr>
          <w:fldChar w:fldCharType="separate"/>
        </w:r>
        <w:r w:rsidR="00132F53">
          <w:rPr>
            <w:noProof/>
          </w:rPr>
          <w:t>247</w:t>
        </w:r>
        <w:r w:rsidR="00FF1679">
          <w:rPr>
            <w:noProof/>
          </w:rPr>
          <w:fldChar w:fldCharType="end"/>
        </w:r>
      </w:hyperlink>
    </w:p>
    <w:p w14:paraId="67CC5CBE" w14:textId="77777777" w:rsidR="00787F73" w:rsidRDefault="00742FB7" w:rsidP="00866155">
      <w:pPr>
        <w:pStyle w:val="TableofFigures"/>
        <w:tabs>
          <w:tab w:val="right" w:leader="dot" w:pos="9016"/>
        </w:tabs>
      </w:pPr>
      <w:r>
        <w:rPr>
          <w:rStyle w:val="IndexLink"/>
        </w:rPr>
        <w:fldChar w:fldCharType="end"/>
      </w:r>
    </w:p>
    <w:p w14:paraId="260EC529" w14:textId="77777777" w:rsidR="00787F73" w:rsidRDefault="00787F73" w:rsidP="00866155">
      <w:pPr>
        <w:pStyle w:val="Heading1"/>
        <w:rPr>
          <w:rFonts w:ascii="Calibri" w:hAnsi="Calibri" w:cs="Calibri"/>
        </w:rPr>
      </w:pPr>
    </w:p>
    <w:p w14:paraId="1FAE6B19" w14:textId="77777777" w:rsidR="00787F73" w:rsidRDefault="00742FB7" w:rsidP="00866155">
      <w:pPr>
        <w:rPr>
          <w:rFonts w:eastAsia="DengXian Light" w:cs="Calibri"/>
          <w:color w:val="385623"/>
          <w:sz w:val="32"/>
          <w:szCs w:val="32"/>
        </w:rPr>
      </w:pPr>
      <w:r>
        <w:br w:type="page"/>
      </w:r>
    </w:p>
    <w:p w14:paraId="014F5037" w14:textId="77777777" w:rsidR="00787F73" w:rsidRDefault="00742FB7" w:rsidP="00866155">
      <w:pPr>
        <w:pStyle w:val="Heading1"/>
        <w:spacing w:before="0"/>
      </w:pPr>
      <w:bookmarkStart w:id="5" w:name="_Toc193367163"/>
      <w:r>
        <w:rPr>
          <w:rFonts w:ascii="Calibri" w:hAnsi="Calibri" w:cs="Calibri"/>
        </w:rPr>
        <w:lastRenderedPageBreak/>
        <w:t>List of Abbreviations</w:t>
      </w:r>
      <w:bookmarkEnd w:id="5"/>
    </w:p>
    <w:p w14:paraId="5AC4EEF3" w14:textId="77777777" w:rsidR="00787F73" w:rsidRDefault="00742FB7" w:rsidP="00866155">
      <w:pPr>
        <w:tabs>
          <w:tab w:val="left" w:pos="3253"/>
        </w:tabs>
      </w:pPr>
      <w:r>
        <w:rPr>
          <w:rFonts w:cs="Calibri"/>
        </w:rPr>
        <w:t>CCA – Civil Contingencies Act</w:t>
      </w:r>
      <w:r>
        <w:rPr>
          <w:rFonts w:cs="Calibri"/>
        </w:rPr>
        <w:tab/>
      </w:r>
    </w:p>
    <w:p w14:paraId="500FB71F" w14:textId="77777777" w:rsidR="00787F73" w:rsidRDefault="00742FB7" w:rsidP="00866155">
      <w:r>
        <w:rPr>
          <w:rFonts w:cs="Calibri"/>
        </w:rPr>
        <w:t>DRR – Disaster Risk Reduction</w:t>
      </w:r>
    </w:p>
    <w:p w14:paraId="05F0F336" w14:textId="77777777" w:rsidR="00787F73" w:rsidRDefault="00742FB7" w:rsidP="00866155">
      <w:pPr>
        <w:tabs>
          <w:tab w:val="left" w:pos="3253"/>
        </w:tabs>
      </w:pPr>
      <w:r>
        <w:rPr>
          <w:rFonts w:cs="Calibri"/>
        </w:rPr>
        <w:t>FRA – Fire and Rescue Authority</w:t>
      </w:r>
    </w:p>
    <w:p w14:paraId="07AF1505" w14:textId="77777777" w:rsidR="00787F73" w:rsidRDefault="00742FB7" w:rsidP="00866155">
      <w:r>
        <w:rPr>
          <w:rFonts w:cs="Calibri"/>
        </w:rPr>
        <w:t>FRS – Fire and Rescue Service</w:t>
      </w:r>
    </w:p>
    <w:p w14:paraId="62C60F58" w14:textId="77777777" w:rsidR="00787F73" w:rsidRDefault="00742FB7" w:rsidP="00866155">
      <w:pPr>
        <w:tabs>
          <w:tab w:val="left" w:pos="3253"/>
        </w:tabs>
      </w:pPr>
      <w:r>
        <w:rPr>
          <w:rFonts w:cs="Calibri"/>
        </w:rPr>
        <w:t>FRSA – Fire and Rescue Services Act</w:t>
      </w:r>
    </w:p>
    <w:p w14:paraId="63479B74" w14:textId="77777777" w:rsidR="00787F73" w:rsidRDefault="00742FB7" w:rsidP="00866155">
      <w:r>
        <w:rPr>
          <w:rFonts w:cs="Calibri"/>
        </w:rPr>
        <w:t>HR – High Risk</w:t>
      </w:r>
    </w:p>
    <w:p w14:paraId="4D238DFA" w14:textId="77777777" w:rsidR="00787F73" w:rsidRDefault="00742FB7" w:rsidP="00866155">
      <w:r>
        <w:rPr>
          <w:rFonts w:cs="Calibri"/>
        </w:rPr>
        <w:t>LR – Low Risk</w:t>
      </w:r>
    </w:p>
    <w:p w14:paraId="680A8BAE" w14:textId="77777777" w:rsidR="00787F73" w:rsidRDefault="00742FB7" w:rsidP="00866155">
      <w:r>
        <w:rPr>
          <w:rFonts w:cs="Calibri"/>
        </w:rPr>
        <w:t>LRF – Local Resilience Forum</w:t>
      </w:r>
    </w:p>
    <w:p w14:paraId="779D8692" w14:textId="77777777" w:rsidR="00787F73" w:rsidRDefault="00742FB7" w:rsidP="00866155">
      <w:pPr>
        <w:tabs>
          <w:tab w:val="left" w:pos="3253"/>
        </w:tabs>
      </w:pPr>
      <w:r>
        <w:rPr>
          <w:rFonts w:cs="Calibri"/>
        </w:rPr>
        <w:t>NPM – New Public Management</w:t>
      </w:r>
    </w:p>
    <w:p w14:paraId="7140929C" w14:textId="77777777" w:rsidR="00787F73" w:rsidRDefault="00742FB7" w:rsidP="00866155">
      <w:r>
        <w:rPr>
          <w:rFonts w:cs="Calibri"/>
        </w:rPr>
        <w:t>PMT – Protection Motivation Theory</w:t>
      </w:r>
    </w:p>
    <w:p w14:paraId="55456960" w14:textId="77777777" w:rsidR="00787F73" w:rsidRDefault="00742FB7" w:rsidP="00866155">
      <w:pPr>
        <w:tabs>
          <w:tab w:val="left" w:pos="2880"/>
        </w:tabs>
      </w:pPr>
      <w:r>
        <w:rPr>
          <w:rFonts w:cs="Calibri"/>
        </w:rPr>
        <w:t>RQ – Research Question</w:t>
      </w:r>
    </w:p>
    <w:p w14:paraId="62E867B5" w14:textId="77777777" w:rsidR="00787F73" w:rsidRDefault="00742FB7" w:rsidP="00866155">
      <w:r>
        <w:rPr>
          <w:rFonts w:cs="Calibri"/>
        </w:rPr>
        <w:t>SYFR – South Yorkshire Fire and Rescue Service</w:t>
      </w:r>
    </w:p>
    <w:p w14:paraId="08DF70CF" w14:textId="77777777" w:rsidR="00787F73" w:rsidRDefault="00787F73" w:rsidP="00866155">
      <w:pPr>
        <w:rPr>
          <w:rFonts w:cs="Calibri"/>
        </w:rPr>
      </w:pPr>
    </w:p>
    <w:p w14:paraId="7EF777CF" w14:textId="77777777" w:rsidR="00787F73" w:rsidRDefault="00742FB7" w:rsidP="00866155">
      <w:pPr>
        <w:rPr>
          <w:rFonts w:eastAsia="DengXian Light" w:cs="Calibri"/>
          <w:color w:val="385623"/>
          <w:sz w:val="32"/>
          <w:szCs w:val="32"/>
        </w:rPr>
      </w:pPr>
      <w:r>
        <w:br w:type="page"/>
      </w:r>
    </w:p>
    <w:p w14:paraId="76BC2C65" w14:textId="77777777" w:rsidR="00787F73" w:rsidRDefault="00742FB7" w:rsidP="00866155">
      <w:pPr>
        <w:pStyle w:val="Heading1"/>
        <w:spacing w:before="0"/>
      </w:pPr>
      <w:bookmarkStart w:id="6" w:name="_Toc153554284"/>
      <w:bookmarkStart w:id="7" w:name="_Toc193367164"/>
      <w:r>
        <w:rPr>
          <w:rFonts w:ascii="Calibri" w:hAnsi="Calibri" w:cs="Calibri"/>
        </w:rPr>
        <w:lastRenderedPageBreak/>
        <w:t>Abstract</w:t>
      </w:r>
      <w:bookmarkEnd w:id="6"/>
      <w:bookmarkEnd w:id="7"/>
      <w:r>
        <w:rPr>
          <w:rFonts w:ascii="Calibri" w:hAnsi="Calibri" w:cs="Calibri"/>
        </w:rPr>
        <w:t xml:space="preserve"> </w:t>
      </w:r>
    </w:p>
    <w:p w14:paraId="36E4B67E" w14:textId="2BE29E81" w:rsidR="0013548C" w:rsidRDefault="00742FB7" w:rsidP="00866155">
      <w:pPr>
        <w:rPr>
          <w:color w:val="202329"/>
        </w:rPr>
      </w:pPr>
      <w:r>
        <w:rPr>
          <w:highlight w:val="white"/>
        </w:rPr>
        <w:t>This is a transdisciplinary project, working in partnership with South Yorkshire Fire and Rescue Service (SYFR), to examine</w:t>
      </w:r>
      <w:r>
        <w:rPr>
          <w:color w:val="202329"/>
          <w:highlight w:val="white"/>
        </w:rPr>
        <w:t xml:space="preserve"> how they can use social media to support communities with their resilience</w:t>
      </w:r>
      <w:r>
        <w:rPr>
          <w:highlight w:val="white"/>
        </w:rPr>
        <w:t>. </w:t>
      </w:r>
      <w:r>
        <w:rPr>
          <w:color w:val="202329"/>
          <w:highlight w:val="white"/>
        </w:rPr>
        <w:t>Th</w:t>
      </w:r>
      <w:r w:rsidR="008D42F2">
        <w:rPr>
          <w:color w:val="202329"/>
          <w:highlight w:val="white"/>
        </w:rPr>
        <w:t>is</w:t>
      </w:r>
      <w:r>
        <w:rPr>
          <w:color w:val="202329"/>
          <w:highlight w:val="white"/>
        </w:rPr>
        <w:t xml:space="preserve"> project used an institutional logics approach to </w:t>
      </w:r>
      <w:r w:rsidR="00A900E1">
        <w:rPr>
          <w:color w:val="202329"/>
          <w:highlight w:val="white"/>
        </w:rPr>
        <w:t>investigate</w:t>
      </w:r>
      <w:r>
        <w:rPr>
          <w:color w:val="202329"/>
          <w:highlight w:val="white"/>
        </w:rPr>
        <w:t xml:space="preserve"> the role of the institution and its impact on their communication on social media. To examine SYFR’s use of social me</w:t>
      </w:r>
      <w:r>
        <w:rPr>
          <w:color w:val="202329"/>
        </w:rPr>
        <w:t>dia, data were collected from Twitter and co</w:t>
      </w:r>
      <w:r>
        <w:rPr>
          <w:color w:val="202329"/>
          <w:highlight w:val="white"/>
        </w:rPr>
        <w:t>mmunity focus groups</w:t>
      </w:r>
      <w:r w:rsidR="002A6B4A">
        <w:rPr>
          <w:color w:val="202329"/>
          <w:highlight w:val="white"/>
        </w:rPr>
        <w:t>,</w:t>
      </w:r>
      <w:r>
        <w:rPr>
          <w:color w:val="202329"/>
          <w:highlight w:val="white"/>
        </w:rPr>
        <w:t xml:space="preserve"> and interviews were conducted. </w:t>
      </w:r>
      <w:r w:rsidR="0073237A">
        <w:rPr>
          <w:color w:val="202329"/>
          <w:highlight w:val="white"/>
        </w:rPr>
        <w:t xml:space="preserve">The project conducted two focus groups and 26 interviews which were assessed using thematic analysis. </w:t>
      </w:r>
      <w:r>
        <w:rPr>
          <w:color w:val="202329"/>
          <w:highlight w:val="white"/>
        </w:rPr>
        <w:t>The project made contributions to the literature. Fi</w:t>
      </w:r>
      <w:r>
        <w:rPr>
          <w:color w:val="202329"/>
        </w:rPr>
        <w:t xml:space="preserve">rstly, the research </w:t>
      </w:r>
      <w:r w:rsidR="00F673AA">
        <w:rPr>
          <w:color w:val="202329"/>
        </w:rPr>
        <w:t xml:space="preserve">established </w:t>
      </w:r>
      <w:r>
        <w:rPr>
          <w:color w:val="202329"/>
        </w:rPr>
        <w:t>that SYFR has no definition of resilience, but</w:t>
      </w:r>
      <w:r>
        <w:rPr>
          <w:color w:val="202329"/>
          <w:highlight w:val="white"/>
        </w:rPr>
        <w:t xml:space="preserve"> instead </w:t>
      </w:r>
      <w:r>
        <w:rPr>
          <w:color w:val="202329"/>
        </w:rPr>
        <w:t>focused on prevention through risk communication Public Information Campaigns (PICs)</w:t>
      </w:r>
      <w:r w:rsidR="00EF3BFA">
        <w:rPr>
          <w:color w:val="202329"/>
        </w:rPr>
        <w:t>. This suggested</w:t>
      </w:r>
      <w:r>
        <w:rPr>
          <w:color w:val="202329"/>
        </w:rPr>
        <w:t xml:space="preserve"> an outcome-based view of community resilience. The researcher identified two key societal logics of state and community, and field level logics focused on professional skills. The results indicated that the state logics influenced the content of SYFR’s communication, and the community and field logics influenced the tone and approach, although this was also subject to disaster specific context. The Twitter analysis indicated that SYFR have a global following, which suggested the use of social media metrics may be misleading, however, their interactions suggested an active engagement with local and UK based accounts. The community data highlighted the importance of community composition in building a sense of community and resilience through both physical and social assets. These findings demonstrated the importance of building and developing linking social capital between organisations and communities prior to events that tests local resilience. These findings suggested that organisations such as SYFR are facing several challenges to support the resilience of communities</w:t>
      </w:r>
      <w:r w:rsidR="00EF3BFA">
        <w:rPr>
          <w:color w:val="202329"/>
        </w:rPr>
        <w:t>. SYFR</w:t>
      </w:r>
      <w:r>
        <w:rPr>
          <w:color w:val="202329"/>
        </w:rPr>
        <w:t xml:space="preserve"> do not have the support or resources</w:t>
      </w:r>
      <w:r w:rsidR="002A6B4A">
        <w:rPr>
          <w:color w:val="202329"/>
        </w:rPr>
        <w:t>, highlighting</w:t>
      </w:r>
      <w:r>
        <w:rPr>
          <w:color w:val="202329"/>
        </w:rPr>
        <w:t xml:space="preserve"> the need for a collaborative approach between all community stakeholders to assess and develop a community’s resilience.</w:t>
      </w:r>
      <w:bookmarkStart w:id="8" w:name="_Toc153554285"/>
    </w:p>
    <w:p w14:paraId="2C00039F" w14:textId="3746EC51" w:rsidR="00787F73" w:rsidRDefault="00742FB7" w:rsidP="00866155">
      <w:r>
        <w:br w:type="page"/>
      </w:r>
    </w:p>
    <w:p w14:paraId="1797B804" w14:textId="77777777" w:rsidR="00787F73" w:rsidRDefault="00742FB7" w:rsidP="00866155">
      <w:pPr>
        <w:pStyle w:val="Heading1"/>
        <w:spacing w:before="0"/>
      </w:pPr>
      <w:bookmarkStart w:id="9" w:name="_Toc193367165"/>
      <w:r>
        <w:rPr>
          <w:rFonts w:ascii="Calibri" w:hAnsi="Calibri" w:cs="Calibri"/>
        </w:rPr>
        <w:lastRenderedPageBreak/>
        <w:t>Acknowledgements</w:t>
      </w:r>
      <w:bookmarkEnd w:id="8"/>
      <w:bookmarkEnd w:id="9"/>
    </w:p>
    <w:p w14:paraId="327B2F58" w14:textId="77777777" w:rsidR="00787F73" w:rsidRDefault="00742FB7" w:rsidP="00866155">
      <w:r>
        <w:t>I would firstly like to thank the White Rose Doctoral Training partnership for the opportunity and the funding to conduct this project.</w:t>
      </w:r>
    </w:p>
    <w:p w14:paraId="3AD41E28" w14:textId="77777777" w:rsidR="00787F73" w:rsidRDefault="00787F73" w:rsidP="00866155">
      <w:pPr>
        <w:rPr>
          <w:rFonts w:ascii="Times New Roman" w:hAnsi="Times New Roman"/>
          <w:lang w:eastAsia="zh-CN"/>
        </w:rPr>
      </w:pPr>
    </w:p>
    <w:p w14:paraId="7695C08A" w14:textId="77777777" w:rsidR="00787F73" w:rsidRDefault="00742FB7" w:rsidP="00866155">
      <w:r>
        <w:t xml:space="preserve">I would like to thank South Yorkshire Fire and Rescue </w:t>
      </w:r>
      <w:r w:rsidR="008613F0">
        <w:t>S</w:t>
      </w:r>
      <w:r>
        <w:t>ervice, and specifically the Communications team, for partnering on this project and for being so open, engaging, and supportive throughout the process. The team were so welcoming and always willing to share their experiences and knowledge with me, even while they were managing and experiencing a global pandemic as a front-line service.  </w:t>
      </w:r>
    </w:p>
    <w:p w14:paraId="6A08706E" w14:textId="77777777" w:rsidR="00787F73" w:rsidRDefault="00787F73" w:rsidP="00866155"/>
    <w:p w14:paraId="60CE275E" w14:textId="77777777" w:rsidR="00787F73" w:rsidRDefault="00742FB7" w:rsidP="00866155">
      <w:r>
        <w:t>Thank you to the South Yorkshire community members who took part in the focus groups and interviews, sharing their knowledge and experiences.</w:t>
      </w:r>
    </w:p>
    <w:p w14:paraId="5FC92134" w14:textId="77777777" w:rsidR="00787F73" w:rsidRDefault="00787F73" w:rsidP="00866155"/>
    <w:p w14:paraId="420BC2D9" w14:textId="77777777" w:rsidR="00787F73" w:rsidRDefault="00742FB7" w:rsidP="00866155">
      <w:r>
        <w:t>A huge thanks goes to my supervisors, Dr Martina McGuinness, Dr Paul Reilly, and Professor Don Webber. Dr McGuinness and Dr Reilly helped guide me through the PhD process, through the initial scoping and project meetings with SYFR, to introducing me to new theories and avenues of research. Your advice and support over these 6 and a half years have helped me develop and grow as a researcher, thank you. Professor Webber joined the team in the last 6 months; his guidance, feedback, and support have been invaluable, helping to coach me over the finish line to hand-in, thank you.</w:t>
      </w:r>
    </w:p>
    <w:p w14:paraId="583EDB71" w14:textId="77777777" w:rsidR="00787F73" w:rsidRDefault="00787F73" w:rsidP="00866155"/>
    <w:p w14:paraId="7E756B5E" w14:textId="77777777" w:rsidR="00787F73" w:rsidRDefault="00742FB7" w:rsidP="00866155">
      <w:r>
        <w:t>Thank you to my friends and family for all their support and words of encouragement. A special thanks goes to my mum, who encouraged me to pursue my next adventure and apply for the PhD.</w:t>
      </w:r>
    </w:p>
    <w:p w14:paraId="79A4F5DF" w14:textId="77777777" w:rsidR="00787F73" w:rsidRDefault="00787F73" w:rsidP="00866155"/>
    <w:p w14:paraId="27884E42" w14:textId="56833C6F" w:rsidR="00B97CA3" w:rsidRDefault="00742FB7" w:rsidP="00B97CA3">
      <w:r>
        <w:t>The biggest thank you goes to my partner, Paddy, who was there from day one of the PhD supporting me with every hand in, and the general ups and downs of the PhD. He was, and has always been</w:t>
      </w:r>
      <w:r w:rsidR="002A6B4A">
        <w:t>,</w:t>
      </w:r>
      <w:r>
        <w:t xml:space="preserve"> my rock, and without him I simply wouldn’t have got to this point.</w:t>
      </w:r>
    </w:p>
    <w:p w14:paraId="7DD74BDC" w14:textId="77777777" w:rsidR="00B97CA3" w:rsidRDefault="00B97CA3" w:rsidP="0013548C"/>
    <w:p w14:paraId="75954796" w14:textId="77777777" w:rsidR="00787F73" w:rsidRDefault="00742FB7" w:rsidP="00866155">
      <w:r>
        <w:t xml:space="preserve">This thesis is dedicated to Paddy and to our beautiful twin boys, </w:t>
      </w:r>
      <w:r w:rsidR="00D640FB">
        <w:t>Rowan and Oscar</w:t>
      </w:r>
      <w:r>
        <w:t xml:space="preserve">, who were born during this PhD. </w:t>
      </w:r>
      <w:r>
        <w:br w:type="page"/>
      </w:r>
    </w:p>
    <w:p w14:paraId="7AE83B6D" w14:textId="77777777" w:rsidR="00787F73" w:rsidRDefault="00742FB7" w:rsidP="00866155">
      <w:pPr>
        <w:pStyle w:val="Heading1"/>
        <w:spacing w:before="0"/>
        <w:jc w:val="center"/>
      </w:pPr>
      <w:bookmarkStart w:id="10" w:name="_Toc153554286"/>
      <w:bookmarkStart w:id="11" w:name="_Toc193367166"/>
      <w:r>
        <w:rPr>
          <w:rFonts w:ascii="Calibri" w:hAnsi="Calibri" w:cs="Calibri"/>
        </w:rPr>
        <w:lastRenderedPageBreak/>
        <w:t>Chapter 1: Introduction</w:t>
      </w:r>
      <w:bookmarkEnd w:id="10"/>
      <w:bookmarkEnd w:id="11"/>
    </w:p>
    <w:p w14:paraId="47CCC46D" w14:textId="77777777" w:rsidR="00787F73" w:rsidRDefault="00742FB7" w:rsidP="00866155">
      <w:pPr>
        <w:pStyle w:val="Heading2"/>
      </w:pPr>
      <w:bookmarkStart w:id="12" w:name="_Toc153554287"/>
      <w:bookmarkStart w:id="13" w:name="_Toc193367167"/>
      <w:r>
        <w:rPr>
          <w:rFonts w:ascii="Calibri" w:hAnsi="Calibri" w:cs="Calibri"/>
        </w:rPr>
        <w:t>1.1: Introduction</w:t>
      </w:r>
      <w:bookmarkEnd w:id="12"/>
      <w:bookmarkEnd w:id="13"/>
      <w:r>
        <w:rPr>
          <w:rFonts w:ascii="Calibri" w:hAnsi="Calibri" w:cs="Calibri"/>
        </w:rPr>
        <w:t xml:space="preserve"> </w:t>
      </w:r>
    </w:p>
    <w:p w14:paraId="15986FF4" w14:textId="68DD67D4" w:rsidR="00787F73" w:rsidRDefault="00742FB7" w:rsidP="00866155">
      <w:r>
        <w:rPr>
          <w:rFonts w:cs="Calibri"/>
        </w:rPr>
        <w:t>This thesis focused on the use of social media for developing community disaster resilience</w:t>
      </w:r>
      <w:r w:rsidR="002A689D">
        <w:rPr>
          <w:rFonts w:cs="Calibri"/>
        </w:rPr>
        <w:t>.</w:t>
      </w:r>
      <w:r>
        <w:rPr>
          <w:rFonts w:cs="Calibri"/>
        </w:rPr>
        <w:t xml:space="preserve"> </w:t>
      </w:r>
      <w:r w:rsidR="002A689D">
        <w:rPr>
          <w:rFonts w:cs="Calibri"/>
        </w:rPr>
        <w:t xml:space="preserve">While </w:t>
      </w:r>
      <w:r>
        <w:rPr>
          <w:rFonts w:cs="Calibri"/>
        </w:rPr>
        <w:t xml:space="preserve">there have been numerous recent studies on the development of community disaster resilience </w:t>
      </w:r>
      <w:r>
        <w:fldChar w:fldCharType="begin" w:fldLock="1"/>
      </w:r>
      <w:r w:rsidR="00596C9A">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capital","type":"article-journal","volume":"51"},"uris":["http://www.mendeley.com/documents/?uuid=811839c2-2eda-4cbc-80b5-6bfc7c4a8392"]},{"id":"ITEM-2","itemData":{"DOI":"10.1016/j.wsif.2021.102550","ISSN":"02775395","abstract":"Climate change is projected to have wide-ranging effects on natural resources, environment, agriculture and fisheries. The various impacts of climate change pose significant risks to Pacific Island communities and people's livelihoods. A community consists of different groups of people and requires contributions from all members to build community resilience to the impacts of climate change. The Indigenous Fijian (iTaukei) women have skills, knowledge, and unique local and traditional experience that can increase the resilience of the community, however, their voice is not often heard in a patriarchal community. An understanding of gender roles in a community is essential for adaptation to climate change. Fijian communities exhibit elaborate social support system and traditional practices that demonstrate high level of dynamism and institutional support in the community's response to risks. Using semi-structured interviews, focus groups, and participant observations, the study investigated the enabling and inhibiting factors that affect the ability of iTaukei women to contribute to building community resilience. The findings from the study identified that the village women contribute significantly to three key areas of community resilience, particularly social resilience, economic resilience and ecological resilience. The findings also indicated that women face barriers that prevent them from contributing to decision-making on issues related to climate change resilience in the community. The study recommends interventions that are culturally accepted and that also support the role of women in decision-making, while promoting their participation in various climate change forums in the community.","author":[{"dropping-particle":"","family":"Singh","given":"Priyatma","non-dropping-particle":"","parse-names":false,"suffix":""},{"dropping-particle":"","family":"Tabe","given":"Tammy","non-dropping-particle":"","parse-names":false,"suffix":""},{"dropping-particle":"","family":"Martin","given":"Tess","non-dropping-particle":"","parse-names":false,"suffix":""}],"container-title":"Women's Studies International Forum","id":"ITEM-2","issued":{"date-parts":[["2022"]]},"page":"1 - 13","title":"The role of women in community resilience to climate change: A case study of an Indigenous Fijian community","type":"article-journal","volume":"90"},"uris":["http://www.mendeley.com/documents/?uuid=f2c8aeeb-38ad-428a-b6a4-98e8966b79fc"]},{"id":"ITEM-3","itemData":{"DOI":"10.1016/j.chb.2022.107294","ISSN":"07475632","abstract":"Facing the Covid outbreaks, public health researchers share a consensus that community resilience should be maintained and strengthened because it helps mitigate the physical and emotional tolls on individuals and communities. One way to achieve the goal is to build and strengthen community resilience through social media. However, social media's role in building community resilience has been poorly understood from a behavioral perspective. Guiding by uses and gratification theory and the coping literature, we build a model to examine how social media behaviors may influence community members' perceived community resilience, providing a “bottom-up” voice to deepen our understanding of community resilience and its implications for public health. The results shows that community members' social media engagement was significantly associated with their perceived community resilience. While helping others on social media led people to perceive their communities as less resilient, the use of social media for social support helped foster social capital, leading to more perceived resilience at the collective level. Overall, social media use played important roles in shaping people's perception of community resilience, helping community members and organizations evaluate their strengths and weaknesses, and make improvement to better address future challenges in the times of global disasters.","author":[{"dropping-particle":"","family":"Xie","given":"Lola","non-dropping-particle":"","parse-names":false,"suffix":""},{"dropping-particle":"","family":"Pinto","given":"Juliet","non-dropping-particle":"","parse-names":false,"suffix":""},{"dropping-particle":"","family":"Zhong","given":"Bu","non-dropping-particle":"","parse-names":false,"suffix":""}],"container-title":"Computers in Human Behavior","id":"ITEM-3","issued":{"date-parts":[["2022"]]},"page":"1 - 9","title":"Building community resilience on social media to help recover from the COVID-19 pandemic","type":"article-journal","volume":"134"},"uris":["http://www.mendeley.com/documents/?uuid=625f072e-ec3a-410e-b53c-06c711464573"]},{"id":"ITEM-4","itemData":{"DOI":"10.1016/j.ijdrr.2023.103675","ISSN":"22124209","abstract":"Today, many cities are experiencing many natural disasters and hazards due to climate change, particularly in the Global South. Environmental risks increase acute community vulnerabilities that worsen the effects of these hazards and make a recovery more difficult. However, community resilience can decrease people's vulnerabilities and improve their capacity to cope with and adapt to environmental hazards. It is assumed that place identity, as a cultural resource, can positively affect the resilience of communities. This exploratory survey research, thus, aims to understand the relationship between place identity and community resilience. Data is gathered using a questionnaire survey and analyzed using the principal component analysis. Case studies are two local communities in Isfahan, Iran, the Abbas Abad neighborhood and Barazandeh neighborhood, affected by the drying up of Zayandehrood River's aqueducts. The study results show a positive correlation between place identity and community resilience in the selected communities. The community with a stronger place identity tended to show stronger community resilience than the other. Therefore, it can be concluded that improving place identity might contribute to better community adaptation and recovery in times of slow-onset or sudden environmental disruptions. However, this relationship should not be considered a causal relationship. The present study highlights the role of place identity in community adaptive capacities and helps policymakers better plan to enhance community resilience. Policymakers can use the study's results to empower the communities facing slow-onset environmental disruptions.","author":[{"dropping-particle":"","family":"Sobhaninia","given":"Saeideh","non-dropping-particle":"","parse-names":false,"suffix":""},{"dropping-particle":"","family":"Amirzadeh","given":"Melika","non-dropping-particle":"","parse-names":false,"suffix":""},{"dropping-particle":"","family":"Lauria","given":"Mickey","non-dropping-particle":"","parse-names":false,"suffix":""},{"dropping-particle":"","family":"Sharifi","given":"Ayyoob","non-dropping-particle":"","parse-names":false,"suffix":""}],"container-title":"International Journal of Disaster Risk Reduction","id":"ITEM-4","issued":{"date-parts":[["2023"]]},"page":"1 - 16","title":"The relationship between place identity and community resilience: Evidence from local communities in Isfahan, Iran","type":"article-journal","volume":"90"},"uris":["http://www.mendeley.com/documents/?uuid=c902a5ba-4119-4ef0-b9d3-01670d9c2cbe"]},{"id":"ITEM-5","itemData":{"DOI":"10.1016/j.scs.2023.104745","ISSN":"22106707","abstract":"Despite the importance of social justice and community attachment for subjective well-being (SWB), the existing research fails to adequately examine these factors in urban emergencies. This study develops a theoretical framework to elucidate the roles of environment perception, social justice, and community attachment in SWB during urban emergencies, with a focus on vulnerable populations. Drawing on the context of COVID-19 lockdown in Shanghai, the research expands the definition of vulnerable groups, considering the factors including gender, income, immigrant, housing ownership, and the infection/exposure history. We examine the proposed framework with structural equation modelling and compare the vulnerable groups with multiple-group analysis. The analysis evidences the direct contribution of social justice and community attachment to SWB, and community attachment intermediates environmental perception and justice to SWB. These factors present heterogeneity amongst the vulnerable groups: community identity only affects the perceived health of residents with infection history, housing ownership and high income. This research revisits the interaction between residents and community environment in urban emergencies from a vulnerability perspective. The discussions provide novel insights for devising strategies for community service and infrastructure development aimed at enhancing community resilience. Also, the findings can benefit urban emergency planning at both community and city scale.","author":[{"dropping-particle":"","family":"Wang","given":"Qian Cheng","non-dropping-particle":"","parse-names":false,"suffix":""},{"dropping-particle":"","family":"Liu","given":"Xuan","non-dropping-particle":"","parse-names":false,"suffix":""},{"dropping-particle":"","family":"Jian","given":"Izzy Yi","non-dropping-particle":"","parse-names":false,"suffix":""},{"dropping-particle":"","family":"Zhang","given":"En Jia","non-dropping-particle":"","parse-names":false,"suffix":""},{"dropping-particle":"","family":"Hou","given":"Yu Ting","non-dropping-particle":"","parse-names":false,"suffix":""},{"dropping-particle":"","family":"Siu","given":"Kin Wai Michael","non-dropping-particle":"","parse-names":false,"suffix":""},{"dropping-particle":"Bin","family":"Li","given":"Yi","non-dropping-particle":"","parse-names":false,"suffix":""}],"container-title":"Sustainable Cities and Society","id":"ITEM-5","issued":{"date-parts":[["2023"]]},"page":"1 - 16","title":"Community resilience in city emergency: Exploring the roles of environmental perception, social justice and community attachment in subjective well-being of vulnerable residents","type":"article-journal","volume":"97"},"uris":["http://www.mendeley.com/documents/?uuid=75b09b3f-8ad8-4945-9f05-3892455b6f5d"]}],"mendeley":{"formattedCitation":"(Sobhaninia et al., 2023; Wang et al., 2023; Carmen et al., 2022; Singh, Tabe, &amp; Martin, 2022; Xie, Pinto, &amp; Zhong, 2022)","manualFormatting":"(see for example: Sobhaninia et al., 2023; Wang et al., 2023; Carmen et al., 2022; Singh, Tabe, &amp; Martin, 2022; Xie, Pinto, &amp; Zhong, 2022)","plainTextFormattedCitation":"(Sobhaninia et al., 2023; Wang et al., 2023; Carmen et al., 2022; Singh, Tabe, &amp; Martin, 2022; Xie, Pinto, &amp; Zhong, 2022)","previouslyFormattedCitation":"(Sobhaninia et al., 2023; Wang et al., 2023; Carmen et al., 2022; Singh, Tabe, &amp; Martin, 2022; Xie, Pinto, &amp; Zhong, 2022)"},"properties":{"noteIndex":0},"schema":"https://github.com/citation-style-language/schema/raw/master/csl-citation.json"}</w:instrText>
      </w:r>
      <w:r>
        <w:rPr>
          <w:rFonts w:cs="Calibri"/>
        </w:rPr>
        <w:fldChar w:fldCharType="separate"/>
      </w:r>
      <w:r>
        <w:rPr>
          <w:rFonts w:cs="Calibri"/>
          <w:noProof/>
        </w:rPr>
        <w:t>(</w:t>
      </w:r>
      <w:r w:rsidR="00F673AA">
        <w:rPr>
          <w:rFonts w:cs="Calibri"/>
          <w:noProof/>
        </w:rPr>
        <w:t>see for example</w:t>
      </w:r>
      <w:r w:rsidR="002807A6">
        <w:rPr>
          <w:rFonts w:cs="Calibri"/>
          <w:noProof/>
        </w:rPr>
        <w:t>:</w:t>
      </w:r>
      <w:r w:rsidR="00F673AA">
        <w:rPr>
          <w:rFonts w:cs="Calibri"/>
          <w:noProof/>
        </w:rPr>
        <w:t xml:space="preserve"> </w:t>
      </w:r>
      <w:r>
        <w:rPr>
          <w:rFonts w:cs="Calibri"/>
          <w:noProof/>
        </w:rPr>
        <w:t>Sobhaninia et al., 2023; Wang et al., 2023; Carmen et al., 2022; Singh, Tabe, &amp; Martin, 2022; Xie, Pinto, &amp; Zhong, 2022)</w:t>
      </w:r>
      <w:r>
        <w:rPr>
          <w:rFonts w:cs="Calibri"/>
        </w:rPr>
        <w:fldChar w:fldCharType="end"/>
      </w:r>
      <w:r>
        <w:rPr>
          <w:rFonts w:cs="Calibri"/>
        </w:rPr>
        <w:t>, there is limited understanding on how organisations can support communities to develop resilience prior to disasters. This thesis added to this emergent literature by exploring how South Yorkshire Fire and Rescue Service (SYFR) utilises social media and how that</w:t>
      </w:r>
      <w:r w:rsidR="00F673AA">
        <w:rPr>
          <w:rFonts w:cs="Calibri"/>
        </w:rPr>
        <w:t xml:space="preserve"> has</w:t>
      </w:r>
      <w:r>
        <w:rPr>
          <w:rFonts w:cs="Calibri"/>
        </w:rPr>
        <w:t xml:space="preserve"> impacted the development of community disaster resilience.</w:t>
      </w:r>
    </w:p>
    <w:p w14:paraId="140B9BC4" w14:textId="77777777" w:rsidR="00787F73" w:rsidRDefault="00787F73" w:rsidP="00866155">
      <w:pPr>
        <w:rPr>
          <w:rFonts w:cs="Calibri"/>
        </w:rPr>
      </w:pPr>
    </w:p>
    <w:p w14:paraId="1C63638E" w14:textId="5730C0EF" w:rsidR="00787F73" w:rsidRDefault="00742FB7" w:rsidP="00866155">
      <w:r>
        <w:rPr>
          <w:rFonts w:cs="Calibri"/>
        </w:rPr>
        <w:t>This chapter provides context to the research project and the project partner, SYFR</w:t>
      </w:r>
      <w:r w:rsidR="008D42F2">
        <w:rPr>
          <w:rFonts w:cs="Calibri"/>
        </w:rPr>
        <w:t>,</w:t>
      </w:r>
      <w:r w:rsidR="002A689D">
        <w:rPr>
          <w:rFonts w:cs="Calibri"/>
        </w:rPr>
        <w:t xml:space="preserve"> and the wider Fire and Rescue sector</w:t>
      </w:r>
      <w:r>
        <w:rPr>
          <w:rFonts w:cs="Calibri"/>
        </w:rPr>
        <w:t>. It provides an explanation and rationale for the research</w:t>
      </w:r>
      <w:r w:rsidR="002A689D">
        <w:rPr>
          <w:rFonts w:cs="Calibri"/>
        </w:rPr>
        <w:t xml:space="preserve"> and</w:t>
      </w:r>
      <w:r>
        <w:rPr>
          <w:rFonts w:cs="Calibri"/>
        </w:rPr>
        <w:t xml:space="preserve"> the transdisciplinary partnership needed for finding a solution to a societal problem </w:t>
      </w:r>
      <w:r>
        <w:fldChar w:fldCharType="begin" w:fldLock="1"/>
      </w:r>
      <w:r w:rsidR="00974B75">
        <w:rPr>
          <w:rFonts w:cs="Calibri"/>
        </w:rPr>
        <w:instrText>ADDIN CSL_CITATION {"citationItems":[{"id":"ITEM-1","itemData":{"author":[{"dropping-particle":"","family":"Cunliffe","given":"Ann L.","non-dropping-particle":"","parse-names":false,"suffix":""},{"dropping-particle":"","family":"Pavlovich","given":"Kathryn","non-dropping-particle":"","parse-names":false,"suffix":""}],"container-title":"Academy of Management Perspectives","id":"ITEM-1","issue":"3","issued":{"date-parts":[["2022"]]},"page":"879-895","title":"Making Our Work Matter: From Spectator To and Management Studies","type":"article-journal","volume":"36"},"uris":["http://www.mendeley.com/documents/?uuid=76313b30-475b-48ee-a88e-69614d719385"]},{"id":"ITEM-2","itemData":{"DOI":"10.5465/amp.2020.0159","ISSN":"15589080","abstract":"There is growing interest among management scholars, policy-makers, and practitioners in understanding and addressing deep-seated societal problems, often termed “wicked problems,” “grand challenges,” or “messes.” An expansive body of research and practice-based literature has appeared, with little evidence to date of synthesis across research streams, tools, and practices. We also note a bifurcation between management scholarship and practice in this area that hinders cumulative learning and cross-fertilization to inform practice and policy questions. In this paper, we introduce the RAFFT framework, composed of five interrelated themes that underpin messiness (rules, agency, feedback, frames and tensions) and are grounded in knowledge triangulated across thought worlds from research and practice. Supported by illustrative examples from research and practice, we present this heuristic framework as both a diagnostic tool and an intervention repertoire. We hope that this framework can serve as a starting point for further development by researchers and practitioners working more closely together to build cumulative knowledge.","author":[{"dropping-particle":"","family":"Klag","given":"Malvina","non-dropping-particle":"","parse-names":false,"suffix":""},{"dropping-particle":"","family":"Langley","given":"Ann","non-dropping-particle":"","parse-names":false,"suffix":""}],"container-title":"Academy of Management Perspectives","id":"ITEM-2","issue":"1","issued":{"date-parts":[["2023"]]},"page":"37-54","title":"When Everything Interacts With Everything Else: Intervening in Messes","type":"article-journal","volume":"37"},"uris":["http://www.mendeley.com/documents/?uuid=fd7248dd-6f65-4f22-8100-85710d4e6dfc"]}],"mendeley":{"formattedCitation":"(Klag &amp; Langley, 2023; Cunliffe &amp; Pavlovich, 2022)","plainTextFormattedCitation":"(Klag &amp; Langley, 2023; Cunliffe &amp; Pavlovich, 2022)","previouslyFormattedCitation":"(Klag &amp; Langley, 2023; Cunliffe &amp; Pavlovich, 2022)"},"properties":{"noteIndex":0},"schema":"https://github.com/citation-style-language/schema/raw/master/csl-citation.json"}</w:instrText>
      </w:r>
      <w:r>
        <w:rPr>
          <w:rFonts w:cs="Calibri"/>
        </w:rPr>
        <w:fldChar w:fldCharType="separate"/>
      </w:r>
      <w:r>
        <w:rPr>
          <w:rFonts w:cs="Calibri"/>
          <w:noProof/>
        </w:rPr>
        <w:t>(Klag &amp; Langley, 2023; Cunliffe &amp; Pavlovich, 2022)</w:t>
      </w:r>
      <w:r>
        <w:rPr>
          <w:rFonts w:cs="Calibri"/>
        </w:rPr>
        <w:fldChar w:fldCharType="end"/>
      </w:r>
      <w:r w:rsidR="002A689D">
        <w:rPr>
          <w:rFonts w:cs="Calibri"/>
        </w:rPr>
        <w:t>.</w:t>
      </w:r>
      <w:r>
        <w:rPr>
          <w:rFonts w:cs="Calibri"/>
        </w:rPr>
        <w:t xml:space="preserve"> </w:t>
      </w:r>
      <w:r w:rsidR="002A689D">
        <w:rPr>
          <w:rFonts w:cs="Calibri"/>
        </w:rPr>
        <w:t xml:space="preserve">It </w:t>
      </w:r>
      <w:r>
        <w:rPr>
          <w:rFonts w:cs="Calibri"/>
        </w:rPr>
        <w:t>briefly explores the increased threat of disasters, and summarises the drive towards developing resilient communities. The chapter then moves on to explore the use of social media by organisations to communicate with their followers</w:t>
      </w:r>
      <w:r w:rsidR="006321CD">
        <w:rPr>
          <w:rFonts w:cs="Calibri"/>
        </w:rPr>
        <w:t>. This</w:t>
      </w:r>
      <w:r>
        <w:rPr>
          <w:rFonts w:cs="Calibri"/>
        </w:rPr>
        <w:t xml:space="preserve"> leads on to </w:t>
      </w:r>
      <w:r w:rsidR="00F673AA">
        <w:rPr>
          <w:rFonts w:cs="Calibri"/>
        </w:rPr>
        <w:t xml:space="preserve">an explication of </w:t>
      </w:r>
      <w:r>
        <w:rPr>
          <w:rFonts w:cs="Calibri"/>
        </w:rPr>
        <w:t>the theoretical underpinning of the research, the aims and research questions, and the methodology. The final section discusses the contributions to knowledge provided in this thesis and signposts the structure of the thesis.</w:t>
      </w:r>
    </w:p>
    <w:p w14:paraId="2BEEFEA7" w14:textId="77777777" w:rsidR="00787F73" w:rsidRDefault="00787F73" w:rsidP="00866155">
      <w:pPr>
        <w:rPr>
          <w:rFonts w:cs="Calibri"/>
        </w:rPr>
      </w:pPr>
    </w:p>
    <w:p w14:paraId="0AAC0BC3" w14:textId="77777777" w:rsidR="00787F73" w:rsidRDefault="00742FB7" w:rsidP="00866155">
      <w:pPr>
        <w:pStyle w:val="Heading2"/>
      </w:pPr>
      <w:bookmarkStart w:id="14" w:name="_Toc153554288"/>
      <w:bookmarkStart w:id="15" w:name="_Toc193367168"/>
      <w:r>
        <w:rPr>
          <w:rFonts w:ascii="Calibri" w:hAnsi="Calibri" w:cs="Calibri"/>
        </w:rPr>
        <w:t>1.2: Collaborative PhD</w:t>
      </w:r>
      <w:bookmarkEnd w:id="14"/>
      <w:bookmarkEnd w:id="15"/>
    </w:p>
    <w:p w14:paraId="054BE912" w14:textId="04666905" w:rsidR="00787F73" w:rsidRDefault="00742FB7" w:rsidP="00866155">
      <w:r>
        <w:rPr>
          <w:rFonts w:cs="Calibri"/>
        </w:rPr>
        <w:t>This thesis is a collaborative PhD , meaning that the project was initially scoped and designed by a supervisory team working in partnership with SYFR, and based on a societal challenge of supporting community disaster resilience. It was the partnership with SYFR that drew me to the project, and particularly the ability to work closely with SYFR to conduct research which had immediate impact and combined academic and practitioner knowledge. Throughout the course of the PhD, I designed and developed the project beyond the initial scoping and funding application, which was done in partnership with SYFR.</w:t>
      </w:r>
    </w:p>
    <w:p w14:paraId="1D51B61A" w14:textId="5E6DA24C" w:rsidR="00787F73" w:rsidRDefault="00742FB7" w:rsidP="007C190B">
      <w:pPr>
        <w:rPr>
          <w:rFonts w:cs="Calibri"/>
        </w:rPr>
      </w:pPr>
      <w:r>
        <w:rPr>
          <w:rFonts w:cs="Calibri"/>
        </w:rPr>
        <w:lastRenderedPageBreak/>
        <w:t xml:space="preserve">Working in collaboration enabled the research to develop various kinds of knowledge, both </w:t>
      </w:r>
      <w:bookmarkStart w:id="16" w:name="_Hlk183614633"/>
      <w:r>
        <w:rPr>
          <w:rFonts w:cs="Calibri"/>
        </w:rPr>
        <w:t>academic and non-academic</w:t>
      </w:r>
      <w:r w:rsidR="00245EFD">
        <w:rPr>
          <w:rFonts w:cs="Calibri"/>
        </w:rPr>
        <w:t>,</w:t>
      </w:r>
      <w:r>
        <w:rPr>
          <w:rFonts w:cs="Calibri"/>
        </w:rPr>
        <w:t xml:space="preserve"> as discussed in the transdisciplinary literatures </w:t>
      </w:r>
      <w:r>
        <w:fldChar w:fldCharType="begin" w:fldLock="1"/>
      </w:r>
      <w:r w:rsidR="00974B75">
        <w:rPr>
          <w:rFonts w:cs="Calibri"/>
        </w:rPr>
        <w:instrText>ADDIN CSL_CITATION {"citationItems":[{"id":"ITEM-1","itemData":{"DOI":"10.1080/26395916.2021.1931452","ISSN":"26395916","abstract":"Transdisciplinary research that bridges science and society is needed to address the complex social-ecological sustainability challenges we are facing. However, many transdisciplinary researchers grapple with balancing the competing demands of scientific rigour and excellence, societal impact and engagement, and self-care. This is especially evident in the growing literature by early-career researchers describing the challenges of pursuing a transdisciplinary research career in social-ecological sustainability research. To guide discussion and reflection towards a flourishing transdisciplinary research practice, we synthesized our own and other researchers’ experiences of using a transdisciplinary approach and formulated the heuristic of the ‘Triple-S’: caring for Science, Society and Self. This heuristic adds the frequently overlooked personal aspects of transdisciplinary research. Current dominant academic structures, cultures and metrics of success are not supporting a balanced and flourishing transdisciplinary research practice, but rather creating and exacerbating the trade-offs between these three aspects. As an example of a solutions-oriented approach, we developed a theory of change to address the changes we see are necessary to enable a transdisciplinary research practice in line with the Triple-S. We hope that this will foster academic environments where transdisciplinary research practice can flourish and the next generation of researchers are not burnt-out, but empowered.","author":[{"dropping-particle":"","family":"Sellberg","given":"My M.","non-dropping-particle":"","parse-names":false,"suffix":""},{"dropping-particle":"","family":"Cockburn","given":"Jessica","non-dropping-particle":"","parse-names":false,"suffix":""},{"dropping-particle":"","family":"Holden","given":"Petra B.","non-dropping-particle":"","parse-names":false,"suffix":""},{"dropping-particle":"","family":"Lam","given":"David P.M.","non-dropping-particle":"","parse-names":false,"suffix":""}],"container-title":"Ecosystems and People","id":"ITEM-1","issue":"1","issued":{"date-parts":[["2021"]]},"page":"292-305","title":"Towards a caring transdisciplinary research practice: navigating science, society and self","type":"article-journal","volume":"17"},"uris":["http://www.mendeley.com/documents/?uuid=30c854bf-e6eb-4d29-a8b2-6489b3d8f6e4"]},{"id":"ITEM-2","itemData":{"ISBN":"4159902000598","ISSN":"2662-9992","author":[{"dropping-particle":"","family":"Rigolot","given":"Cyrille","non-dropping-particle":"","parse-names":false,"suffix":""}],"container-title":"Humanities and Social Sciences Communications","id":"ITEM-2","issue":"100","issued":{"date-parts":[["2020"]]},"page":"1-5","title":"Transdisciplinarity as a discipline and a way of being: complementarities and creative tensions","type":"article-journal","volume":"7"},"uris":["http://www.mendeley.com/documents/?uuid=1cf1a49e-83f1-4bbe-8595-25063f6e6b2f"]},{"id":"ITEM-3","itemData":{"author":[{"dropping-particle":"","family":"Lawrence","given":"Mark G","non-dropping-particle":"","parse-names":false,"suffix":""},{"dropping-particle":"","family":"Williams","given":"Stephen","non-dropping-particle":"","parse-names":false,"suffix":""},{"dropping-particle":"","family":"Nanz","given":"Patrizia","non-dropping-particle":"","parse-names":false,"suffix":""},{"dropping-particle":"","family":"Renn","given":"Ortwin","non-dropping-particle":"","parse-names":false,"suffix":""}],"container-title":"One Earth","id":"ITEM-3","issue":"1","issued":{"date-parts":[["2022"]]},"page":"44-61.","title":"Characteristics, potentials, and challenges of transdisciplinary research","type":"article-journal","volume":"5"},"uris":["http://www.mendeley.com/documents/?uuid=cfeb06b1-c46b-48d6-88eb-c2bb4aefa648"]},{"id":"ITEM-4","itemData":{"ISBN":"0123456789","author":[{"dropping-particle":"","family":"Plummer","given":"Ryan","non-dropping-particle":"","parse-names":false,"suffix":""},{"dropping-particle":"","family":"Blythe","given":"Jessica","non-dropping-particle":"","parse-names":false,"suffix":""},{"dropping-particle":"","family":"Gurney","given":"Georgina G","non-dropping-particle":"","parse-names":false,"suffix":""},{"dropping-particle":"","family":"Witkowski","given":"Samantha","non-dropping-particle":"","parse-names":false,"suffix":""},{"dropping-particle":"","family":"Armitage","given":"Derek","non-dropping-particle":"","parse-names":false,"suffix":""}],"container-title":"Sustainability Science","id":"ITEM-4","issued":{"date-parts":[["2022"]]},"page":"955-967","title":"Transdisciplinary partnerships for sustainability: an evaluation guide","type":"article-journal","volume":"17"},"uris":["http://www.mendeley.com/documents/?uuid=0640535f-e4b9-4800-8bf1-5f117747c88a"]},{"id":"ITEM-5","itemData":{"DOI":"10.1002/sd.2281","author":[{"dropping-particle":"","family":"Kruijf","given":"Joanne Vinke-de","non-dropping-particle":"","parse-names":false,"suffix":""},{"dropping-particle":"","family":"Verbrugge","given":"Laura","non-dropping-particle":"","parse-names":false,"suffix":""},{"dropping-particle":"","family":"Schröter","given":"Barbara","non-dropping-particle":"","parse-names":false,"suffix":""},{"dropping-particle":"","family":"Fliervoet","given":"Jan","non-dropping-particle":"","parse-names":false,"suffix":""},{"dropping-particle":"","family":"Henze","given":"Jennifer","non-dropping-particle":"","parse-names":false,"suffix":""},{"dropping-particle":"","family":"Albert","given":"Christian","non-dropping-particle":"","parse-names":false,"suffix":""}],"container-title":"Sustainable Development","id":"ITEM-5","issue":"2","issued":{"date-parts":[["2022"]]},"page":"393-405","title":"Knowledge co-production and researcher roles in transdisciplinary environmental management projects","type":"article-journal","volume":"30"},"uris":["http://www.mendeley.com/documents/?uuid=1176cab8-7afa-49d2-b49e-808c2ad5ad43"]}],"mendeley":{"formattedCitation":"(Kruijf et al., 2022; Lawrence et al., 2022; Plummer et al., 2022; Sellberg et al., 2021; Rigolot, 2020)","plainTextFormattedCitation":"(Kruijf et al., 2022; Lawrence et al., 2022; Plummer et al., 2022; Sellberg et al., 2021; Rigolot, 2020)","previouslyFormattedCitation":"(Kruijf et al., 2022; Lawrence et al., 2022; Plummer et al., 2022; Sellberg et al., 2021; Rigolot, 2020)"},"properties":{"noteIndex":0},"schema":"https://github.com/citation-style-language/schema/raw/master/csl-citation.json"}</w:instrText>
      </w:r>
      <w:r>
        <w:rPr>
          <w:rFonts w:cs="Calibri"/>
        </w:rPr>
        <w:fldChar w:fldCharType="separate"/>
      </w:r>
      <w:r>
        <w:rPr>
          <w:rFonts w:cs="Calibri"/>
          <w:noProof/>
        </w:rPr>
        <w:t>(Kruijf et al., 2022; Lawrence et al., 2022; Plummer et al., 2022; Sellberg et al., 2021; Rigolot, 2020)</w:t>
      </w:r>
      <w:r>
        <w:rPr>
          <w:rFonts w:cs="Calibri"/>
        </w:rPr>
        <w:fldChar w:fldCharType="end"/>
      </w:r>
      <w:bookmarkEnd w:id="16"/>
      <w:r>
        <w:rPr>
          <w:rFonts w:cs="Calibri"/>
        </w:rPr>
        <w:t xml:space="preserve">. Collaborating with a project partner saw a shift away from the traditional research ontology of self-other, to a greater sense of collaboration, embeddedness, and impact </w:t>
      </w:r>
      <w:r>
        <w:fldChar w:fldCharType="begin" w:fldLock="1"/>
      </w:r>
      <w:r w:rsidR="00974B75">
        <w:rPr>
          <w:rFonts w:cs="Calibri"/>
        </w:rPr>
        <w:instrText>ADDIN CSL_CITATION {"citationItems":[{"id":"ITEM-1","itemData":{"author":[{"dropping-particle":"","family":"Cunliffe","given":"Ann L.","non-dropping-particle":"","parse-names":false,"suffix":""},{"dropping-particle":"","family":"Pavlovich","given":"Kathryn","non-dropping-particle":"","parse-names":false,"suffix":""}],"container-title":"Academy of Management Perspectives","id":"ITEM-1","issue":"3","issued":{"date-parts":[["2022"]]},"page":"879-895","title":"Making Our Work Matter: From Spectator To and Management Studies","type":"article-journal","volume":"36"},"uris":["http://www.mendeley.com/documents/?uuid=76313b30-475b-48ee-a88e-69614d719385"]},{"id":"ITEM-2","itemData":{"DOI":"10.1111/1467-8551.12204","ISSN":"14678551","abstract":"This paper explores how we can embed impact in research to generate socially useful knowledge. Our contribution lies in proposing a form of engaged research that draws upon situated knowledge and encompasses dialogical sensemaking as a way of making experience sensible in collaborative researcher−practitioner conversations. We draw attention to the intricacies of doing socially useful research and illustrate how five conversational resources can be used within dialogical sensemaking through an example of a research project in which impact and relevance were embedded and where researchers and practitioners worked together to resolve an important social and organizational issue.","author":[{"dropping-particle":"","family":"Cunliffe","given":"Ann L.","non-dropping-particle":"","parse-names":false,"suffix":""},{"dropping-particle":"","family":"Scaratti","given":"Giuseppe","non-dropping-particle":"","parse-names":false,"suffix":""}],"container-title":"British Journal of Management","id":"ITEM-2","issue":"1","issued":{"date-parts":[["2017"]]},"page":"29-44","title":"Embedding Impact in Engaged Research: Developing Socially Useful Knowledge through Dialogical Sensemaking","type":"article-journal","volume":"28"},"uris":["http://www.mendeley.com/documents/?uuid=aeb3f7d8-9b67-4691-b36c-437eeea9f754"]}],"mendeley":{"formattedCitation":"(Cunliffe &amp; Pavlovich, 2022; Cunliffe &amp; Scaratti, 2017)","plainTextFormattedCitation":"(Cunliffe &amp; Pavlovich, 2022; Cunliffe &amp; Scaratti, 2017)","previouslyFormattedCitation":"(Cunliffe &amp; Pavlovich, 2022; Cunliffe &amp; Scaratti, 2017)"},"properties":{"noteIndex":0},"schema":"https://github.com/citation-style-language/schema/raw/master/csl-citation.json"}</w:instrText>
      </w:r>
      <w:r>
        <w:rPr>
          <w:rFonts w:cs="Calibri"/>
        </w:rPr>
        <w:fldChar w:fldCharType="separate"/>
      </w:r>
      <w:r>
        <w:rPr>
          <w:rFonts w:cs="Calibri"/>
          <w:noProof/>
        </w:rPr>
        <w:t>(Cunliffe &amp; Pavlovich, 2022; Cunliffe &amp; Scaratti, 2017)</w:t>
      </w:r>
      <w:r>
        <w:rPr>
          <w:rFonts w:cs="Calibri"/>
        </w:rPr>
        <w:fldChar w:fldCharType="end"/>
      </w:r>
      <w:r>
        <w:rPr>
          <w:rFonts w:cs="Calibri"/>
        </w:rPr>
        <w:t>.</w:t>
      </w:r>
      <w:r w:rsidR="008F4D75">
        <w:rPr>
          <w:rFonts w:cs="Calibri"/>
        </w:rPr>
        <w:t xml:space="preserve"> While the traditional ontology of research was adapted using a transdisciplinary approach, elements of traditional academic practice were still embedded within the research, such as research integrity </w:t>
      </w:r>
      <w:r w:rsidR="008F4D75">
        <w:rPr>
          <w:rFonts w:cs="Calibri"/>
        </w:rPr>
        <w:fldChar w:fldCharType="begin" w:fldLock="1"/>
      </w:r>
      <w:r w:rsidR="005A3506">
        <w:rPr>
          <w:rFonts w:cs="Calibri"/>
        </w:rPr>
        <w:instrText>ADDIN CSL_CITATION {"citationItems":[{"id":"ITEM-1","itemData":{"DOI":"10.1016/j.envsci.2007.06.001","ISSN":"14629011","abstract":"Is transdisciplinary research a useful means of bridging science and policy? And does transdisciplinarity go beyond informing public agencies, the private sector, or civil society of the results of research? The interacting policy cultures serve as a framework for studying transdisciplinary projects funded by two environmental research programs, the Swiss Priority Program Environment (SPPE) and the Swedish Foundation for Strategic Environmental Research (MISTRA). Two types of projects are distinguished. Researchers in projects of the first type reorganize knowledge according to the (perceived) interest of the audience. Transdisciplinary research of this type requires a clearly defined audience culture. Researchers in projects of the second type initiate a co-production of knowledge during which the different policy cultures interact. Transdisciplinary research of type two is appropriate for policies that have to be developed using a collective process involving multiple policy cultures. © 2007 Elsevier Ltd. All rights reserved.","author":[{"dropping-particle":"","family":"Pohl","given":"Christian","non-dropping-particle":"","parse-names":false,"suffix":""}],"container-title":"Environmental Science and Policy","id":"ITEM-1","issue":"1","issued":{"date-parts":[["2008"]]},"page":"46-53","title":"From science to policy through transdisciplinary research","type":"article-journal","volume":"11"},"uris":["http://www.mendeley.com/documents/?uuid=d7832051-b3fa-491d-b77e-faae3d00c2ef"]}],"mendeley":{"formattedCitation":"(Pohl, 2008)","plainTextFormattedCitation":"(Pohl, 2008)","previouslyFormattedCitation":"(Pohl, 2008)"},"properties":{"noteIndex":0},"schema":"https://github.com/citation-style-language/schema/raw/master/csl-citation.json"}</w:instrText>
      </w:r>
      <w:r w:rsidR="008F4D75">
        <w:rPr>
          <w:rFonts w:cs="Calibri"/>
        </w:rPr>
        <w:fldChar w:fldCharType="separate"/>
      </w:r>
      <w:r w:rsidR="008F4D75" w:rsidRPr="008F4D75">
        <w:rPr>
          <w:rFonts w:cs="Calibri"/>
          <w:noProof/>
        </w:rPr>
        <w:t>(Pohl, 2008)</w:t>
      </w:r>
      <w:r w:rsidR="008F4D75">
        <w:rPr>
          <w:rFonts w:cs="Calibri"/>
        </w:rPr>
        <w:fldChar w:fldCharType="end"/>
      </w:r>
      <w:r w:rsidR="008F4D75">
        <w:rPr>
          <w:rFonts w:cs="Calibri"/>
        </w:rPr>
        <w:t xml:space="preserve">. </w:t>
      </w:r>
      <w:r w:rsidR="00245EFD">
        <w:rPr>
          <w:rFonts w:cs="Calibri"/>
        </w:rPr>
        <w:t>T</w:t>
      </w:r>
      <w:r w:rsidR="008F4D75">
        <w:rPr>
          <w:rFonts w:cs="Calibri"/>
        </w:rPr>
        <w:t xml:space="preserve">here is no definitive clear guidance on what gives research </w:t>
      </w:r>
      <w:r w:rsidR="008F4D75" w:rsidRPr="00A0151B">
        <w:rPr>
          <w:rFonts w:cs="Calibri"/>
          <w:i/>
          <w:iCs/>
          <w:u w:val="single"/>
        </w:rPr>
        <w:t>integrity</w:t>
      </w:r>
      <w:r w:rsidR="008F4D75">
        <w:rPr>
          <w:rFonts w:cs="Calibri"/>
        </w:rPr>
        <w:t xml:space="preserve">, it is down to the perception of the researcher </w:t>
      </w:r>
      <w:r w:rsidR="008F4D75">
        <w:rPr>
          <w:rFonts w:cs="Calibri"/>
        </w:rPr>
        <w:fldChar w:fldCharType="begin" w:fldLock="1"/>
      </w:r>
      <w:r w:rsidR="008F4D75">
        <w:rPr>
          <w:rFonts w:cs="Calibri"/>
        </w:rPr>
        <w:instrText>ADDIN CSL_CITATION {"citationItems":[{"id":"ITEM-1","itemData":{"DOI":"10.1080/08989621.2017.1413940","ISSN":"0898-9621","abstract":"Despite increasing interest in integrity issues, relatively few studies have examined researchers? own interpretations of integrity. As part of the Perspectives on Research Integrity in Science and Medicine (PRISM) project, we sought to explore how researchers themselves define research integrity. We conducted 33 semi-structured interviews with clinical and laboratory-based researchers from across Switzerland. Data were transcribed and coded using thematic analysis and illustrative quotes were selected. Researchers defined integrity in terms of honesty, transparency, and objectivity, and generally stressed the importance of sticking to the research question and avoiding bias in data interpretation. Some saw research integrity as being synonymous with scientific integrity, but others regarded research integrity as being a subset of the wider domain of scientific integrity. A few participants equated research integrity with mere absence of misconduct, but the majority of participants regarded integrity as being more than this. Researchers regarded truth as the key aspect of integrity, though they expressed this in different ways and with various emphases on honesty, transparency, and objectivity. Integrity goes beyond avoiding misconduct, and scientific integrity has a wider domain than research integrity.","author":[{"dropping-particle":"","family":"Shaw","given":"David","non-dropping-particle":"","parse-names":false,"suffix":""},{"dropping-particle":"","family":"Satalkar","given":"Priya","non-dropping-particle":"","parse-names":false,"suffix":""}],"container-title":"Accountability in Research","id":"ITEM-1","issue":"2","issued":{"date-parts":[["2018","2","17"]]},"note":"doi: 10.1080/08989621.2017.1413940","page":"79-93","publisher":"Taylor &amp; Francis","title":"Researchers’ interpretations of research integrity: A qualitative study","type":"article-journal","volume":"25"},"uris":["http://www.mendeley.com/documents/?uuid=b4fdc847-9835-4666-91e5-55b449e9c1fb"]}],"mendeley":{"formattedCitation":"(Shaw &amp; Satalkar, 2018)","plainTextFormattedCitation":"(Shaw &amp; Satalkar, 2018)","previouslyFormattedCitation":"(Shaw &amp; Satalkar, 2018)"},"properties":{"noteIndex":0},"schema":"https://github.com/citation-style-language/schema/raw/master/csl-citation.json"}</w:instrText>
      </w:r>
      <w:r w:rsidR="008F4D75">
        <w:rPr>
          <w:rFonts w:cs="Calibri"/>
        </w:rPr>
        <w:fldChar w:fldCharType="separate"/>
      </w:r>
      <w:r w:rsidR="008F4D75" w:rsidRPr="008F4D75">
        <w:rPr>
          <w:rFonts w:cs="Calibri"/>
          <w:noProof/>
        </w:rPr>
        <w:t>(Shaw &amp; Satalkar, 2018)</w:t>
      </w:r>
      <w:r w:rsidR="008F4D75">
        <w:rPr>
          <w:rFonts w:cs="Calibri"/>
        </w:rPr>
        <w:fldChar w:fldCharType="end"/>
      </w:r>
      <w:r w:rsidR="008F4D75">
        <w:rPr>
          <w:rFonts w:cs="Calibri"/>
        </w:rPr>
        <w:t xml:space="preserve">. I believe that working in collaboration with SYFR enabled a strong sense of research integrity, not only grounding the project in academic knowledge but also practitioner knowledge. Moving away from a traditional research ontology </w:t>
      </w:r>
      <w:r>
        <w:rPr>
          <w:rFonts w:cs="Calibri"/>
        </w:rPr>
        <w:t xml:space="preserve">also enabled the research to work towards large societal issues or </w:t>
      </w:r>
      <w:r>
        <w:rPr>
          <w:rFonts w:cs="Calibri"/>
          <w:i/>
          <w:iCs/>
        </w:rPr>
        <w:t>grand challenges</w:t>
      </w:r>
      <w:r>
        <w:rPr>
          <w:rFonts w:cs="Calibri"/>
        </w:rPr>
        <w:t xml:space="preserve"> </w:t>
      </w:r>
      <w:r>
        <w:fldChar w:fldCharType="begin" w:fldLock="1"/>
      </w:r>
      <w:r w:rsidR="00974B75">
        <w:rPr>
          <w:rFonts w:cs="Calibri"/>
        </w:rPr>
        <w:instrText>ADDIN CSL_CITATION {"citationItems":[{"id":"ITEM-1","itemData":{"author":[{"dropping-particle":"","family":"Cunliffe","given":"Ann L.","non-dropping-particle":"","parse-names":false,"suffix":""},{"dropping-particle":"","family":"Pavlovich","given":"Kathryn","non-dropping-particle":"","parse-names":false,"suffix":""}],"container-title":"Academy of Management Perspectives","id":"ITEM-1","issue":"3","issued":{"date-parts":[["2022"]]},"page":"879-895","title":"Making Our Work Matter: From Spectator To and Management Studies","type":"article-journal","volume":"36"},"uris":["http://www.mendeley.com/documents/?uuid=76313b30-475b-48ee-a88e-69614d719385"]},{"id":"ITEM-2","itemData":{"DOI":"10.5465/amp.2020.0159","ISSN":"15589080","abstract":"There is growing interest among management scholars, policy-makers, and practitioners in understanding and addressing deep-seated societal problems, often termed “wicked problems,” “grand challenges,” or “messes.” An expansive body of research and practice-based literature has appeared, with little evidence to date of synthesis across research streams, tools, and practices. We also note a bifurcation between management scholarship and practice in this area that hinders cumulative learning and cross-fertilization to inform practice and policy questions. In this paper, we introduce the RAFFT framework, composed of five interrelated themes that underpin messiness (rules, agency, feedback, frames and tensions) and are grounded in knowledge triangulated across thought worlds from research and practice. Supported by illustrative examples from research and practice, we present this heuristic framework as both a diagnostic tool and an intervention repertoire. We hope that this framework can serve as a starting point for further development by researchers and practitioners working more closely together to build cumulative knowledge.","author":[{"dropping-particle":"","family":"Klag","given":"Malvina","non-dropping-particle":"","parse-names":false,"suffix":""},{"dropping-particle":"","family":"Langley","given":"Ann","non-dropping-particle":"","parse-names":false,"suffix":""}],"container-title":"Academy of Management Perspectives","id":"ITEM-2","issue":"1","issued":{"date-parts":[["2023"]]},"page":"37-54","title":"When Everything Interacts With Everything Else: Intervening in Messes","type":"article-journal","volume":"37"},"uris":["http://www.mendeley.com/documents/?uuid=fd7248dd-6f65-4f22-8100-85710d4e6dfc"]}],"mendeley":{"formattedCitation":"(Klag &amp; Langley, 2023; Cunliffe &amp; Pavlovich, 2022)","plainTextFormattedCitation":"(Klag &amp; Langley, 2023; Cunliffe &amp; Pavlovich, 2022)","previouslyFormattedCitation":"(Klag &amp; Langley, 2023; Cunliffe &amp; Pavlovich, 2022)"},"properties":{"noteIndex":0},"schema":"https://github.com/citation-style-language/schema/raw/master/csl-citation.json"}</w:instrText>
      </w:r>
      <w:r>
        <w:rPr>
          <w:rFonts w:cs="Calibri"/>
        </w:rPr>
        <w:fldChar w:fldCharType="separate"/>
      </w:r>
      <w:r>
        <w:rPr>
          <w:rFonts w:cs="Calibri"/>
          <w:noProof/>
        </w:rPr>
        <w:t>(Klag &amp; Langley, 2023; Cunliffe &amp; Pavlovich, 2022)</w:t>
      </w:r>
      <w:r>
        <w:rPr>
          <w:rFonts w:cs="Calibri"/>
        </w:rPr>
        <w:fldChar w:fldCharType="end"/>
      </w:r>
      <w:r>
        <w:rPr>
          <w:rFonts w:cs="Calibri"/>
        </w:rPr>
        <w:t xml:space="preserve"> and, in the case of this research, the need for communities to develop resilience to disasters. Throughout the PhD, I worked closely with SYFR. This was initially through group meetings with SYFR and the supervisory team to scope and continue to develop the project. These meetings then turned into progress reports; however, they had to be stopped due to the onset of COVID-19. After March 2020, the progress reports turned into smaller scale telephone meetings on an ad-hoc basis between myself and SYFR to discuss the progress of the project, which enabled a close working relationship.  This collaboration resulted in a thesis being structured around a key challenge facing SYFR that they wanted to investigate, namely their use of social media and how it could be developed to support community resilience for the communities in South Yorkshire.</w:t>
      </w:r>
      <w:r w:rsidR="00E472E7">
        <w:rPr>
          <w:rFonts w:cs="Calibri"/>
        </w:rPr>
        <w:t xml:space="preserve"> </w:t>
      </w:r>
    </w:p>
    <w:p w14:paraId="62C3C5C1" w14:textId="77777777" w:rsidR="00D84CA7" w:rsidRDefault="00D84CA7" w:rsidP="007C190B">
      <w:pPr>
        <w:rPr>
          <w:rFonts w:cs="Calibri"/>
        </w:rPr>
      </w:pPr>
    </w:p>
    <w:p w14:paraId="0B8673CE" w14:textId="77777777" w:rsidR="00D84CA7" w:rsidRDefault="00D84CA7" w:rsidP="007C190B">
      <w:pPr>
        <w:rPr>
          <w:rFonts w:cs="Calibri"/>
        </w:rPr>
      </w:pPr>
      <w:r>
        <w:rPr>
          <w:rFonts w:cs="Calibri"/>
        </w:rPr>
        <w:t xml:space="preserve">As a Fire and Rescue Service (FRS), SYFR are statutorily obligated to </w:t>
      </w:r>
      <w:r w:rsidR="00B97387">
        <w:rPr>
          <w:rFonts w:cs="Calibri"/>
        </w:rPr>
        <w:t xml:space="preserve">perform certain duties and activities. This therefore places significance on understanding the wider context that SYFR are operating within as this will influence and affect how they can support community resilience.  </w:t>
      </w:r>
    </w:p>
    <w:p w14:paraId="40154E86" w14:textId="77777777" w:rsidR="00C24152" w:rsidRDefault="00C24152" w:rsidP="007C190B">
      <w:pPr>
        <w:rPr>
          <w:rFonts w:cs="Calibri"/>
        </w:rPr>
      </w:pPr>
    </w:p>
    <w:p w14:paraId="0C72365C" w14:textId="77777777" w:rsidR="00E472E7" w:rsidRDefault="00E472E7" w:rsidP="00E472E7">
      <w:pPr>
        <w:pStyle w:val="Heading2"/>
        <w:rPr>
          <w:rFonts w:ascii="Calibri" w:hAnsi="Calibri" w:cs="Calibri"/>
        </w:rPr>
      </w:pPr>
      <w:bookmarkStart w:id="17" w:name="_Toc193367169"/>
      <w:r>
        <w:rPr>
          <w:rFonts w:ascii="Calibri" w:hAnsi="Calibri" w:cs="Calibri"/>
        </w:rPr>
        <w:lastRenderedPageBreak/>
        <w:t>1.3: The study context: Fire and Rescue Service</w:t>
      </w:r>
      <w:bookmarkEnd w:id="17"/>
    </w:p>
    <w:p w14:paraId="149C2C6F" w14:textId="77777777" w:rsidR="00C957F5" w:rsidRDefault="00992A15" w:rsidP="00E472E7">
      <w:pPr>
        <w:rPr>
          <w:rFonts w:cs="Calibri"/>
        </w:rPr>
      </w:pPr>
      <w:r>
        <w:rPr>
          <w:rFonts w:cs="Calibri"/>
        </w:rPr>
        <w:t xml:space="preserve">The </w:t>
      </w:r>
      <w:r w:rsidR="00B97387">
        <w:rPr>
          <w:rFonts w:cs="Calibri"/>
        </w:rPr>
        <w:t xml:space="preserve">FRS are </w:t>
      </w:r>
      <w:r w:rsidR="00C957F5">
        <w:rPr>
          <w:rFonts w:cs="Calibri"/>
        </w:rPr>
        <w:t>a public service and</w:t>
      </w:r>
      <w:r>
        <w:rPr>
          <w:rFonts w:cs="Calibri"/>
        </w:rPr>
        <w:t xml:space="preserve"> as such</w:t>
      </w:r>
      <w:r w:rsidR="00C957F5">
        <w:rPr>
          <w:rFonts w:cs="Calibri"/>
        </w:rPr>
        <w:t xml:space="preserve"> are </w:t>
      </w:r>
      <w:r w:rsidR="00B97387">
        <w:rPr>
          <w:rFonts w:cs="Calibri"/>
        </w:rPr>
        <w:t xml:space="preserve">managed </w:t>
      </w:r>
      <w:r w:rsidR="00245EFD">
        <w:rPr>
          <w:rFonts w:cs="Calibri"/>
        </w:rPr>
        <w:t xml:space="preserve">by, </w:t>
      </w:r>
      <w:r w:rsidR="00B97387">
        <w:rPr>
          <w:rFonts w:cs="Calibri"/>
        </w:rPr>
        <w:t xml:space="preserve">and sit </w:t>
      </w:r>
      <w:r w:rsidR="00245EFD">
        <w:rPr>
          <w:rFonts w:cs="Calibri"/>
        </w:rPr>
        <w:t>within, the</w:t>
      </w:r>
      <w:r w:rsidR="00B97387">
        <w:rPr>
          <w:rFonts w:cs="Calibri"/>
        </w:rPr>
        <w:t xml:space="preserve"> remit of </w:t>
      </w:r>
      <w:r>
        <w:rPr>
          <w:rFonts w:cs="Calibri"/>
        </w:rPr>
        <w:t xml:space="preserve">national government, specifically </w:t>
      </w:r>
      <w:r w:rsidR="00B97387">
        <w:rPr>
          <w:rFonts w:cs="Calibri"/>
        </w:rPr>
        <w:t>the Home Office. With all public services, the FRS is therefore subject to changing political structures and ideologies.</w:t>
      </w:r>
      <w:r w:rsidR="00C957F5">
        <w:rPr>
          <w:rFonts w:cs="Calibri"/>
        </w:rPr>
        <w:t xml:space="preserve"> The shifting politics and ideologies within </w:t>
      </w:r>
      <w:r w:rsidR="00D6463F">
        <w:rPr>
          <w:rFonts w:cs="Calibri"/>
        </w:rPr>
        <w:t>central government</w:t>
      </w:r>
      <w:r w:rsidR="00C957F5">
        <w:rPr>
          <w:rFonts w:cs="Calibri"/>
        </w:rPr>
        <w:t xml:space="preserve"> has ramifications on the actions and roles within local agencies</w:t>
      </w:r>
      <w:r w:rsidR="00D6463F">
        <w:rPr>
          <w:rFonts w:cs="Calibri"/>
        </w:rPr>
        <w:t>,</w:t>
      </w:r>
      <w:r w:rsidR="00C957F5">
        <w:rPr>
          <w:rFonts w:cs="Calibri"/>
        </w:rPr>
        <w:t xml:space="preserve"> such as SYFR. It is therefore important to discuss and understand the national policies and how they shape the work done at the local level. </w:t>
      </w:r>
    </w:p>
    <w:p w14:paraId="46615CF7" w14:textId="77777777" w:rsidR="00992A15" w:rsidRDefault="00992A15" w:rsidP="00E472E7">
      <w:pPr>
        <w:rPr>
          <w:rFonts w:cs="Calibri"/>
        </w:rPr>
      </w:pPr>
    </w:p>
    <w:p w14:paraId="203843E1" w14:textId="4133B35C" w:rsidR="00992A15" w:rsidRDefault="00C957F5" w:rsidP="00346745">
      <w:pPr>
        <w:rPr>
          <w:rFonts w:cs="Calibri"/>
        </w:rPr>
      </w:pPr>
      <w:r>
        <w:rPr>
          <w:rFonts w:cs="Calibri"/>
        </w:rPr>
        <w:t xml:space="preserve">This shifting political ideology was seen with the New Labour Government in 1997. This saw an increased focus on public services providing </w:t>
      </w:r>
      <w:r w:rsidRPr="00A0151B">
        <w:rPr>
          <w:rFonts w:cs="Calibri"/>
          <w:i/>
          <w:iCs/>
        </w:rPr>
        <w:t xml:space="preserve">best </w:t>
      </w:r>
      <w:r>
        <w:rPr>
          <w:rFonts w:cs="Calibri"/>
          <w:i/>
          <w:iCs/>
        </w:rPr>
        <w:t>v</w:t>
      </w:r>
      <w:r w:rsidRPr="00A0151B">
        <w:rPr>
          <w:rFonts w:cs="Calibri"/>
          <w:i/>
          <w:iCs/>
        </w:rPr>
        <w:t>alue</w:t>
      </w:r>
      <w:r>
        <w:rPr>
          <w:rFonts w:cs="Calibri"/>
        </w:rPr>
        <w:t>, namely providing a good service whil</w:t>
      </w:r>
      <w:r w:rsidR="00245EFD">
        <w:rPr>
          <w:rFonts w:cs="Calibri"/>
        </w:rPr>
        <w:t>e</w:t>
      </w:r>
      <w:r>
        <w:rPr>
          <w:rFonts w:cs="Calibri"/>
        </w:rPr>
        <w:t xml:space="preserve"> being economically efficient </w:t>
      </w:r>
      <w:r w:rsidR="00E472E7" w:rsidRPr="00483E98">
        <w:rPr>
          <w:rFonts w:cs="Calibri"/>
        </w:rPr>
        <w:fldChar w:fldCharType="begin" w:fldLock="1"/>
      </w:r>
      <w:r w:rsidR="00E472E7" w:rsidRPr="00483E98">
        <w:rPr>
          <w:rFonts w:cs="Calibri"/>
        </w:rPr>
        <w:instrText>ADDIN CSL_CITATION {"citationItems":[{"id":"ITEM-1","itemData":{"DOI":"10.1080/09540962.2013.785711","ISSN":"09540962","author":[{"dropping-particle":"","family":"Murphy","given":"Pete","non-dropping-particle":"","parse-names":false,"suffix":""},{"dropping-particle":"","family":"Greenhalgh","given":"Kirsten","non-dropping-particle":"","parse-names":false,"suffix":""}],"container-title":"Public Money and Management","id":"ITEM-1","issue":"3","issued":{"date-parts":[["2013"]]},"page":"225-232","title":"Performance management in fire and rescue services","type":"article-journal","volume":"33"},"uris":["http://www.mendeley.com/documents/?uuid=7fd3a239-aac1-4955-beef-211a7c49f758"]},{"id":"ITEM-2","itemData":{"DOI":"10.1108/00483480510623457","ISBN":"0951355061065","ISSN":"00483486","PMID":"214799068","abstract":"Purpose - The underpinning assumption in the adoption of 360 degrees\\nfeedback is that it heightens an individual's self-awareness by\\nhighlighting differences between how participants see themselves and how\\nothers see them. This statement implies that awareness motivates\\ndevelopment and improves performance. This paper critically examines the\\nintroduction of 360 degrees feedback in the civil service, drawing on\\nthe experiences of the Patent Office and taking account of the wider\\ncontext of civil service modernisation.\\nDesign/methodology/approach - The case study gathered data through a\\nseries of interviews and questionnaires. It sought the perceptions and\\nexperiences of management and participants in relation to the\\nimplementation process and the outcomes of the scheme.\\nFindings - At an organisational level the use of 360 degrees feedback,\\nas a performance management tool, failed to develop the self-awareness\\nanticipated. Neither was it found to be aligned with other development\\nplans or the organisation's core competencies. At an individual level\\nsome participants believed that they achieved little from the process\\noverall and this may be related to an expectation that the\\norganisation's HRM system would be more proactive in planning\\ndevelopment action on their behalf.\\nPractical implications - This research reflects the situation in one\\norganisation. It is argued that the findings will have relevance for the\\nwider civil service as the agenda for organisational efficiency, target\\nsetting, and performance improvement gathers momentum.\\nOriginality/value - This paper takes a critical perspective on whether\\nHR developments such as 360 degrees feedback have a deep-seated\\nstrategic rationale. It also explores the relationship between 360\\ndegrees feedback and the new public management.","author":[{"dropping-particle":"","family":"Fitzgerald","given":"Ian","non-dropping-particle":"","parse-names":false,"suffix":""}],"container-title":"Personnel Review","id":"ITEM-2","issue":"6","issued":{"date-parts":[["2005"]]},"page":"648 - 662","title":"\"The death of corporatism? Managing change in the fire service\"","type":"article-journal","volume":"34"},"uris":["http://www.mendeley.com/documents/?uuid=603ab24f-932a-4888-8fa4-bf1c0503325a"]},{"id":"ITEM-3","itemData":{"DOI":"10.1111/1467-8500.12294","ISSN":"14678500","abstract":"© 2017 Institute of Public Administration Australia Can public sector reform change service performance for the better? This is a hotly contested debate that carries significant theoretical and practical importance. In England, as in many countries, modernisation was at the heart of local government reform and represented an interpretation of New Public Management into a policy framework. This paper examines the role of the modernisation change agenda in England and what this has subsequently meant for ‘service improvement’. Drawing on both document analyses and qualitative interviews with local government employees, we find that while modernisation sought to establish continuous improvement, unintended consequences of modernisation have led to Staff Reductions, Skill Deficiencies, and Loss of a Competent Middle Core in local government, as well as performance outcomes creating an environment for Commissioning, Service Reduction, and Self-Policing. Implications for the lasting roles and behaviours of public managers affected by this national change agenda are discussed, and conclusions for theory and practice are drawn.","author":[{"dropping-particle":"","family":"Glennon","given":"Russ","non-dropping-particle":"","parse-names":false,"suffix":""},{"dropping-particle":"","family":"Hodgkinson","given":"Ian","non-dropping-particle":"","parse-names":false,"suffix":""},{"dropping-particle":"","family":"Knowles","given":"Joanne","non-dropping-particle":"","parse-names":false,"suffix":""},{"dropping-particle":"","family":"Radnor","given":"Zoe","non-dropping-particle":"","parse-names":false,"suffix":""},{"dropping-particle":"","family":"Bateman","given":"Nicola","non-dropping-particle":"","parse-names":false,"suffix":""}],"container-title":"Australian Journal of Public Administration","id":"ITEM-3","issue":"2","issued":{"date-parts":[["2018"]]},"page":"203-221","title":"Public Sector ‘Modernisation’: Examining the Impact of a Change Agenda on Local Government Employees in England","type":"article-journal","volume":"77"},"uris":["http://www.mendeley.com/documents/?uuid=e7df1ba9-968e-46cd-86ba-0211fbf87008"]},{"id":"ITEM-4","itemData":{"author":[{"dropping-particle":"","family":"Glennon","given":"Russell James","non-dropping-particle":"","parse-names":false,"suffix":""}],"container-title":"Loughborough University Institutional Repository","id":"ITEM-4","issued":{"date-parts":[["2017"]]},"number-of-pages":"1 - 332","publisher":"Loughborough University","title":"The ‘death of improvement’: An exploration of the legacy of performance and service improvement reform in English local authorities, 1997-2017","type":"thesis"},"uris":["http://www.mendeley.com/documents/?uuid=945e9b9e-b107-4207-bbc7-e9116d15b022"]},{"id":"ITEM-5","itemData":{"DOI":"10.1007/978-3-319-62155-5_2","ISBN":"9783319621555","author":[{"dropping-particle":"","family":"Murphy","given":"Peter","non-dropping-particle":"","parse-names":false,"suffix":""},{"dropping-particle":"","family":"Greenhalgh","given":"Kirsten","non-dropping-particle":"","parse-names":false,"suffix":""}],"chapter-number":"2","container-title":"Fire and Rescue Services: Leadership and Management Perspectives","editor":[{"dropping-particle":"","family":"Murphy","given":"Peter","non-dropping-particle":"","parse-names":false,"suffix":""},{"dropping-particle":"","family":"Greenhalgh","given":"Kirsten","non-dropping-particle":"","parse-names":false,"suffix":""}],"id":"ITEM-5","issued":{"date-parts":[["2018"]]},"page":"9-26","publisher":"Springer","publisher-place":"Nottingham","title":"The Gathering Storm: Modernisation, local alignment and collaboration. Fire and rescue services under the early new labour administrations from 1997 to 2005","type":"chapter"},"uris":["http://www.mendeley.com/documents/?uuid=80233f35-d817-4ac8-8726-9234d824212b"]},{"id":"ITEM-6","itemData":{"DOI":"10.1080/14036096.2014.947172","ISSN":"16512278","abstract":"The idea of the ?Big Society? can be seen as culmination of a long-standing debate about the regulation of welfare. Situating the concept within governance theory, the article considers how the UK coalition government has justified a radical restructuring of welfare provision, and considers its implications for housing provision. Although drawing on earlier modernization processes, the article contends that the genesis for welfare reform was based on an analysis that the government was forced to respond to a unique conjunction of crises: in morality, the state, ideology and economics. The government has therefore embarked upon a programme, which has served to undermine the legitimacy of the social housing sector (most notably in England), with detrimental consequences for residents and raising significant dilemmas for those working in the housing sector.; AbstractThe idea of the ?Big Society? can be seen as culmination of a long-standing debate about the regulation of welfare. Situating the concept within governance theory, the article considers how the UK coalition government has justified a radical restructuring of welfare provision, and considers its implications for housing provision. Although drawing on earlier modernization processes, the article contends that the genesis for welfare reform was based on an analysis that the government was forced to respond to a unique conjunction of crises: in morality, the state, ideology and economics. The government has therefore embarked upon a programme, which has served to undermine the legitimacy of the social housing sector (most notably in England), with detrimental consequences for residents and raising significant dilemmas for those working in the housing sector.","author":[{"dropping-particle":"","family":"Manzi","given":"Tony","non-dropping-particle":"","parse-names":false,"suffix":""}],"container-title":"Housing, Theory and Society","id":"ITEM-6","issue":"1","issued":{"date-parts":[["2015"]]},"page":"9-24","title":"The Big Society and the Conjunction of Crises: Justifying Welfare Reform and Undermining Social Housing","type":"article-journal","volume":"32"},"uris":["http://www.mendeley.com/documents/?uuid=54074936-5fa6-42f8-ac44-ebb2c5ffaf32"]},{"id":"ITEM-7","itemData":{"DOI":"10.1093/milmed/157.7.a3a","ISBN":"9781032055435","ISSN":"00264075","PMID":"1528462","author":[{"dropping-particle":"","family":"Wankhade","given":"Paresh","non-dropping-particle":"","parse-names":false,"suffix":""},{"dropping-particle":"","family":"Murphy","given":"Peter","non-dropping-particle":"","parse-names":false,"suffix":""}],"edition":"First","id":"ITEM-7","issued":{"date-parts":[["2023"]]},"publisher":"Routledge","publisher-place":"Abingdon","title":"Emergency services management course: A research Overview","type":"book"},"uris":["http://www.mendeley.com/documents/?uuid=c441c885-3108-4c7e-9d3e-4346bac85c65"]}],"mendeley":{"formattedCitation":"(Wankhade &amp; Murphy, 2023; Glennon et al., 2018; Murphy &amp; Greenhalgh, 2013, 2018; Glennon, 2017; Manzi, 2015; Fitzgerald, 2005)","plainTextFormattedCitation":"(Wankhade &amp; Murphy, 2023; Glennon et al., 2018; Murphy &amp; Greenhalgh, 2013, 2018; Glennon, 2017; Manzi, 2015; Fitzgerald, 2005)","previouslyFormattedCitation":"(Wankhade &amp; Murphy, 2023; Glennon et al., 2018; Murphy &amp; Greenhalgh, 2013, 2018; Glennon, 2017; Manzi, 2015; Fitzgerald, 2005)"},"properties":{"noteIndex":0},"schema":"https://github.com/citation-style-language/schema/raw/master/csl-citation.json"}</w:instrText>
      </w:r>
      <w:r w:rsidR="00E472E7" w:rsidRPr="00483E98">
        <w:rPr>
          <w:rFonts w:cs="Calibri"/>
        </w:rPr>
        <w:fldChar w:fldCharType="separate"/>
      </w:r>
      <w:r w:rsidR="00E472E7" w:rsidRPr="00483E98">
        <w:rPr>
          <w:rFonts w:cs="Calibri"/>
          <w:noProof/>
        </w:rPr>
        <w:t>(Wankhade &amp; Murphy, 2023; Glennon et al., 2018; Murphy &amp; Greenhalgh, 2013, 2018; Glennon, 2017; Manzi, 2015; Fitzgerald, 2005)</w:t>
      </w:r>
      <w:r w:rsidR="00E472E7" w:rsidRPr="00483E98">
        <w:rPr>
          <w:rFonts w:cs="Calibri"/>
        </w:rPr>
        <w:fldChar w:fldCharType="end"/>
      </w:r>
      <w:r w:rsidR="00E472E7">
        <w:rPr>
          <w:rFonts w:cs="Calibri"/>
        </w:rPr>
        <w:t xml:space="preserve">. </w:t>
      </w:r>
      <w:r>
        <w:rPr>
          <w:rFonts w:cs="Calibri"/>
        </w:rPr>
        <w:t xml:space="preserve">This </w:t>
      </w:r>
      <w:r w:rsidR="00992A15">
        <w:rPr>
          <w:rFonts w:cs="Calibri"/>
        </w:rPr>
        <w:t>was part of</w:t>
      </w:r>
      <w:r>
        <w:rPr>
          <w:rFonts w:cs="Calibri"/>
        </w:rPr>
        <w:t xml:space="preserve"> a wider political shift focus</w:t>
      </w:r>
      <w:r w:rsidR="00245EFD">
        <w:rPr>
          <w:rFonts w:cs="Calibri"/>
        </w:rPr>
        <w:t>ing</w:t>
      </w:r>
      <w:r>
        <w:rPr>
          <w:rFonts w:cs="Calibri"/>
        </w:rPr>
        <w:t xml:space="preserve"> on New Public Management</w:t>
      </w:r>
      <w:r w:rsidR="00D6463F">
        <w:rPr>
          <w:rFonts w:cs="Calibri"/>
        </w:rPr>
        <w:t xml:space="preserve"> (NPM)</w:t>
      </w:r>
      <w:r>
        <w:rPr>
          <w:rFonts w:cs="Calibri"/>
        </w:rPr>
        <w:t xml:space="preserve"> </w:t>
      </w:r>
      <w:r w:rsidR="00992A15">
        <w:rPr>
          <w:rFonts w:cs="Calibri"/>
        </w:rPr>
        <w:t xml:space="preserve">and an increasing </w:t>
      </w:r>
      <w:r>
        <w:rPr>
          <w:rFonts w:cs="Calibri"/>
        </w:rPr>
        <w:t xml:space="preserve">geopolitical focus on neoliberal agendas. NPM is discussed in greater detail in section </w:t>
      </w:r>
      <w:r w:rsidR="00992A15">
        <w:rPr>
          <w:rFonts w:cs="Calibri"/>
        </w:rPr>
        <w:t xml:space="preserve">2.6.2 </w:t>
      </w:r>
      <w:r>
        <w:rPr>
          <w:rFonts w:cs="Calibri"/>
        </w:rPr>
        <w:t>but essentially describes the shift for public agencies, such as the FRS</w:t>
      </w:r>
      <w:r w:rsidR="002807A6">
        <w:rPr>
          <w:rFonts w:cs="Calibri"/>
        </w:rPr>
        <w:t>,</w:t>
      </w:r>
      <w:r>
        <w:rPr>
          <w:rFonts w:cs="Calibri"/>
        </w:rPr>
        <w:t xml:space="preserve"> to adopt management practices from the private sector</w:t>
      </w:r>
      <w:r w:rsidR="00245EFD">
        <w:rPr>
          <w:rFonts w:cs="Calibri"/>
        </w:rPr>
        <w:t>,</w:t>
      </w:r>
      <w:r>
        <w:rPr>
          <w:rFonts w:cs="Calibri"/>
        </w:rPr>
        <w:t xml:space="preserve"> aiming for increased efficiency of process and resources</w:t>
      </w:r>
      <w:r w:rsidR="00346745">
        <w:rPr>
          <w:rFonts w:cs="Calibri"/>
        </w:rPr>
        <w:t xml:space="preserve"> </w:t>
      </w:r>
      <w:r w:rsidR="00346745" w:rsidRPr="00483E98">
        <w:rPr>
          <w:rFonts w:cs="Calibri"/>
        </w:rPr>
        <w:fldChar w:fldCharType="begin" w:fldLock="1"/>
      </w:r>
      <w:r w:rsidR="00346745" w:rsidRPr="00483E98">
        <w:rPr>
          <w:rFonts w:cs="Calibri"/>
        </w:rPr>
        <w:instrText>ADDIN CSL_CITATION {"citationItems":[{"id":"ITEM-1","itemData":{"DOI":"http://dx.doi.org/10.1108/MRR-09-2015-0216","ISBN":"0001253111116","ISSN":"0264-0473","PMID":"42012058","abstract":"Abstract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Journal","id":"ITEM-1","issue":"1/2","issued":{"date-parts":[["2019"]]},"page":"134-151","title":"The impact of new public management through outsourcing on the management of government information: The case of Sweden","type":"article-journal","volume":"29"},"uris":["http://www.mendeley.com/documents/?uuid=4524732a-155c-4c93-922f-cd3a912b45c2"]},{"id":"ITEM-2","itemData":{"DOI":"10.1177/1440783309346472","ISSN":"17412978","author":[{"dropping-particle":"","family":"Connell","given":"Raewyn","non-dropping-particle":"","parse-names":false,"suffix":""},{"dropping-particle":"","family":"Fawcett","given":"Barbara","non-dropping-particle":"","parse-names":false,"suffix":""},{"dropping-particle":"","family":"Meagher","given":"Gabrielle","non-dropping-particle":"","parse-names":false,"suffix":""}],"container-title":"Journal of Sociology","id":"ITEM-2","issue":"4","issued":{"date-parts":[["2009"]]},"page":"331-338","title":"Neoliberalism, new public management and the human service professions","type":"article-journal","volume":"45"},"uris":["http://www.mendeley.com/documents/?uuid=2eaf93b2-17b1-4a88-9a1e-3eb392d9d30f"]},{"id":"ITEM-3","itemData":{"DOI":"10.1016/0361-3682(93)E0001-W","ISSN":"03613682","abstract":"Changes in public sector accounting in a number of OECD countries over the 1980s were central to the rise of the \"New Public Management\" (NPM) and its associated doctrines of public accountability and organizational best practice. This paper discusses the rise of NPM as an alternative to the tradition of public accountability embodied in progressive-era public administration ideas. It argues that, in spite of allegations of internationalization and the adoption of a new global paradigm in public management, there was considerable variation in the extent to which different OECD countries adopted NPM over the 1980s. It further argues that conventional explanations of the rise of NPM (\"Englishness\", party political incumbency, economic performance record and government size) seem hard to sustain even from a relatively brief inspection of such cross-national data as are available, and that an explanation based on initial endowment may give us a different perspective on those changes. © 1995.","author":[{"dropping-particle":"","family":"Hood","given":"Christopher","non-dropping-particle":"","parse-names":false,"suffix":""}],"container-title":"Accounting, Organizations and Society","id":"ITEM-3","issue":"2/3","issued":{"date-parts":[["1995"]]},"page":"93-109","title":"The \"New Public Management\" in the 1980s: Variations on a theme","type":"article-journal","volume":"20"},"uris":["http://www.mendeley.com/documents/?uuid=7c2fc97b-7560-4c74-9a7c-9a0f44e73949"]},{"id":"ITEM-4","itemData":{"DOI":"10.1002/eet.1806","ISSN":"17569338","abstract":"Scholarship around questions of climate change adaptation is increasingly concerned with ideas of transformative adaptation and its governance through critical re-evaluation of beliefs, values and associated institutions. For public policy sectors, the concept of transformative governance brings attention to their capacities for supporting and engaging in such governance. While much adaptation research and practice informs technical and structural understandings of these capacities (e.g., governance arrangements, learning systems and adaptation planning), most of this research (and practice) has ignored less formal, yet equally important dimensions of public administration and governance. Institutional scholarship highlights that dominant norms, beliefs, and philosophical ideas underpin how policy sectors structure their policy responses and engagement in governance. Discursive Institutionalism suggests that examining a sector's dominant discourse can provide insights into these “institutional logics”. This paper therefore argues that understanding a policy sector's institutional logics is a crucial part of working toward enabling transformative governance of adaptation. This argument is developed through a case study of the institutional logics operating in the fire management policy sector of Victoria, Australia, and the potential influence of these logics on that sector's capacities to engage in transformative governance. Findings suggest this sector's institutional logics may currently constrain its capacities to engage in transformative governance and highlight the need for greater attention to socioinstitutional dimensions of public administration to help catalyze transformative governance of (and for) adaptation.","author":[{"dropping-particle":"","family":"Bosomworth","given":"Karyn","non-dropping-particle":"","parse-names":false,"suffix":""}],"container-title":"Environmental Policy and Governance","id":"ITEM-4","issue":"6","issued":{"date-parts":[["2018"]]},"page":"415-425","title":"A discursive–institutional perspective on transformative governance: A case from a fire management policy sector","type":"article-journal","volume":"28"},"uris":["http://www.mendeley.com/documents/?uuid=8fcbef0f-fc3c-4653-aeb2-13d404d551e5"]},{"id":"ITEM-5","itemData":{"DOI":"10.1093/milmed/157.7.a3a","ISBN":"9781032055435","ISSN":"00264075","PMID":"1528462","author":[{"dropping-particle":"","family":"Wankhade","given":"Paresh","non-dropping-particle":"","parse-names":false,"suffix":""},{"dropping-particle":"","family":"Murphy","given":"Peter","non-dropping-particle":"","parse-names":false,"suffix":""}],"edition":"First","id":"ITEM-5","issued":{"date-parts":[["2023"]]},"publisher":"Routledge","publisher-place":"Abingdon","title":"Emergency services management course: A research Overview","type":"book"},"uris":["http://www.mendeley.com/documents/?uuid=c441c885-3108-4c7e-9d3e-4346bac85c65"]}],"mendeley":{"formattedCitation":"(Wankhade &amp; Murphy, 2023; Svärd, 2019; Bosomworth, 2018; Connell, Fawcett, &amp; Meagher, 2009; Hood, 1995)","plainTextFormattedCitation":"(Wankhade &amp; Murphy, 2023; Svärd, 2019; Bosomworth, 2018; Connell, Fawcett, &amp; Meagher, 2009; Hood, 1995)","previouslyFormattedCitation":"(Wankhade &amp; Murphy, 2023; Svärd, 2019; Bosomworth, 2018; Connell, Fawcett, &amp; Meagher, 2009; Hood, 1995)"},"properties":{"noteIndex":0},"schema":"https://github.com/citation-style-language/schema/raw/master/csl-citation.json"}</w:instrText>
      </w:r>
      <w:r w:rsidR="00346745" w:rsidRPr="00483E98">
        <w:rPr>
          <w:rFonts w:cs="Calibri"/>
        </w:rPr>
        <w:fldChar w:fldCharType="separate"/>
      </w:r>
      <w:r w:rsidR="00346745" w:rsidRPr="00483E98">
        <w:rPr>
          <w:rFonts w:cs="Calibri"/>
          <w:noProof/>
        </w:rPr>
        <w:t>(Wankhade &amp; Murphy, 2023; Svärd, 2019; Bosomworth, 2018; Connell, Fawcett, &amp; Meagher, 2009; Hood, 1995)</w:t>
      </w:r>
      <w:r w:rsidR="00346745" w:rsidRPr="00483E98">
        <w:rPr>
          <w:rFonts w:cs="Calibri"/>
        </w:rPr>
        <w:fldChar w:fldCharType="end"/>
      </w:r>
      <w:r>
        <w:rPr>
          <w:rFonts w:cs="Calibri"/>
        </w:rPr>
        <w:t>. These political shifts, namely neoliberalism and NPM</w:t>
      </w:r>
      <w:r w:rsidR="00245EFD">
        <w:rPr>
          <w:rFonts w:cs="Calibri"/>
        </w:rPr>
        <w:t>,</w:t>
      </w:r>
      <w:r>
        <w:rPr>
          <w:rFonts w:cs="Calibri"/>
        </w:rPr>
        <w:t xml:space="preserve"> influenced how services</w:t>
      </w:r>
      <w:r w:rsidR="002807A6">
        <w:rPr>
          <w:rFonts w:cs="Calibri"/>
        </w:rPr>
        <w:t>,</w:t>
      </w:r>
      <w:r>
        <w:rPr>
          <w:rFonts w:cs="Calibri"/>
        </w:rPr>
        <w:t xml:space="preserve"> such as the FRS</w:t>
      </w:r>
      <w:r w:rsidR="002807A6">
        <w:rPr>
          <w:rFonts w:cs="Calibri"/>
        </w:rPr>
        <w:t>,</w:t>
      </w:r>
      <w:r>
        <w:rPr>
          <w:rFonts w:cs="Calibri"/>
        </w:rPr>
        <w:t xml:space="preserve"> </w:t>
      </w:r>
      <w:r w:rsidR="00F81A24">
        <w:rPr>
          <w:rFonts w:cs="Calibri"/>
        </w:rPr>
        <w:t>are</w:t>
      </w:r>
      <w:r>
        <w:rPr>
          <w:rFonts w:cs="Calibri"/>
        </w:rPr>
        <w:t xml:space="preserve"> expected</w:t>
      </w:r>
      <w:r w:rsidR="00566555">
        <w:rPr>
          <w:rFonts w:cs="Calibri"/>
        </w:rPr>
        <w:t xml:space="preserve"> and obligated</w:t>
      </w:r>
      <w:r>
        <w:rPr>
          <w:rFonts w:cs="Calibri"/>
        </w:rPr>
        <w:t xml:space="preserve"> to operate.</w:t>
      </w:r>
      <w:r w:rsidR="00245EFD">
        <w:rPr>
          <w:rFonts w:cs="Calibri"/>
        </w:rPr>
        <w:t xml:space="preserve"> </w:t>
      </w:r>
      <w:r w:rsidR="00566555">
        <w:rPr>
          <w:rFonts w:cs="Calibri"/>
        </w:rPr>
        <w:t>This was seen with the changing of statutory duties for the FRS under the Fire and Rescue Services Act (FRSA) (2004), and the Civil Contingencies Act (CCA) (2004).</w:t>
      </w:r>
      <w:r w:rsidR="00992A15">
        <w:rPr>
          <w:rFonts w:cs="Calibri"/>
        </w:rPr>
        <w:t xml:space="preserve"> These political shifts and statutory duties are discussed further in the literature review in Chapter 2. </w:t>
      </w:r>
    </w:p>
    <w:p w14:paraId="2990C18B" w14:textId="77777777" w:rsidR="00992A15" w:rsidRDefault="00992A15" w:rsidP="00992A15">
      <w:pPr>
        <w:rPr>
          <w:rFonts w:cs="Calibri"/>
        </w:rPr>
      </w:pPr>
    </w:p>
    <w:p w14:paraId="315DAAD1" w14:textId="77777777" w:rsidR="00C957F5" w:rsidRDefault="00992A15" w:rsidP="00245EFD">
      <w:pPr>
        <w:rPr>
          <w:rFonts w:cs="Calibri"/>
        </w:rPr>
      </w:pPr>
      <w:r>
        <w:rPr>
          <w:rFonts w:cs="Calibri"/>
        </w:rPr>
        <w:t>While the FRS have their duties obligated by national government, their day-to-day actions and how they go about those duties are conducted at the local level. In the case of this research, SYFR.</w:t>
      </w:r>
    </w:p>
    <w:p w14:paraId="716EEC0A" w14:textId="77777777" w:rsidR="00245EFD" w:rsidRDefault="00245EFD" w:rsidP="00245EFD">
      <w:pPr>
        <w:rPr>
          <w:rFonts w:cs="Calibri"/>
        </w:rPr>
      </w:pPr>
    </w:p>
    <w:p w14:paraId="13CCABA3" w14:textId="4BD1FCF3" w:rsidR="00787F73" w:rsidRDefault="00742FB7" w:rsidP="00866155">
      <w:pPr>
        <w:pStyle w:val="Heading2"/>
      </w:pPr>
      <w:bookmarkStart w:id="18" w:name="_Toc153554289"/>
      <w:bookmarkStart w:id="19" w:name="_Toc193367170"/>
      <w:r>
        <w:rPr>
          <w:rFonts w:ascii="Calibri" w:hAnsi="Calibri" w:cs="Calibri"/>
        </w:rPr>
        <w:t>1.</w:t>
      </w:r>
      <w:r w:rsidR="00E472E7">
        <w:rPr>
          <w:rFonts w:ascii="Calibri" w:hAnsi="Calibri" w:cs="Calibri"/>
        </w:rPr>
        <w:t>4</w:t>
      </w:r>
      <w:r>
        <w:rPr>
          <w:rFonts w:ascii="Calibri" w:hAnsi="Calibri" w:cs="Calibri"/>
        </w:rPr>
        <w:t>: The project partner: SYFR</w:t>
      </w:r>
      <w:bookmarkEnd w:id="18"/>
      <w:bookmarkEnd w:id="19"/>
    </w:p>
    <w:p w14:paraId="2DE1581E" w14:textId="1F3CAF7C" w:rsidR="00787F73" w:rsidRDefault="00742FB7" w:rsidP="00866155">
      <w:r>
        <w:rPr>
          <w:rFonts w:cs="Calibri"/>
        </w:rPr>
        <w:t>SYFR is one of five metropolitan fire and rescue services in England and is funded by the South Yorkshire Fire and Rescue Authority</w:t>
      </w:r>
      <w:r w:rsidR="00C24152">
        <w:rPr>
          <w:rFonts w:cs="Calibri"/>
        </w:rPr>
        <w:t xml:space="preserve"> (SYFRA)</w:t>
      </w:r>
      <w:r>
        <w:rPr>
          <w:rFonts w:cs="Calibri"/>
        </w:rPr>
        <w:t xml:space="preserve">. The authority is made up of 12 councillors from the four boroughs of South Yorkshire (Sheffield, Barnsley, Doncaster, and </w:t>
      </w:r>
      <w:r>
        <w:rPr>
          <w:rFonts w:cs="Calibri"/>
        </w:rPr>
        <w:lastRenderedPageBreak/>
        <w:t>Rotherham) (see Figure 1)</w:t>
      </w:r>
      <w:r w:rsidR="00C24152">
        <w:rPr>
          <w:rFonts w:cs="Calibri"/>
        </w:rPr>
        <w:t>. SYFRA</w:t>
      </w:r>
      <w:r>
        <w:rPr>
          <w:rFonts w:cs="Calibri"/>
        </w:rPr>
        <w:t xml:space="preserve"> ensure that SYFR adhere to their statutory responsibilities as set out in various government acts, such as the Fire and Rescue Act (2004) and the Civil Contingencies Act (2004) (discussed in chapter 2.6) </w:t>
      </w:r>
      <w:r>
        <w:fldChar w:fldCharType="begin" w:fldLock="1"/>
      </w:r>
      <w:r w:rsidR="007C12EC">
        <w:rPr>
          <w:rFonts w:cs="Calibri"/>
        </w:rPr>
        <w:instrText>ADDIN CSL_CITATION {"citationItems":[{"id":"ITEM-1","itemData":{"URL":"https://www.barnsley.gov.uk/services/south-yorkshire-governance/south-yorkshire-governance/south-yorkshire-fire-and-rescue-authority/","accessed":{"date-parts":[["2024","4","2"]]},"author":[{"dropping-particle":"","family":"South Yorkshire Fire and Rescue Authority","given":"","non-dropping-particle":"","parse-names":false,"suffix":""}],"container-title":"South Yorkshire Fire and Rescue Authority","id":"ITEM-1","issued":{"date-parts":[["2023"]]},"title":"South Yorkshire Fire and Rescue Authority","type":"webpage"},"uris":["http://www.mendeley.com/documents/?uuid=90650b2f-540f-43eb-a38a-970863fddb7f"]},{"id":"ITEM-2","itemData":{"URL":"https://www.syfire.gov.uk/service-information/","accessed":{"date-parts":[["2024","4","2"]]},"author":[{"dropping-particle":"","family":"South Yorkshire Fire and Rescue","given":"","non-dropping-particle":"","parse-names":false,"suffix":""}],"container-title":"South Yorkshire Fire and Resuce Service","id":"ITEM-2","issued":{"date-parts":[["2023"]]},"title":"Service Information","type":"webpage"},"uris":["http://www.mendeley.com/documents/?uuid=57b8592a-1e12-4133-86a5-c8db8d402de4"]}],"mendeley":{"formattedCitation":"(South Yorkshire Fire and Rescue, 2023a; South Yorkshire Fire and Rescue Authority, 2023)","plainTextFormattedCitation":"(South Yorkshire Fire and Rescue, 2023a; South Yorkshire Fire and Rescue Authority, 2023)","previouslyFormattedCitation":"(South Yorkshire Fire and Rescue, 2023a; South Yorkshire Fire and Rescue Authority, 2023)"},"properties":{"noteIndex":0},"schema":"https://github.com/citation-style-language/schema/raw/master/csl-citation.json"}</w:instrText>
      </w:r>
      <w:r>
        <w:rPr>
          <w:rFonts w:cs="Calibri"/>
        </w:rPr>
        <w:fldChar w:fldCharType="separate"/>
      </w:r>
      <w:r w:rsidR="00EA08AE" w:rsidRPr="00EA08AE">
        <w:rPr>
          <w:rFonts w:cs="Calibri"/>
          <w:noProof/>
        </w:rPr>
        <w:t>(South Yorkshire Fire and Rescue, 2023a; South Yorkshire Fire and Rescue Authority, 2023)</w:t>
      </w:r>
      <w:r>
        <w:rPr>
          <w:rFonts w:cs="Calibri"/>
        </w:rPr>
        <w:fldChar w:fldCharType="end"/>
      </w:r>
      <w:r>
        <w:rPr>
          <w:rFonts w:cs="Calibri"/>
        </w:rPr>
        <w:t xml:space="preserve">. </w:t>
      </w:r>
    </w:p>
    <w:p w14:paraId="38FE50D0" w14:textId="77777777" w:rsidR="00787F73" w:rsidRDefault="00742FB7" w:rsidP="00866155">
      <w:pPr>
        <w:jc w:val="center"/>
      </w:pPr>
      <w:r>
        <w:rPr>
          <w:noProof/>
        </w:rPr>
        <w:drawing>
          <wp:inline distT="0" distB="0" distL="0" distR="0" wp14:anchorId="584673C7" wp14:editId="21D48557">
            <wp:extent cx="5255895" cy="3594100"/>
            <wp:effectExtent l="0" t="0" r="0" b="0"/>
            <wp:docPr id="3" name="Picture 1" descr="A pink and black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nk and black map&#10;&#10;Description automatically generated with low confidence"/>
                    <pic:cNvPicPr>
                      <a:picLocks noChangeAspect="1" noChangeArrowheads="1"/>
                    </pic:cNvPicPr>
                  </pic:nvPicPr>
                  <pic:blipFill>
                    <a:blip r:embed="rId9"/>
                    <a:stretch>
                      <a:fillRect/>
                    </a:stretch>
                  </pic:blipFill>
                  <pic:spPr bwMode="auto">
                    <a:xfrm>
                      <a:off x="0" y="0"/>
                      <a:ext cx="5255895" cy="3594100"/>
                    </a:xfrm>
                    <a:prstGeom prst="rect">
                      <a:avLst/>
                    </a:prstGeom>
                  </pic:spPr>
                </pic:pic>
              </a:graphicData>
            </a:graphic>
          </wp:inline>
        </w:drawing>
      </w:r>
    </w:p>
    <w:p w14:paraId="0F6F1435" w14:textId="77777777" w:rsidR="00787F73" w:rsidRDefault="00787F73" w:rsidP="00866155">
      <w:pPr>
        <w:keepNext/>
        <w:jc w:val="center"/>
        <w:rPr>
          <w:rFonts w:cs="Calibri"/>
        </w:rPr>
      </w:pPr>
    </w:p>
    <w:p w14:paraId="3366E429" w14:textId="185DEE04" w:rsidR="00787F73" w:rsidRDefault="00742FB7" w:rsidP="00866155">
      <w:pPr>
        <w:pStyle w:val="caption1"/>
        <w:jc w:val="center"/>
      </w:pPr>
      <w:bookmarkStart w:id="20" w:name="_Toc193367279"/>
      <w:bookmarkStart w:id="21" w:name="_Toc153554383"/>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1</w:t>
      </w:r>
      <w:r>
        <w:rPr>
          <w:rFonts w:cs="Calibri"/>
        </w:rPr>
        <w:fldChar w:fldCharType="end"/>
      </w:r>
      <w:r>
        <w:rPr>
          <w:rFonts w:cs="Calibri"/>
        </w:rPr>
        <w:t xml:space="preserve">: Map of South Yorkshire (1: Sheffield, 2: Rotherham, 3: Doncaster, 4: Barnsley); Source: </w:t>
      </w:r>
      <w:r>
        <w:fldChar w:fldCharType="begin" w:fldLock="1"/>
      </w:r>
      <w:r w:rsidR="00E07E4D">
        <w:rPr>
          <w:rFonts w:cs="Calibri"/>
        </w:rPr>
        <w:instrText>ADDIN CSL_CITATION {"citationItems":[{"id":"ITEM-1","itemData":{"URL":"https://commons.wikimedia.org/wiki/File:South_Yorkshire_numbered_districts.svg","accessed":{"date-parts":[["2024","4","2"]]},"author":[{"dropping-particle":"","family":"Nilfanion","given":"","non-dropping-particle":"","parse-names":false,"suffix":""}],"id":"ITEM-1","issued":{"date-parts":[["2014"]]},"title":"South Yorkshire numbered districts","type":"webpage"},"uris":["http://www.mendeley.com/documents/?uuid=e6230814-56da-4a74-be28-a3d74e04fc00"]}],"mendeley":{"formattedCitation":"(Nilfanion, 2014)","manualFormatting":"Nilfanion (2014)","plainTextFormattedCitation":"(Nilfanion, 2014)","previouslyFormattedCitation":"(Nilfanion, 2014)"},"properties":{"noteIndex":0},"schema":"https://github.com/citation-style-language/schema/raw/master/csl-citation.json"}</w:instrText>
      </w:r>
      <w:r>
        <w:rPr>
          <w:rFonts w:cs="Calibri"/>
        </w:rPr>
        <w:fldChar w:fldCharType="separate"/>
      </w:r>
      <w:r>
        <w:rPr>
          <w:rFonts w:cs="Calibri"/>
          <w:noProof/>
        </w:rPr>
        <w:t>Nilfanion (2014)</w:t>
      </w:r>
      <w:bookmarkEnd w:id="20"/>
      <w:r>
        <w:rPr>
          <w:rFonts w:cs="Calibri"/>
        </w:rPr>
        <w:fldChar w:fldCharType="end"/>
      </w:r>
      <w:bookmarkEnd w:id="21"/>
    </w:p>
    <w:p w14:paraId="0D4BC77F" w14:textId="77777777" w:rsidR="00787F73" w:rsidRDefault="00787F73" w:rsidP="00866155">
      <w:pPr>
        <w:rPr>
          <w:rFonts w:cs="Calibri"/>
        </w:rPr>
      </w:pPr>
    </w:p>
    <w:p w14:paraId="2F311B5E" w14:textId="77777777" w:rsidR="00787F73" w:rsidRDefault="00742FB7" w:rsidP="00866155">
      <w:r>
        <w:rPr>
          <w:rFonts w:cs="Calibri"/>
        </w:rPr>
        <w:t xml:space="preserve">SYFR’s statutory responsibility covers the whole of South Yorkshire, with an estimated population of 1.4 million people </w:t>
      </w:r>
      <w:r>
        <w:fldChar w:fldCharType="begin" w:fldLock="1"/>
      </w:r>
      <w:r>
        <w:rPr>
          <w:rFonts w:cs="Calibri"/>
        </w:rPr>
        <w:instrText>ADDIN CSL_CITATION {"citationItems":[{"id":"ITEM-1","itemData":{"URL":"https://www.syfire.gov.uk/transparency/publication-scheme/who-we-are-and-what-we-do/","accessed":{"date-parts":[["2023","6","1"]]},"author":[{"dropping-particle":"","family":"South Yorkshire Fire and Rescue","given":"","non-dropping-particle":"","parse-names":false,"suffix":""}],"container-title":"Who we are and what we do","id":"ITEM-1","issued":{"date-parts":[["2023"]]},"title":"Who we are and what we do","type":"webpage"},"uris":["http://www.mendeley.com/documents/?uuid=7834a2b0-e222-30d2-b69c-2b3b8c59b230"]}],"mendeley":{"formattedCitation":"(South Yorkshire Fire and Rescue, 2023b)","plainTextFormattedCitation":"(South Yorkshire Fire and Rescue, 2023b)","previouslyFormattedCitation":"(South Yorkshire Fire and Rescue, 2023b)"},"properties":{"noteIndex":0},"schema":"https://github.com/citation-style-language/schema/raw/master/csl-citation.json"}</w:instrText>
      </w:r>
      <w:r>
        <w:rPr>
          <w:rFonts w:cs="Calibri"/>
        </w:rPr>
        <w:fldChar w:fldCharType="separate"/>
      </w:r>
      <w:r>
        <w:rPr>
          <w:rFonts w:cs="Calibri"/>
          <w:noProof/>
        </w:rPr>
        <w:t>(South Yorkshire Fire and Rescue, 2023b)</w:t>
      </w:r>
      <w:r>
        <w:rPr>
          <w:rFonts w:cs="Calibri"/>
        </w:rPr>
        <w:fldChar w:fldCharType="end"/>
      </w:r>
      <w:r>
        <w:rPr>
          <w:rFonts w:cs="Calibri"/>
        </w:rPr>
        <w:t xml:space="preserve">. They operate with the aim to </w:t>
      </w:r>
      <w:r>
        <w:rPr>
          <w:rFonts w:cs="Calibri"/>
          <w:i/>
          <w:iCs/>
        </w:rPr>
        <w:t xml:space="preserve">make South Yorkshire safer and stronger </w:t>
      </w:r>
      <w:r>
        <w:fldChar w:fldCharType="begin" w:fldLock="1"/>
      </w:r>
      <w:r w:rsidR="00AB7FCE">
        <w:rPr>
          <w:rFonts w:cs="Calibri"/>
          <w:i/>
          <w:iCs/>
        </w:rPr>
        <w:instrText>ADDIN CSL_CITATION {"citationItems":[{"id":"ITEM-1","itemData":{"URL":"https://www.barnsley.gov.uk/services/south-yorkshire-governance/south-yorkshire-governance/south-yorkshire-fire-and-rescue-authority/","accessed":{"date-parts":[["2024","4","2"]]},"author":[{"dropping-particle":"","family":"South Yorkshire Fire and Rescue Authority","given":"","non-dropping-particle":"","parse-names":false,"suffix":""}],"container-title":"South Yorkshire Fire and Rescue Authority","id":"ITEM-1","issued":{"date-parts":[["2023"]]},"title":"South Yorkshire Fire and Rescue Authority","type":"webpage"},"uris":["http://www.mendeley.com/documents/?uuid=90650b2f-540f-43eb-a38a-970863fddb7f"]}],"mendeley":{"formattedCitation":"(South Yorkshire Fire and Rescue Authority, 2023)","plainTextFormattedCitation":"(South Yorkshire Fire and Rescue Authority, 2023)","previouslyFormattedCitation":"(South Yorkshire Fire and Rescue Authority, 2023)"},"properties":{"noteIndex":0},"schema":"https://github.com/citation-style-language/schema/raw/master/csl-citation.json"}</w:instrText>
      </w:r>
      <w:r>
        <w:rPr>
          <w:rFonts w:cs="Calibri"/>
          <w:i/>
          <w:iCs/>
        </w:rPr>
        <w:fldChar w:fldCharType="separate"/>
      </w:r>
      <w:r>
        <w:rPr>
          <w:rFonts w:cs="Calibri"/>
          <w:iCs/>
          <w:noProof/>
        </w:rPr>
        <w:t>(South Yorkshire Fire and Rescue Authority, 2023)</w:t>
      </w:r>
      <w:r>
        <w:rPr>
          <w:rFonts w:cs="Calibri"/>
          <w:i/>
          <w:iCs/>
        </w:rPr>
        <w:fldChar w:fldCharType="end"/>
      </w:r>
      <w:r>
        <w:rPr>
          <w:rFonts w:cs="Calibri"/>
        </w:rPr>
        <w:t xml:space="preserve">. </w:t>
      </w:r>
    </w:p>
    <w:p w14:paraId="09F3C2E3" w14:textId="77777777" w:rsidR="00787F73" w:rsidRDefault="00787F73" w:rsidP="00866155">
      <w:pPr>
        <w:rPr>
          <w:rFonts w:cs="Calibri"/>
        </w:rPr>
      </w:pPr>
    </w:p>
    <w:p w14:paraId="67883ADB" w14:textId="77777777" w:rsidR="00787F73" w:rsidRDefault="00742FB7" w:rsidP="00866155">
      <w:r>
        <w:rPr>
          <w:rFonts w:cs="Calibri"/>
        </w:rPr>
        <w:t xml:space="preserve">I conducted research with individuals across the service, however, as the project is examining the use of social media, I worked primarily with the Communications team. From Figure 2 </w:t>
      </w:r>
      <w:r>
        <w:fldChar w:fldCharType="begin" w:fldLock="1"/>
      </w:r>
      <w:r w:rsidR="00974B75">
        <w:rPr>
          <w:rFonts w:cs="Calibri"/>
        </w:rPr>
        <w:instrText>ADDIN CSL_CITATION {"citationItems":[{"id":"ITEM-1","itemData":{"author":[{"dropping-particle":"","family":"South Yorkshire Fire and Rescue","given":"","non-dropping-particle":"","parse-names":false,"suffix":""}],"id":"ITEM-1","issued":{"date-parts":[["2022"]]},"publisher-place":"Sheffield","title":"Organisational Structure","type":"article"},"uris":["http://www.mendeley.com/documents/?uuid=a2c1af17-992a-44d6-9398-9c7ae02ffd20"]}],"mendeley":{"formattedCitation":"(South Yorkshire Fire and Rescue, 2022)","plainTextFormattedCitation":"(South Yorkshire Fire and Rescue, 2022)","previouslyFormattedCitation":"(South Yorkshire Fire and Rescue, 2022)"},"properties":{"noteIndex":0},"schema":"https://github.com/citation-style-language/schema/raw/master/csl-citation.json"}</w:instrText>
      </w:r>
      <w:r>
        <w:rPr>
          <w:rFonts w:cs="Calibri"/>
        </w:rPr>
        <w:fldChar w:fldCharType="separate"/>
      </w:r>
      <w:r w:rsidR="00974B75" w:rsidRPr="00974B75">
        <w:rPr>
          <w:rFonts w:cs="Calibri"/>
          <w:noProof/>
        </w:rPr>
        <w:t>(South Yorkshire Fire and Rescue, 2022)</w:t>
      </w:r>
      <w:r>
        <w:rPr>
          <w:rFonts w:cs="Calibri"/>
        </w:rPr>
        <w:fldChar w:fldCharType="end"/>
      </w:r>
      <w:r>
        <w:rPr>
          <w:rFonts w:cs="Calibri"/>
        </w:rPr>
        <w:t xml:space="preserve">, one can see that the Communications team sit strategically within the organisation, with the Communications Manager reporting directly to the Assistant Chief Fire Officer. </w:t>
      </w:r>
    </w:p>
    <w:p w14:paraId="7046CCD5" w14:textId="63438885" w:rsidR="00787F73" w:rsidRDefault="00742FB7" w:rsidP="00866155">
      <w:pPr>
        <w:pStyle w:val="caption1"/>
      </w:pPr>
      <w:bookmarkStart w:id="22" w:name="_Toc153554384"/>
      <w:bookmarkStart w:id="23" w:name="_Toc193367280"/>
      <w:r>
        <w:rPr>
          <w:noProof/>
        </w:rPr>
        <w:lastRenderedPageBreak/>
        <w:drawing>
          <wp:anchor distT="0" distB="0" distL="0" distR="114300" simplePos="0" relativeHeight="57" behindDoc="0" locked="0" layoutInCell="0" allowOverlap="1" wp14:anchorId="710C3198" wp14:editId="53E753BF">
            <wp:simplePos x="0" y="0"/>
            <wp:positionH relativeFrom="margin">
              <wp:posOffset>-1167130</wp:posOffset>
            </wp:positionH>
            <wp:positionV relativeFrom="paragraph">
              <wp:posOffset>1170305</wp:posOffset>
            </wp:positionV>
            <wp:extent cx="8181975" cy="5849620"/>
            <wp:effectExtent l="4128" t="0" r="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0"/>
                    <a:stretch>
                      <a:fillRect/>
                    </a:stretch>
                  </pic:blipFill>
                  <pic:spPr bwMode="auto">
                    <a:xfrm rot="16200000">
                      <a:off x="0" y="0"/>
                      <a:ext cx="8181975" cy="5849620"/>
                    </a:xfrm>
                    <a:prstGeom prst="rect">
                      <a:avLst/>
                    </a:prstGeom>
                  </pic:spPr>
                </pic:pic>
              </a:graphicData>
            </a:graphic>
            <wp14:sizeRelH relativeFrom="margin">
              <wp14:pctWidth>0</wp14:pctWidth>
            </wp14:sizeRelH>
            <wp14:sizeRelV relativeFrom="margin">
              <wp14:pctHeight>0</wp14:pctHeight>
            </wp14:sizeRelV>
          </wp:anchor>
        </w:drawing>
      </w:r>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2</w:t>
      </w:r>
      <w:r>
        <w:rPr>
          <w:rFonts w:cs="Calibri"/>
        </w:rPr>
        <w:fldChar w:fldCharType="end"/>
      </w:r>
      <w:r>
        <w:rPr>
          <w:rFonts w:cs="Calibri"/>
        </w:rPr>
        <w:t>: SYFR organisational structure - focus on communications team</w:t>
      </w:r>
      <w:bookmarkEnd w:id="22"/>
      <w:r>
        <w:rPr>
          <w:rFonts w:cs="Calibri"/>
        </w:rPr>
        <w:t>; Source: SYFR (2022) Edited by Author</w:t>
      </w:r>
      <w:bookmarkEnd w:id="23"/>
    </w:p>
    <w:p w14:paraId="672CE915" w14:textId="77777777" w:rsidR="00710137" w:rsidRDefault="00710137" w:rsidP="00540AA5">
      <w:pPr>
        <w:rPr>
          <w:rFonts w:cs="Calibri"/>
        </w:rPr>
      </w:pPr>
      <w:bookmarkStart w:id="24" w:name="_Toc153554290"/>
    </w:p>
    <w:p w14:paraId="40F6C570" w14:textId="7624E76F" w:rsidR="00787F73" w:rsidRDefault="00742FB7" w:rsidP="00866155">
      <w:pPr>
        <w:pStyle w:val="Heading2"/>
      </w:pPr>
      <w:bookmarkStart w:id="25" w:name="_Toc193367171"/>
      <w:bookmarkStart w:id="26" w:name="_Hlk182836147"/>
      <w:r>
        <w:rPr>
          <w:rFonts w:ascii="Calibri" w:hAnsi="Calibri" w:cs="Calibri"/>
        </w:rPr>
        <w:lastRenderedPageBreak/>
        <w:t>1.</w:t>
      </w:r>
      <w:r w:rsidR="00C24152">
        <w:rPr>
          <w:rFonts w:ascii="Calibri" w:hAnsi="Calibri" w:cs="Calibri"/>
        </w:rPr>
        <w:t>5</w:t>
      </w:r>
      <w:r>
        <w:rPr>
          <w:rFonts w:ascii="Calibri" w:hAnsi="Calibri" w:cs="Calibri"/>
        </w:rPr>
        <w:t>: Rationale for the research</w:t>
      </w:r>
      <w:bookmarkEnd w:id="24"/>
      <w:bookmarkEnd w:id="25"/>
    </w:p>
    <w:p w14:paraId="5601285C" w14:textId="77777777" w:rsidR="0041287A" w:rsidRDefault="00742FB7" w:rsidP="009413D0">
      <w:pPr>
        <w:rPr>
          <w:rFonts w:cs="Calibri"/>
        </w:rPr>
      </w:pPr>
      <w:r>
        <w:rPr>
          <w:rFonts w:cs="Calibri"/>
        </w:rPr>
        <w:t xml:space="preserve">The rationale for this project stems from the collaboration with SYFR and their drive to examine and work towards a solution for a societal challenge </w:t>
      </w:r>
      <w:r>
        <w:fldChar w:fldCharType="begin" w:fldLock="1"/>
      </w:r>
      <w:r w:rsidR="00974B75">
        <w:rPr>
          <w:rFonts w:cs="Calibri"/>
        </w:rPr>
        <w:instrText>ADDIN CSL_CITATION {"citationItems":[{"id":"ITEM-1","itemData":{"author":[{"dropping-particle":"","family":"Cunliffe","given":"Ann L.","non-dropping-particle":"","parse-names":false,"suffix":""},{"dropping-particle":"","family":"Pavlovich","given":"Kathryn","non-dropping-particle":"","parse-names":false,"suffix":""}],"container-title":"Academy of Management Perspectives","id":"ITEM-1","issue":"3","issued":{"date-parts":[["2022"]]},"page":"879-895","title":"Making Our Work Matter: From Spectator To and Management Studies","type":"article-journal","volume":"36"},"uris":["http://www.mendeley.com/documents/?uuid=76313b30-475b-48ee-a88e-69614d719385"]},{"id":"ITEM-2","itemData":{"DOI":"10.5465/amp.2020.0159","ISSN":"15589080","abstract":"There is growing interest among management scholars, policy-makers, and practitioners in understanding and addressing deep-seated societal problems, often termed “wicked problems,” “grand challenges,” or “messes.” An expansive body of research and practice-based literature has appeared, with little evidence to date of synthesis across research streams, tools, and practices. We also note a bifurcation between management scholarship and practice in this area that hinders cumulative learning and cross-fertilization to inform practice and policy questions. In this paper, we introduce the RAFFT framework, composed of five interrelated themes that underpin messiness (rules, agency, feedback, frames and tensions) and are grounded in knowledge triangulated across thought worlds from research and practice. Supported by illustrative examples from research and practice, we present this heuristic framework as both a diagnostic tool and an intervention repertoire. We hope that this framework can serve as a starting point for further development by researchers and practitioners working more closely together to build cumulative knowledge.","author":[{"dropping-particle":"","family":"Klag","given":"Malvina","non-dropping-particle":"","parse-names":false,"suffix":""},{"dropping-particle":"","family":"Langley","given":"Ann","non-dropping-particle":"","parse-names":false,"suffix":""}],"container-title":"Academy of Management Perspectives","id":"ITEM-2","issue":"1","issued":{"date-parts":[["2023"]]},"page":"37-54","title":"When Everything Interacts With Everything Else: Intervening in Messes","type":"article-journal","volume":"37"},"uris":["http://www.mendeley.com/documents/?uuid=fd7248dd-6f65-4f22-8100-85710d4e6dfc"]}],"mendeley":{"formattedCitation":"(Klag &amp; Langley, 2023; Cunliffe &amp; Pavlovich, 2022)","plainTextFormattedCitation":"(Klag &amp; Langley, 2023; Cunliffe &amp; Pavlovich, 2022)","previouslyFormattedCitation":"(Klag &amp; Langley, 2023; Cunliffe &amp; Pavlovich, 2022)"},"properties":{"noteIndex":0},"schema":"https://github.com/citation-style-language/schema/raw/master/csl-citation.json"}</w:instrText>
      </w:r>
      <w:r>
        <w:rPr>
          <w:rFonts w:cs="Calibri"/>
        </w:rPr>
        <w:fldChar w:fldCharType="separate"/>
      </w:r>
      <w:r>
        <w:rPr>
          <w:rFonts w:cs="Calibri"/>
          <w:noProof/>
        </w:rPr>
        <w:t>(Klag &amp; Langley, 2023; Cunliffe &amp; Pavlovich, 2022)</w:t>
      </w:r>
      <w:r>
        <w:rPr>
          <w:rFonts w:cs="Calibri"/>
        </w:rPr>
        <w:fldChar w:fldCharType="end"/>
      </w:r>
      <w:r>
        <w:rPr>
          <w:rFonts w:cs="Calibri"/>
        </w:rPr>
        <w:t xml:space="preserve">, namely, how they can use social media to support communities to develop their resilience. </w:t>
      </w:r>
      <w:r w:rsidR="0041287A">
        <w:rPr>
          <w:rFonts w:cs="Calibri"/>
        </w:rPr>
        <w:t xml:space="preserve">The rationale for the project was created through an iterative process with SYFR. The project had initially been scoped between my academic supervision team and SYFR to create the PhD studentship. This selected the area of work, namely social media and community disaster resilience. I then developed the project further, having a series of meetings with members of SYFR throughout 2017 and 2018 to discuss the work they were conducting and what they wanted to develop. Through these initial scoping meetings, I was also conducting the literature review, which enabled me to combine the academic and practitioner knowledges. This enabled me to gain a strong understanding of the challenges </w:t>
      </w:r>
      <w:r w:rsidR="00067E31">
        <w:rPr>
          <w:rFonts w:cs="Calibri"/>
        </w:rPr>
        <w:t>and ideals for the practitioners</w:t>
      </w:r>
      <w:r w:rsidR="0041287A">
        <w:rPr>
          <w:rFonts w:cs="Calibri"/>
        </w:rPr>
        <w:t>, as well as the</w:t>
      </w:r>
      <w:r w:rsidR="00067E31">
        <w:rPr>
          <w:rFonts w:cs="Calibri"/>
        </w:rPr>
        <w:t xml:space="preserve"> knowledge</w:t>
      </w:r>
      <w:r w:rsidR="0041287A">
        <w:rPr>
          <w:rFonts w:cs="Calibri"/>
        </w:rPr>
        <w:t xml:space="preserve"> gaps within </w:t>
      </w:r>
      <w:r w:rsidR="00067E31">
        <w:rPr>
          <w:rFonts w:cs="Calibri"/>
        </w:rPr>
        <w:t>academia.</w:t>
      </w:r>
    </w:p>
    <w:p w14:paraId="057646FD" w14:textId="77777777" w:rsidR="0041287A" w:rsidRDefault="0041287A" w:rsidP="009413D0">
      <w:pPr>
        <w:rPr>
          <w:rFonts w:cs="Calibri"/>
        </w:rPr>
      </w:pPr>
    </w:p>
    <w:p w14:paraId="258E0B2A" w14:textId="338C9BC7" w:rsidR="00787F73" w:rsidRDefault="00742FB7" w:rsidP="009413D0">
      <w:r>
        <w:rPr>
          <w:rFonts w:cs="Calibri"/>
        </w:rPr>
        <w:t xml:space="preserve">This section will </w:t>
      </w:r>
      <w:r w:rsidR="009413D0">
        <w:rPr>
          <w:rFonts w:cs="Calibri"/>
        </w:rPr>
        <w:t xml:space="preserve">first </w:t>
      </w:r>
      <w:r>
        <w:rPr>
          <w:rFonts w:cs="Calibri"/>
        </w:rPr>
        <w:t xml:space="preserve">introduce the </w:t>
      </w:r>
      <w:r w:rsidR="009413D0" w:rsidRPr="009413D0">
        <w:rPr>
          <w:rFonts w:cs="Calibri"/>
        </w:rPr>
        <w:t>need for developing community resilience</w:t>
      </w:r>
      <w:r w:rsidR="006F558C">
        <w:rPr>
          <w:rFonts w:cs="Calibri"/>
        </w:rPr>
        <w:t>, indicating why SYFR wanted to examine this topic</w:t>
      </w:r>
      <w:r w:rsidR="009413D0" w:rsidRPr="009413D0">
        <w:rPr>
          <w:rFonts w:cs="Calibri"/>
        </w:rPr>
        <w:t>. This will then be followed by a discussion on the use of social media and the challenges associated with this approach.</w:t>
      </w:r>
    </w:p>
    <w:p w14:paraId="554F0706" w14:textId="77777777" w:rsidR="00787F73" w:rsidRDefault="00787F73" w:rsidP="00866155">
      <w:pPr>
        <w:rPr>
          <w:rFonts w:cs="Calibri"/>
        </w:rPr>
      </w:pPr>
    </w:p>
    <w:p w14:paraId="53CD56EE" w14:textId="3440E554" w:rsidR="00787F73" w:rsidRDefault="00742FB7" w:rsidP="00866155">
      <w:pPr>
        <w:pStyle w:val="Heading3"/>
      </w:pPr>
      <w:bookmarkStart w:id="27" w:name="_Hlk134632563"/>
      <w:bookmarkStart w:id="28" w:name="_Toc153554291"/>
      <w:bookmarkStart w:id="29" w:name="_Toc193367172"/>
      <w:bookmarkEnd w:id="27"/>
      <w:r>
        <w:rPr>
          <w:rFonts w:ascii="Calibri" w:hAnsi="Calibri" w:cs="Calibri"/>
        </w:rPr>
        <w:t>1.</w:t>
      </w:r>
      <w:r w:rsidR="00C24152">
        <w:rPr>
          <w:rFonts w:ascii="Calibri" w:hAnsi="Calibri" w:cs="Calibri"/>
        </w:rPr>
        <w:t>5</w:t>
      </w:r>
      <w:r>
        <w:rPr>
          <w:rFonts w:ascii="Calibri" w:hAnsi="Calibri" w:cs="Calibri"/>
        </w:rPr>
        <w:t>.1: The need for developing community resilience.</w:t>
      </w:r>
      <w:bookmarkEnd w:id="28"/>
      <w:bookmarkEnd w:id="29"/>
    </w:p>
    <w:p w14:paraId="078CDBEE" w14:textId="3F1D4BE7" w:rsidR="00787F73" w:rsidRDefault="00742FB7" w:rsidP="00866155">
      <w:r>
        <w:rPr>
          <w:rFonts w:cs="Calibri"/>
        </w:rPr>
        <w:t xml:space="preserve">Research indicated that the future holds an increasing threat of disasters </w:t>
      </w:r>
      <w:r>
        <w:fldChar w:fldCharType="begin" w:fldLock="1"/>
      </w:r>
      <w:r w:rsidR="00974B75">
        <w:rPr>
          <w:rFonts w:cs="Calibri"/>
        </w:rPr>
        <w:instrText>ADDIN CSL_CITATION {"citationItems":[{"id":"ITEM-1","itemData":{"DOI":"10.1080/03003930.2019.1571999","ISSN":"17439388","abstract":"Scholars and practitioners have long noted the importance of community resilience to disaster recovery and environmental risk mitigation. Yet we know surprisingly little about how local residents perceive the resilience of their local communities, including how closely their perceptions align with objective measures of resilience or whether these perceptions affect community engagement and support for resilience building activities and policies. In this paper, we utilise the results of public opinion surveys of residents of four Texas coastal shoreline counties (Brazoria, Nueces, Galveston, and Cameron) to address this gap in the literature. The results reveal that perceptions of community preparedness largely reflect social trust and disaster awareness while perceptions of recovery reflect perceived risks and preparedness.","author":[{"dropping-particle":"","family":"Goidel","given":"Kirby","non-dropping-particle":"","parse-names":false,"suffix":""},{"dropping-particle":"","family":"Horney","given":"Jennifer A.","non-dropping-particle":"","parse-names":false,"suffix":""},{"dropping-particle":"","family":"Kellstedt","given":"Paul M.","non-dropping-particle":"","parse-names":false,"suffix":""},{"dropping-particle":"","family":"Sullivan","given":"Emily","non-dropping-particle":"","parse-names":false,"suffix":""},{"dropping-particle":"","family":"Brown","given":"Stephanie E.V.","non-dropping-particle":"","parse-names":false,"suffix":""}],"container-title":"Local Government Studies","id":"ITEM-1","issue":"3","issued":{"date-parts":[["2019"]]},"page":"413-432","title":"Perceptions of disaster resilience in four Texas coastal communities","type":"article-journal","volume":"45"},"uris":["http://www.mendeley.com/documents/?uuid=4033a276-60f2-438f-a557-0a555c5f96f4"]},{"id":"ITEM-2","itemData":{"DOI":"10.1111/geoj.12174","ISBN":"1475-4959","ISSN":"14754959","abstract":"The discourse on disaster resilience and vulnerability entails diverse research and policy communities each assigning different meanings to the concepts, which in turn influences their measurement and implementation in decision-making contexts. This invited contribution introduces a themed section with five independently submitted papers on the broad topic of vulnerability and resilience. The distinctive geographical focus on the historical development of vulnerability and resilience and their contemporary manifestations is illustrated by the five internationally focused case studies presented in the themed section.","author":[{"dropping-particle":"","family":"Cutter","given":"Susan L.","non-dropping-particle":"","parse-names":false,"suffix":""}],"container-title":"Geographical Journal","id":"ITEM-2","issue":"2","issued":{"date-parts":[["2016"]]},"page":"110-113","title":"Resilience to What? Resilience for Whom?","type":"article-journal","volume":"182"},"uris":["http://www.mendeley.com/documents/?uuid=72373c9d-6f02-49e0-9a61-4796ecdfe746"]},{"id":"ITEM-3","itemData":{"author":[{"dropping-particle":"","family":"Sanyal","given":"Saswata","non-dropping-particle":"","parse-names":false,"suffix":""},{"dropping-particle":"","family":"Routray","given":"Jayant K.","non-dropping-particle":"","parse-names":false,"suffix":""}],"container-title":"International Journal of Disaster Risk Reduction","id":"ITEM-3","issued":{"date-parts":[["2016"]]},"page":"101-111","title":"Social capital for disaster risk reduction and management with empirical evidences from Sundarbans of India","type":"article-journal","volume":"19"},"uris":["http://www.mendeley.com/documents/?uuid=d8bcf27c-1efc-4c15-8204-cd8b37719dd2"]},{"id":"ITEM-4","itemData":{"DOI":"10.1007/s11069-010-9646-y","ISBN":"0921-030X","ISSN":"0921030X","abstract":"The discussion surrounding resilience to natural hazards and disasters has advanced considerably within the last years. It ranges from ecological to social systems and also covers some socio-ecological spaces in-between. Yet, although the discussion is broad and multifaceted, a common theme runs through most approaches to resilience: Resilience is defined as a systemâ€™s capacity to adapt to or respond to singular, unique and most often radically surprising events. This paper seeks to shed some light on a different aspect of resilience; its constructionist dimension. For doing this, it introduces the â€˜myth of resilience, which not only considers the functional aspects of resilience (i.e. actors capacities), but also how actors make retrospectively sense of the radically surprising discovery of something entirely unknown. The paper will argue that the â€˜myth of resilienceâ€™ may become a powerful worldview that enables actors to define what is â€˜rightâ€™ and what is â€˜wrongâ€™, as it may be used as a very intriguing way of changing, creating and consolidating power relations; at least this is the insight a study on disaster management reveals. The case study was conducted in a municipality of a city located in the State of Saxony Germany, which was severely affected by the 2002 August flood. The paper ends with outlining implications for the discussion on resilience.","author":[{"dropping-particle":"","family":"Kuhlicke","given":"Christian","non-dropping-particle":"","parse-names":false,"suffix":""}],"container-title":"Natural Hazards","id":"ITEM-4","issued":{"date-parts":[["2013"]]},"page":"61-76","title":"Resilience: A capacity and a myth: findings from an in-depth case study in disaster management research","type":"article-journal","volume":"67"},"uris":["http://www.mendeley.com/documents/?uuid=18ec7922-a082-49a2-815e-4dc2fd41ecf4"]},{"id":"ITEM-5","itemData":{"DOI":"10.3763/ehaz.1999.0103","author":[{"dropping-particle":"","family":"Tobin","given":"Graham A","non-dropping-particle":"","parse-names":false,"suffix":""}],"container-title":"Environmental Hazards","id":"ITEM-5","issue":"1","issued":{"date-parts":[["1999"]]},"page":"13-25","title":"Sustainability and community resilience: the holy grail of hazards planning?","type":"article-journal","volume":"1"},"uris":["http://www.mendeley.com/documents/?uuid=8bf65d46-8190-4198-bf8c-df8928e2d260"]}],"mendeley":{"formattedCitation":"(Goidel et al., 2019; Cutter, 2016; Sanyal &amp; Routray, 2016; Kuhlicke, 2013; Tobin, 1999)","plainTextFormattedCitation":"(Goidel et al., 2019; Cutter, 2016; Sanyal &amp; Routray, 2016; Kuhlicke, 2013; Tobin, 1999)","previouslyFormattedCitation":"(Goidel et al., 2019; Cutter, 2016; Sanyal &amp; Routray, 2016; Kuhlicke, 2013; Tobin, 1999)"},"properties":{"noteIndex":0},"schema":"https://github.com/citation-style-language/schema/raw/master/csl-citation.json"}</w:instrText>
      </w:r>
      <w:r>
        <w:rPr>
          <w:rFonts w:cs="Calibri"/>
        </w:rPr>
        <w:fldChar w:fldCharType="separate"/>
      </w:r>
      <w:r>
        <w:rPr>
          <w:rFonts w:cs="Calibri"/>
          <w:noProof/>
        </w:rPr>
        <w:t>(Goidel et al., 2019; Cutter, 2016; Sanyal &amp; Routray, 2016; Kuhlicke, 2013; Tobin, 1999)</w:t>
      </w:r>
      <w:r>
        <w:rPr>
          <w:rFonts w:cs="Calibri"/>
        </w:rPr>
        <w:fldChar w:fldCharType="end"/>
      </w:r>
      <w:r>
        <w:rPr>
          <w:rFonts w:cs="Calibri"/>
          <w:color w:val="000000"/>
        </w:rPr>
        <w:t xml:space="preserve">. This is largely due to climate change and the resulting increased risk of droughts and flooding across Europe </w:t>
      </w:r>
      <w:r>
        <w:fldChar w:fldCharType="begin" w:fldLock="1"/>
      </w:r>
      <w:r>
        <w:rPr>
          <w:rFonts w:cs="Calibri"/>
          <w:color w:val="000000"/>
        </w:rPr>
        <w:instrText>ADDIN CSL_CITATION {"citationItems":[{"id":"ITEM-1","itemData":{"DOI":"10.1017/9781009325844.Front","ISBN":"9781009325844","abstract":"De la bataille de Poitiers aux croisades, des échanges intellectuels du Moyen Age à l'orientalisme, de la colonisation à la guerre d'Algérie jusqu'aux débats actuels sur l'immigration, plus de soixante-dix spécialistes, historiens ou grands témoins retracent treize siècles d'une histoire politique, sociale et culturelle tumultueuse et captivante. \" C'est l'histoire culturelle qui domine ici, écrit Jacques Le Goff dans sa préface, et plus largement une histoire de l'imaginaire qui nous livre les fluctuations de l'image de l'Autre... Il s'agit de faire passer le musulman de la situation d'Autre à celle de concitoyen à part entière. Il reste sans doute un long chemin à parcourir, et l'éclairage de l'histoire depuis le Moyen Age y est nécessaire. \" Un ouvrage de référence unique, passionnant et richement illustré.","author":[{"dropping-particle":"","family":"IPCC","given":"","non-dropping-particle":"","parse-names":false,"suffix":""}],"container-title":"Working Group II contribution to the Sixth Assessment Report of the Intergovernamental Panel on Climate Change","id":"ITEM-1","issue":"August","issued":{"date-parts":[["2022"]]},"number-of-pages":"37","publisher-place":"Cambridge","title":"Climate Change 2022: Impacts, Adaptation and Vulnerability","type":"report"},"uris":["http://www.mendeley.com/documents/?uuid=b7b215cd-8a6b-4747-ab0a-070c2ec4f3b3"]}],"mendeley":{"formattedCitation":"(IPCC, 2022)","plainTextFormattedCitation":"(IPCC, 2022)","previouslyFormattedCitation":"(IPCC, 2022)"},"properties":{"noteIndex":0},"schema":"https://github.com/citation-style-language/schema/raw/master/csl-citation.json"}</w:instrText>
      </w:r>
      <w:r>
        <w:rPr>
          <w:rFonts w:cs="Calibri"/>
          <w:color w:val="000000"/>
        </w:rPr>
        <w:fldChar w:fldCharType="separate"/>
      </w:r>
      <w:r>
        <w:rPr>
          <w:rFonts w:cs="Calibri"/>
          <w:noProof/>
          <w:color w:val="000000"/>
        </w:rPr>
        <w:t>(IPCC, 2022)</w:t>
      </w:r>
      <w:r>
        <w:rPr>
          <w:rFonts w:cs="Calibri"/>
          <w:color w:val="000000"/>
        </w:rPr>
        <w:fldChar w:fldCharType="end"/>
      </w:r>
      <w:r>
        <w:rPr>
          <w:rFonts w:cs="Calibri"/>
          <w:color w:val="000000"/>
        </w:rPr>
        <w:t xml:space="preserve">. The environmental threat is also compounded by wider population increases, with the UK’s population predicted by the Office of National Statistics (ONS) to increase to 71 million by the middle of 2045 </w:t>
      </w:r>
      <w:r>
        <w:fldChar w:fldCharType="begin" w:fldLock="1"/>
      </w:r>
      <w:r>
        <w:rPr>
          <w:rFonts w:cs="Calibri"/>
          <w:color w:val="000000"/>
        </w:rPr>
        <w:instrText>ADDIN CSL_CITATION {"citationItems":[{"id":"ITEM-1","itemData":{"author":[{"dropping-particle":"","family":"Robards","given":"James","non-dropping-particle":"","parse-names":false,"suffix":""}],"id":"ITEM-1","issue":"January","issued":{"date-parts":[["2022"]]},"number-of-pages":"1-17","title":"National population projections: 2020-based interim","type":"report"},"uris":["http://www.mendeley.com/documents/?uuid=a5bb5e32-f4b3-4143-8983-97923ccdc14e"]}],"mendeley":{"formattedCitation":"(Robards, 2022)","plainTextFormattedCitation":"(Robards, 2022)","previouslyFormattedCitation":"(Robards, 2022)"},"properties":{"noteIndex":0},"schema":"https://github.com/citation-style-language/schema/raw/master/csl-citation.json"}</w:instrText>
      </w:r>
      <w:r>
        <w:rPr>
          <w:rFonts w:cs="Calibri"/>
          <w:color w:val="000000"/>
        </w:rPr>
        <w:fldChar w:fldCharType="separate"/>
      </w:r>
      <w:r>
        <w:rPr>
          <w:rFonts w:cs="Calibri"/>
          <w:noProof/>
          <w:color w:val="000000"/>
        </w:rPr>
        <w:t>(Robards, 2022)</w:t>
      </w:r>
      <w:r>
        <w:rPr>
          <w:rFonts w:cs="Calibri"/>
          <w:color w:val="000000"/>
        </w:rPr>
        <w:fldChar w:fldCharType="end"/>
      </w:r>
      <w:r>
        <w:rPr>
          <w:rFonts w:cs="Calibri"/>
          <w:color w:val="000000"/>
        </w:rPr>
        <w:t>. This combination of increased threat and population rise poses</w:t>
      </w:r>
      <w:r w:rsidR="006F558C">
        <w:rPr>
          <w:rFonts w:cs="Calibri"/>
          <w:color w:val="000000"/>
        </w:rPr>
        <w:t xml:space="preserve"> an increased risk of disasters. This therefore creates</w:t>
      </w:r>
      <w:r>
        <w:rPr>
          <w:rFonts w:cs="Calibri"/>
          <w:color w:val="000000"/>
        </w:rPr>
        <w:t xml:space="preserve"> challenges for organisations </w:t>
      </w:r>
      <w:r w:rsidR="006F558C">
        <w:rPr>
          <w:rFonts w:cs="Calibri"/>
          <w:color w:val="000000"/>
        </w:rPr>
        <w:t xml:space="preserve">who work in disaster management, </w:t>
      </w:r>
      <w:r>
        <w:rPr>
          <w:rFonts w:cs="Calibri"/>
          <w:color w:val="000000"/>
        </w:rPr>
        <w:t>such as the SYFR</w:t>
      </w:r>
      <w:r w:rsidR="006F558C">
        <w:rPr>
          <w:rFonts w:cs="Calibri"/>
          <w:color w:val="000000"/>
        </w:rPr>
        <w:t xml:space="preserve">. </w:t>
      </w:r>
    </w:p>
    <w:p w14:paraId="41DDE96A" w14:textId="77777777" w:rsidR="00787F73" w:rsidRDefault="00787F73" w:rsidP="00866155">
      <w:pPr>
        <w:rPr>
          <w:rFonts w:cs="Calibri"/>
          <w:color w:val="000000"/>
        </w:rPr>
      </w:pPr>
    </w:p>
    <w:p w14:paraId="79506AEF" w14:textId="07932A03" w:rsidR="00787F73" w:rsidRDefault="00742FB7" w:rsidP="00866155">
      <w:r>
        <w:rPr>
          <w:rFonts w:cs="Calibri"/>
        </w:rPr>
        <w:t xml:space="preserve">As a Fire and Rescue Service (FRS), SYFR have various statutory obligations linked to disaster management, which are discussed in detail in chapter 2.6. </w:t>
      </w:r>
      <w:r w:rsidR="006F558C">
        <w:rPr>
          <w:rFonts w:cs="Calibri"/>
        </w:rPr>
        <w:t xml:space="preserve">These obligations put a </w:t>
      </w:r>
      <w:r w:rsidR="006F558C">
        <w:rPr>
          <w:rFonts w:cs="Calibri"/>
        </w:rPr>
        <w:lastRenderedPageBreak/>
        <w:t xml:space="preserve">requirement on FRS to support their citizens throughout a disaster, not only to rescue and recover, but also to communicate the risk. This process of disaster management can be explained using the </w:t>
      </w:r>
      <w:r w:rsidR="004F7B90">
        <w:rPr>
          <w:rFonts w:cs="Calibri"/>
        </w:rPr>
        <w:t xml:space="preserve">disaster management cycle </w:t>
      </w:r>
      <w:r>
        <w:rPr>
          <w:rFonts w:cs="Calibri"/>
        </w:rPr>
        <w:t xml:space="preserve">(see chapter 2.3). The </w:t>
      </w:r>
      <w:r w:rsidR="00921B36">
        <w:rPr>
          <w:rFonts w:cs="Calibri"/>
        </w:rPr>
        <w:t xml:space="preserve">disaster management cycle </w:t>
      </w:r>
      <w:r>
        <w:rPr>
          <w:rFonts w:cs="Calibri"/>
        </w:rPr>
        <w:t xml:space="preserve">shows the different temporal stages of a disaster, from pre-disaster (mitigation and adaptation) to post-disaster (response and recovery) </w:t>
      </w:r>
      <w:r>
        <w:fldChar w:fldCharType="begin" w:fldLock="1"/>
      </w:r>
      <w:r>
        <w:rPr>
          <w:rFonts w:cs="Calibri"/>
        </w:rPr>
        <w:instrText>ADDIN CSL_CITATION {"citationItems":[{"id":"ITEM-1","itemData":{"DOI":"10.4102/jamba.v4i1.54","ISSN":"2072-845X","abstract":"Officials and scholars have used the disaster management cycle for the past 30 years to explain and manage impacts. Although very little understanding and agreement exist in terms of where the concept originated it is the purpose of this article to address the origins of the disaster management cycle. To achieve this, general system theory concepts of isomorphisms, equifinality, open systems and feedback arrangements were applied to linear disaster phase research (which emerged in the 1920s) and disaster management cycles. This was done in order to determine whether they are related concepts with procedures such as emergency, relief, recovery and rehabilitation.","author":[{"dropping-particle":"","family":"Coetzee","given":"Christo","non-dropping-particle":"","parse-names":false,"suffix":""},{"dropping-particle":"","family":"Niekerk","given":"Dewald","non-dropping-particle":"Van","parse-names":false,"suffix":""}],"container-title":"Jàmbá: Journal of Disaster Risk Studies","id":"ITEM-1","issue":"1","issued":{"date-parts":[["2012"]]},"page":"1-9","title":"Tracking the evolution of the disaster management cycle: A general system theory approach","type":"article-journal","volume":"4"},"uris":["http://www.mendeley.com/documents/?uuid=c3afdb02-d559-49a4-9abc-834cddd83502"]},{"id":"ITEM-2","itemData":{"DOI":"10.1108/09653561011070402","ISSN":"09653562","abstract":"Purpose: Coping with and adjusting to disruptive challenges has always been a characteristic of human development. Formalisation of this has led to the emergence of a number approaches addressing disruptive challenges. Often formalised practice has a narrow focus. Increasingly complex challenges require a refocus of formalised approaches. Drawing from these approaches, the purpose of this paper is to posit that a greater focus on preparedness through pre-disaster planning is needed for a more holistic approach to disaster management. Design/methodology/approach: The paper reviews the evolution of disaster management thinking and practice and proposes that changes are needed to the dominant disaster management model. These changes are drawn from a number of alternative perspectives. Based on the uncertainties surrounding complex or \"wicked\" problems, for example, climate change and variability, this paper develops a more holistic approach. Findings: Responding to \"wicked problems\" requires a greater focus on preparedness. In terms of disaster risk reduction a greater emphasis on pre-disaster planning is needed driven by social learning processes. Originality/value: Faced with an increasingly uncertain and complex future, current approaches to conceptualising disaster management are inadequate. This paper develops an approach that is likely to be more effective. © Emerald Group Publishing Limited.","author":[{"dropping-particle":"","family":"O'Brien","given":"Geoff","non-dropping-particle":"","parse-names":false,"suffix":""},{"dropping-particle":"","family":"O'Keefe","given":"Phil","non-dropping-particle":"","parse-names":false,"suffix":""},{"dropping-particle":"","family":"Gadema","given":"Zaina","non-dropping-particle":"","parse-names":false,"suffix":""},{"dropping-particle":"","family":"Swords","given":"Jon","non-dropping-particle":"","parse-names":false,"suffix":""}],"container-title":"Disaster Prevention and Management: An International Journal","id":"ITEM-2","issue":"4","issued":{"date-parts":[["2010"]]},"page":"498-508","title":"Approaching disaster management through social learning","type":"article-journal","volume":"19"},"uris":["http://www.mendeley.com/documents/?uuid=6407bc17-f459-46a1-848e-5a8a92f50e3f"]}],"mendeley":{"formattedCitation":"(Coetzee &amp; Van Niekerk, 2012; O’Brien et al., 2010)","plainTextFormattedCitation":"(Coetzee &amp; Van Niekerk, 2012; O’Brien et al., 2010)","previouslyFormattedCitation":"(Coetzee &amp; Van Niekerk, 2012; O’Brien et al., 2010)"},"properties":{"noteIndex":0},"schema":"https://github.com/citation-style-language/schema/raw/master/csl-citation.json"}</w:instrText>
      </w:r>
      <w:r>
        <w:rPr>
          <w:rFonts w:cs="Calibri"/>
        </w:rPr>
        <w:fldChar w:fldCharType="separate"/>
      </w:r>
      <w:r>
        <w:rPr>
          <w:rFonts w:cs="Calibri"/>
          <w:noProof/>
        </w:rPr>
        <w:t>(Coetzee &amp; Van Niekerk, 2012; O’Brien et al., 2010)</w:t>
      </w:r>
      <w:r>
        <w:rPr>
          <w:rFonts w:cs="Calibri"/>
        </w:rPr>
        <w:fldChar w:fldCharType="end"/>
      </w:r>
      <w:r>
        <w:rPr>
          <w:rFonts w:cs="Calibri"/>
        </w:rPr>
        <w:t xml:space="preserve">, as shown in Figure 3 </w:t>
      </w:r>
      <w:r>
        <w:fldChar w:fldCharType="begin" w:fldLock="1"/>
      </w:r>
      <w:r w:rsidR="00974B75">
        <w:rPr>
          <w:rFonts w:cs="Calibri"/>
        </w:rPr>
        <w:instrText>ADDIN CSL_CITATION {"citationItems":[{"id":"ITEM-1","itemData":{"author":[{"dropping-particle":"","family":"Forino","given":"Giuseppe","non-dropping-particle":"","parse-names":false,"suffix":""}],"id":"ITEM-1","issued":{"date-parts":[["2012"]]},"title":"What is disaster management cycle?","type":"webpage"},"uris":["http://www.mendeley.com/documents/?uuid=9f899c32-ad3e-3caf-bcb7-f6c2b5a9349e"]}],"mendeley":{"formattedCitation":"(Forino, 2012)","plainTextFormattedCitation":"(Forino, 2012)","previouslyFormattedCitation":"(Forino, 2012)"},"properties":{"noteIndex":0},"schema":"https://github.com/citation-style-language/schema/raw/master/csl-citation.json"}</w:instrText>
      </w:r>
      <w:r>
        <w:rPr>
          <w:rFonts w:cs="Calibri"/>
        </w:rPr>
        <w:fldChar w:fldCharType="separate"/>
      </w:r>
      <w:r w:rsidR="00974B75" w:rsidRPr="00974B75">
        <w:rPr>
          <w:rFonts w:cs="Calibri"/>
          <w:noProof/>
        </w:rPr>
        <w:t>(Forino, 2012)</w:t>
      </w:r>
      <w:r>
        <w:rPr>
          <w:rFonts w:cs="Calibri"/>
        </w:rPr>
        <w:fldChar w:fldCharType="end"/>
      </w:r>
      <w:r>
        <w:rPr>
          <w:rFonts w:cs="Calibri"/>
        </w:rPr>
        <w:t xml:space="preserve">. Previous research predominantly focuses on organisations who work within the post-disaster phase, </w:t>
      </w:r>
      <w:r w:rsidR="00BB227E">
        <w:rPr>
          <w:rFonts w:cs="Calibri"/>
        </w:rPr>
        <w:t>such as</w:t>
      </w:r>
      <w:r>
        <w:rPr>
          <w:rFonts w:cs="Calibri"/>
        </w:rPr>
        <w:t xml:space="preserve"> Hagen’s work focusing on the use of social media for crisis communication surrounding the Zika virus </w:t>
      </w:r>
      <w:r>
        <w:fldChar w:fldCharType="begin" w:fldLock="1"/>
      </w:r>
      <w:r>
        <w:rPr>
          <w:rFonts w:cs="Calibri"/>
        </w:rPr>
        <w:instrText>ADDIN CSL_CITATION {"citationItems":[{"id":"ITEM-1","itemData":{"DOI":"10.1177/0894439317721985","ISSN":"15528286","abstract":"© The Author(s) 2017. While emerging technologies such as social media have demonstrated value for crisis communications, significant question remains regarding how these tools can be most effectively leveraged to facilitate the flow of valid information under crisis conditions. In an effort to address these issues, this article examines the use of Twitter during the 2015–2016 Zika virus outbreak in the United States. Particular attention is paid to network structures within the Zika conversation and how different actors and communities contribute to the flow of information throughout the broader Twitter community. Public-facing organizations can benefit from a deeper understanding of the nature and structure of spontaneously occurring communities on social media as well as the types of content that they create and circulate. As such, these findings have significant implications for the development of effective social media strategies during natural disasters and public health emergencies. In particular, this analysis identifies several predominant themes communicated through Zika-related tweets as well as a number of distinct communities and influential actors. The findings suggest that respected political actors, public institutions, as well as those with valid scientific credentials can help to facilitate the flow of accurate and vital information across disparate communities.","author":[{"dropping-particle":"","family":"Hagen","given":"Loni","non-dropping-particle":"","parse-names":false,"suffix":""},{"dropping-particle":"","family":"Keller","given":"Thomas","non-dropping-particle":"","parse-names":false,"suffix":""},{"dropping-particle":"","family":"Neely","given":"Stephen","non-dropping-particle":"","parse-names":false,"suffix":""},{"dropping-particle":"","family":"DePaula","given":"Nic","non-dropping-particle":"","parse-names":false,"suffix":""},{"dropping-particle":"","family":"Robert-Cooperman","given":"Claudia","non-dropping-particle":"","parse-names":false,"suffix":""}],"container-title":"Social Science Computer Review","id":"ITEM-1","issue":"5","issued":{"date-parts":[["2018"]]},"page":"523-541","title":"Crisis Communications in the Age of Social Media: A Network Analysis of Zika-Related Tweets","type":"article-journal","volume":"36"},"uris":["http://www.mendeley.com/documents/?uuid=ee190255-6115-4f33-a816-3d19d3c3e85b"]}],"mendeley":{"formattedCitation":"(Hagen et al., 2018)","plainTextFormattedCitation":"(Hagen et al., 2018)","previouslyFormattedCitation":"(Hagen et al., 2018)"},"properties":{"noteIndex":0},"schema":"https://github.com/citation-style-language/schema/raw/master/csl-citation.json"}</w:instrText>
      </w:r>
      <w:r>
        <w:rPr>
          <w:rFonts w:cs="Calibri"/>
        </w:rPr>
        <w:fldChar w:fldCharType="separate"/>
      </w:r>
      <w:r>
        <w:rPr>
          <w:rFonts w:cs="Calibri"/>
          <w:noProof/>
        </w:rPr>
        <w:t>(Hagen et al., 2018)</w:t>
      </w:r>
      <w:r>
        <w:rPr>
          <w:rFonts w:cs="Calibri"/>
        </w:rPr>
        <w:fldChar w:fldCharType="end"/>
      </w:r>
      <w:r>
        <w:rPr>
          <w:rFonts w:cs="Calibri"/>
        </w:rPr>
        <w:t>. In contrast, less research has been conducted on how organisations can help to support communities in the earlier phases of the Disaster Management Cycle</w:t>
      </w:r>
      <w:r w:rsidR="00F673AA">
        <w:rPr>
          <w:rFonts w:cs="Calibri"/>
        </w:rPr>
        <w:t>. It is in this phase in which this research sits.</w:t>
      </w:r>
    </w:p>
    <w:p w14:paraId="1D235474" w14:textId="77777777" w:rsidR="00787F73" w:rsidRDefault="00787F73" w:rsidP="00866155">
      <w:pPr>
        <w:rPr>
          <w:rFonts w:cs="Calibri"/>
        </w:rPr>
      </w:pPr>
    </w:p>
    <w:p w14:paraId="6F6BA2E8" w14:textId="77777777" w:rsidR="00787F73" w:rsidRDefault="00742FB7" w:rsidP="00866155">
      <w:pPr>
        <w:keepNext/>
        <w:jc w:val="center"/>
      </w:pPr>
      <w:r>
        <w:rPr>
          <w:noProof/>
        </w:rPr>
        <w:drawing>
          <wp:inline distT="0" distB="0" distL="0" distR="0" wp14:anchorId="17BC2C8A" wp14:editId="29056A33">
            <wp:extent cx="4152900" cy="3375660"/>
            <wp:effectExtent l="0" t="0" r="0" b="0"/>
            <wp:docPr id="5"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iagram&#10;&#10;Description automatically generated"/>
                    <pic:cNvPicPr>
                      <a:picLocks noChangeAspect="1" noChangeArrowheads="1"/>
                    </pic:cNvPicPr>
                  </pic:nvPicPr>
                  <pic:blipFill>
                    <a:blip r:embed="rId11"/>
                    <a:stretch>
                      <a:fillRect/>
                    </a:stretch>
                  </pic:blipFill>
                  <pic:spPr bwMode="auto">
                    <a:xfrm>
                      <a:off x="0" y="0"/>
                      <a:ext cx="4152900" cy="3375660"/>
                    </a:xfrm>
                    <a:prstGeom prst="rect">
                      <a:avLst/>
                    </a:prstGeom>
                  </pic:spPr>
                </pic:pic>
              </a:graphicData>
            </a:graphic>
          </wp:inline>
        </w:drawing>
      </w:r>
    </w:p>
    <w:p w14:paraId="0F55840A" w14:textId="5206BB05" w:rsidR="00787F73" w:rsidRDefault="00742FB7" w:rsidP="00866155">
      <w:pPr>
        <w:pStyle w:val="caption1"/>
        <w:jc w:val="center"/>
      </w:pPr>
      <w:bookmarkStart w:id="30" w:name="_Toc22627926"/>
      <w:bookmarkStart w:id="31" w:name="_Toc90567299"/>
      <w:bookmarkStart w:id="32" w:name="_Toc153554385"/>
      <w:bookmarkStart w:id="33" w:name="_Toc193367281"/>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3</w:t>
      </w:r>
      <w:r>
        <w:rPr>
          <w:rFonts w:cs="Calibri"/>
        </w:rPr>
        <w:fldChar w:fldCharType="end"/>
      </w:r>
      <w:r>
        <w:rPr>
          <w:rFonts w:cs="Calibri"/>
        </w:rPr>
        <w:t xml:space="preserve">: Disaster </w:t>
      </w:r>
      <w:r w:rsidR="00921B36">
        <w:rPr>
          <w:rFonts w:cs="Calibri"/>
        </w:rPr>
        <w:t xml:space="preserve">management </w:t>
      </w:r>
      <w:bookmarkEnd w:id="30"/>
      <w:bookmarkEnd w:id="31"/>
      <w:bookmarkEnd w:id="32"/>
      <w:r w:rsidR="00921B36">
        <w:rPr>
          <w:rFonts w:cs="Calibri"/>
        </w:rPr>
        <w:t>cycle</w:t>
      </w:r>
      <w:r>
        <w:rPr>
          <w:rFonts w:cs="Calibri"/>
        </w:rPr>
        <w:t xml:space="preserve">; Source: </w:t>
      </w:r>
      <w:r w:rsidR="00E14461">
        <w:rPr>
          <w:rFonts w:cs="Calibri"/>
        </w:rPr>
        <w:t>Forino</w:t>
      </w:r>
      <w:r>
        <w:rPr>
          <w:rFonts w:cs="Calibri"/>
        </w:rPr>
        <w:t xml:space="preserve"> (2017)</w:t>
      </w:r>
      <w:bookmarkEnd w:id="33"/>
    </w:p>
    <w:p w14:paraId="5EB71A85" w14:textId="299860B5" w:rsidR="00787F73" w:rsidRDefault="001662CC" w:rsidP="00866155">
      <w:pPr>
        <w:rPr>
          <w:rFonts w:cs="Calibri"/>
        </w:rPr>
      </w:pPr>
      <w:r>
        <w:rPr>
          <w:rFonts w:cs="Calibri"/>
        </w:rPr>
        <w:t xml:space="preserve">In </w:t>
      </w:r>
      <w:r w:rsidR="00742FB7">
        <w:rPr>
          <w:rFonts w:cs="Calibri"/>
        </w:rPr>
        <w:t xml:space="preserve">England, FRS’ are regional organisations, </w:t>
      </w:r>
      <w:r>
        <w:rPr>
          <w:rFonts w:cs="Calibri"/>
        </w:rPr>
        <w:t>which</w:t>
      </w:r>
      <w:r w:rsidR="00742FB7">
        <w:rPr>
          <w:rFonts w:cs="Calibri"/>
        </w:rPr>
        <w:t xml:space="preserve"> have a statutory obligation to support the citizens within their locale</w:t>
      </w:r>
      <w:r w:rsidR="00EF3BFA">
        <w:rPr>
          <w:rFonts w:cs="Calibri"/>
        </w:rPr>
        <w:t xml:space="preserve">. </w:t>
      </w:r>
      <w:r w:rsidR="00742FB7">
        <w:rPr>
          <w:rFonts w:cs="Calibri"/>
        </w:rPr>
        <w:t xml:space="preserve">SYFR </w:t>
      </w:r>
      <w:r w:rsidR="00EF3BFA">
        <w:rPr>
          <w:rFonts w:cs="Calibri"/>
        </w:rPr>
        <w:t>ha</w:t>
      </w:r>
      <w:r>
        <w:rPr>
          <w:rFonts w:cs="Calibri"/>
        </w:rPr>
        <w:t>s</w:t>
      </w:r>
      <w:r w:rsidR="00EF3BFA">
        <w:rPr>
          <w:rFonts w:cs="Calibri"/>
        </w:rPr>
        <w:t xml:space="preserve"> a duty to </w:t>
      </w:r>
      <w:r w:rsidR="00742FB7">
        <w:rPr>
          <w:rFonts w:cs="Calibri"/>
        </w:rPr>
        <w:t xml:space="preserve">support the citizens residing in South Yorkshire. Concentrating on the </w:t>
      </w:r>
      <w:r w:rsidR="00742FB7">
        <w:rPr>
          <w:rFonts w:cs="Calibri"/>
          <w:i/>
          <w:iCs/>
        </w:rPr>
        <w:t>local</w:t>
      </w:r>
      <w:r w:rsidR="00742FB7">
        <w:rPr>
          <w:rFonts w:cs="Calibri"/>
        </w:rPr>
        <w:t xml:space="preserve"> enables FRS agencies to focus on issues which are pertinent to their area</w:t>
      </w:r>
      <w:r w:rsidR="00566E9B">
        <w:rPr>
          <w:rFonts w:cs="Calibri"/>
        </w:rPr>
        <w:t>. N</w:t>
      </w:r>
      <w:r w:rsidR="00742FB7">
        <w:rPr>
          <w:rFonts w:cs="Calibri"/>
        </w:rPr>
        <w:t xml:space="preserve">ot every location within the UK will experience the same disasters, and if they do experience the same disasters then they may not be affected to the same </w:t>
      </w:r>
      <w:r w:rsidR="005F3D38">
        <w:rPr>
          <w:rFonts w:cs="Calibri"/>
        </w:rPr>
        <w:t>way</w:t>
      </w:r>
      <w:r w:rsidR="00742FB7">
        <w:rPr>
          <w:rFonts w:cs="Calibri"/>
        </w:rPr>
        <w:t>.</w:t>
      </w:r>
      <w:r w:rsidR="00BB6B56">
        <w:rPr>
          <w:rFonts w:cs="Calibri"/>
        </w:rPr>
        <w:t xml:space="preserve">. This </w:t>
      </w:r>
      <w:r>
        <w:rPr>
          <w:rFonts w:cs="Calibri"/>
        </w:rPr>
        <w:t xml:space="preserve">leads to </w:t>
      </w:r>
      <w:r w:rsidR="00BB6B56">
        <w:rPr>
          <w:rFonts w:cs="Calibri"/>
        </w:rPr>
        <w:t xml:space="preserve">an increasing focus on building community resilience, placing a </w:t>
      </w:r>
      <w:r w:rsidR="00BB6B56">
        <w:rPr>
          <w:rFonts w:cs="Calibri"/>
        </w:rPr>
        <w:lastRenderedPageBreak/>
        <w:t>responsibility on the communities to become resilient to disasters. This</w:t>
      </w:r>
      <w:r w:rsidR="00742FB7">
        <w:rPr>
          <w:rFonts w:cs="Calibri"/>
        </w:rPr>
        <w:t xml:space="preserve"> mirrors the growing neoliberal agenda within the UK</w:t>
      </w:r>
      <w:r w:rsidR="00BB6B56">
        <w:rPr>
          <w:rFonts w:cs="Calibri"/>
        </w:rPr>
        <w:t xml:space="preserve"> which </w:t>
      </w:r>
      <w:r w:rsidR="00742FB7">
        <w:rPr>
          <w:rFonts w:cs="Calibri"/>
        </w:rPr>
        <w:t xml:space="preserve">aims to reduce central government’s influence and to instead focus on market economies, with citizens operating autonomously based on their own needs </w:t>
      </w:r>
      <w:r w:rsidR="00742FB7">
        <w:fldChar w:fldCharType="begin" w:fldLock="1"/>
      </w:r>
      <w:r w:rsidR="00742FB7">
        <w:rPr>
          <w:rFonts w:cs="Calibri"/>
        </w:rPr>
        <w:instrText>ADDIN CSL_CITATION {"citationItems":[{"id":"ITEM-1","itemData":{"DOI":"10.1016/j.ijdrr.2021.102440","ISSN":"22124209","abstract":"Extreme climate events and related disasters are increasing both in frequency and intensity. Resulting impacts materialize in the form of devastating bushfires, flooding, hurricanes, and cyclones and bring with them the tragic loss of life and substantial loss and damage to phenomena of value. Disaster management plays a central role in attempting to minimize and manage these impacts, and many government institutions posit that shared responsibility with citizens is the most effective approach to achieve this. However, some scholarship contends that shared approaches preference responsibility too far towards citizens and too far away from government institutions and are ineffective in lessening and managing such impacts. Here, we analyze governmental inquiries and actions undertaken regarding three past catastrophic disasters—2005 Hurricane Katrina (USA), the 2009 Victorian Bushfires (Australia), and the 2011 Queensland Floods (Australia). We assess, across these inquiries, 'what went wrong', 'what was working', and 'what needs fixing' with shared responsibility in disaster management. Our results indicate pervasive ineffectiveness in leadership, governance, trust, and resilience. We discuss how neoliberal influence contributes towards this ineffectiveness and suggest how this influence can be actively contested. We conclude by advocating for a reinstated social contract that inserts citizen rights and justice into disaster management policy making concomitant with the redistribution of public and third sector resources administered through inclusive governance frameworks. Such a social contract affords citizens greater opportunity to exercise agency whilst maximizing institutional support before, during, and after a disaster to provide greater protection and reduce harm.","author":[{"dropping-particle":"","family":"Crosweller","given":"Mark","non-dropping-particle":"","parse-names":false,"suffix":""},{"dropping-particle":"","family":"Tschakert","given":"Petra","non-dropping-particle":"","parse-names":false,"suffix":""}],"container-title":"International Journal of Disaster Risk Reduction","id":"ITEM-1","issued":{"date-parts":[["2021"]]},"page":"1-13","publisher":"Elsevier Ltd","title":"Disaster management and the need for a reinstated social contract of shared responsibility","type":"article-journal","volume":"63"},"uris":["http://www.mendeley.com/documents/?uuid=4d44ea86-a25a-438c-a66f-510f5f82f76b"]}],"mendeley":{"formattedCitation":"(Crosweller &amp; Tschakert, 2021)","plainTextFormattedCitation":"(Crosweller &amp; Tschakert, 2021)","previouslyFormattedCitation":"(Crosweller &amp; Tschakert, 2021)"},"properties":{"noteIndex":0},"schema":"https://github.com/citation-style-language/schema/raw/master/csl-citation.json"}</w:instrText>
      </w:r>
      <w:r w:rsidR="00742FB7">
        <w:rPr>
          <w:rFonts w:cs="Calibri"/>
        </w:rPr>
        <w:fldChar w:fldCharType="separate"/>
      </w:r>
      <w:r w:rsidR="00742FB7">
        <w:rPr>
          <w:rFonts w:cs="Calibri"/>
          <w:noProof/>
        </w:rPr>
        <w:t>(Crosweller &amp; Tschakert, 2021)</w:t>
      </w:r>
      <w:r w:rsidR="00742FB7">
        <w:rPr>
          <w:rFonts w:cs="Calibri"/>
        </w:rPr>
        <w:fldChar w:fldCharType="end"/>
      </w:r>
      <w:r w:rsidR="00742FB7">
        <w:rPr>
          <w:rFonts w:cs="Calibri"/>
        </w:rPr>
        <w:t xml:space="preserve">. </w:t>
      </w:r>
      <w:r>
        <w:rPr>
          <w:rFonts w:cs="Calibri"/>
        </w:rPr>
        <w:t>In practice, this contributes to a shifting of risk responsibility from the central to the local and its concomitant agencies.</w:t>
      </w:r>
    </w:p>
    <w:p w14:paraId="4730703A" w14:textId="77777777" w:rsidR="00787F73" w:rsidRDefault="00787F73" w:rsidP="00866155">
      <w:pPr>
        <w:rPr>
          <w:rFonts w:cs="Calibri"/>
        </w:rPr>
      </w:pPr>
    </w:p>
    <w:p w14:paraId="284E3D16" w14:textId="3D8976DA" w:rsidR="00753B56" w:rsidRDefault="00742FB7" w:rsidP="00866155">
      <w:pPr>
        <w:rPr>
          <w:rFonts w:cs="Calibri"/>
        </w:rPr>
      </w:pPr>
      <w:r>
        <w:rPr>
          <w:rFonts w:cs="Calibri"/>
        </w:rPr>
        <w:t xml:space="preserve">This neoliberal shift </w:t>
      </w:r>
      <w:r w:rsidR="00E07C24">
        <w:rPr>
          <w:rFonts w:cs="Calibri"/>
        </w:rPr>
        <w:t xml:space="preserve">has reduced </w:t>
      </w:r>
      <w:r>
        <w:rPr>
          <w:rFonts w:cs="Calibri"/>
        </w:rPr>
        <w:t>state funding through periods of government austerity</w:t>
      </w:r>
      <w:r w:rsidR="00E07C24">
        <w:rPr>
          <w:rFonts w:cs="Calibri"/>
        </w:rPr>
        <w:t>. The reduction in budgets has</w:t>
      </w:r>
      <w:r>
        <w:rPr>
          <w:rFonts w:cs="Calibri"/>
        </w:rPr>
        <w:t xml:space="preserve"> created some operational challenges to organisations like SYFR, such as the need to continue providing their statutory obligations with a reducing budget</w:t>
      </w:r>
      <w:r w:rsidR="00E07C24">
        <w:rPr>
          <w:rFonts w:cs="Calibri"/>
        </w:rPr>
        <w:t>. This places a</w:t>
      </w:r>
      <w:r>
        <w:rPr>
          <w:rFonts w:cs="Calibri"/>
        </w:rPr>
        <w:t xml:space="preserve"> greater emphasis on local responsibility to combat and diminish risks</w:t>
      </w:r>
      <w:r w:rsidR="00F76C73">
        <w:rPr>
          <w:rFonts w:cs="Calibri"/>
        </w:rPr>
        <w:t xml:space="preserve"> which is seen with the</w:t>
      </w:r>
      <w:r w:rsidR="00753B56">
        <w:rPr>
          <w:rFonts w:cs="Calibri"/>
        </w:rPr>
        <w:t xml:space="preserve"> increasing focus on community resilience. </w:t>
      </w:r>
    </w:p>
    <w:p w14:paraId="5C8A2A91" w14:textId="77777777" w:rsidR="00753B56" w:rsidRDefault="00753B56" w:rsidP="00866155">
      <w:pPr>
        <w:rPr>
          <w:rFonts w:cs="Calibri"/>
        </w:rPr>
      </w:pPr>
    </w:p>
    <w:p w14:paraId="3B8FD1A5" w14:textId="77777777" w:rsidR="009A5234" w:rsidRDefault="00F76C73" w:rsidP="009A5234">
      <w:r>
        <w:t>There is not one agreed definition of community resilience</w:t>
      </w:r>
      <w:r w:rsidR="009A5234">
        <w:t xml:space="preserve">, with both </w:t>
      </w:r>
      <w:r w:rsidR="009A5234" w:rsidRPr="00A0151B">
        <w:rPr>
          <w:i/>
          <w:iCs/>
        </w:rPr>
        <w:t>community</w:t>
      </w:r>
      <w:r w:rsidR="009A5234">
        <w:t xml:space="preserve"> and </w:t>
      </w:r>
      <w:r w:rsidR="009A5234" w:rsidRPr="00A0151B">
        <w:rPr>
          <w:i/>
          <w:iCs/>
        </w:rPr>
        <w:t>resilience</w:t>
      </w:r>
      <w:r w:rsidR="009A5234">
        <w:t xml:space="preserve"> being often used and rarely defined</w:t>
      </w:r>
      <w:r>
        <w:t>.</w:t>
      </w:r>
      <w:r w:rsidR="009A5234">
        <w:t xml:space="preserve">  The challenge of defining these terms is explored in more detail in section 2.4.2. This project uses the UNHCR’s definition of community: </w:t>
      </w:r>
      <w:r w:rsidR="009A5234">
        <w:rPr>
          <w:i/>
          <w:color w:val="404040"/>
        </w:rPr>
        <w:t xml:space="preserve">“a group of people that recognizes itself or is recognized by outsiders as sharing common cultural, religious, or other social features, backgrounds and interests, and that forms a collective identity with shared goals. However, what is externally perceived as a community might in fact be an entity with many sub-groups or communities. It might be divided into clans or castes or by social class, language or religion. A community might be inclusive and protective of its members; but it might also be socially controlling, making it difficult for sub-groups, particularly minorities and marginalized groups, to express their opinions and claim their rights”. </w:t>
      </w:r>
      <w:r w:rsidR="009A5234">
        <w:rPr>
          <w:color w:val="385623"/>
        </w:rPr>
        <w:t>(</w:t>
      </w:r>
      <w:r w:rsidR="009A5234">
        <w:t xml:space="preserve">UNHCR; p. 14 cited in Titz, Cannon, &amp; Krüger, 2018). </w:t>
      </w:r>
    </w:p>
    <w:p w14:paraId="176A8009" w14:textId="77777777" w:rsidR="009A5234" w:rsidRDefault="009A5234">
      <w:pPr>
        <w:suppressAutoHyphens w:val="0"/>
        <w:overflowPunct/>
        <w:spacing w:after="160"/>
      </w:pPr>
    </w:p>
    <w:p w14:paraId="6BBE8B9E" w14:textId="48067200" w:rsidR="00787F73" w:rsidRDefault="009A5234" w:rsidP="00A0151B">
      <w:pPr>
        <w:suppressAutoHyphens w:val="0"/>
        <w:overflowPunct/>
        <w:spacing w:after="160"/>
      </w:pPr>
      <w:r>
        <w:t xml:space="preserve">Using this definition of </w:t>
      </w:r>
      <w:r w:rsidRPr="009A5234">
        <w:rPr>
          <w:i/>
          <w:iCs/>
        </w:rPr>
        <w:t>community,</w:t>
      </w:r>
      <w:r>
        <w:t xml:space="preserve"> we can examine the range of definitions for community resilience. </w:t>
      </w:r>
      <w:r w:rsidR="00753B56" w:rsidRPr="00377AB7">
        <w:t xml:space="preserve">Some authors view community resilience as a set of adaptive capacities, including economic development, social capital, information and communication, and community competence </w:t>
      </w:r>
      <w:r w:rsidR="00753B56">
        <w:fldChar w:fldCharType="begin" w:fldLock="1"/>
      </w:r>
      <w:r w:rsidR="00807AC3">
        <w:instrText>ADDIN CSL_CITATION {"citationItems":[{"id":"ITEM-1","itemData":{"DOI":"10.1080/08941920.2012.736605","ISBN":"0894-1920","ISSN":"08941920","PMID":"84423027","abstract":"We explore opportunities for an integrated approach in community resilience to inform new research directions and practice, using the productive common ground between two strands of literature on community resilience, one from social-ecological systems and the other from the psychology of development and mental health. The first strand treats resilience as a systems concept, dealing with adaptive relationships and learning in social-ecological systems across nested levels, with attention to feedbacks, nonlinearity, unpredictability, scale, renewal cycles, drivers, system memory, disturbance events, and windows of opportunity. The second strand emphasizes identifying and developing community strengths, and building resilience through agency and self-organization, with attention to people-place connections, values and beliefs, knowledge and learning, social networks, collaborative governance, economic diversification, infrastructure, leadership, and outlook. An integrative approach seated in the complex adaptive system and ecological understanding can incorporate the identification of explicit social strengths and connections to place, activated by agency and self-organizing. &amp;copy; 2013 Copyright Taylor and Francis Group, LLC.","author":[{"dropping-particle":"","family":"Berkes","given":"Fikret","non-dropping-particle":"","parse-names":false,"suffix":""},{"dropping-particle":"","family":"Ross","given":"Helen","non-dropping-particle":"","parse-names":false,"suffix":""}],"container-title":"Society and Natural Resources","id":"ITEM-1","issue":"1","issued":{"date-parts":[["2013"]]},"page":"5-20","title":"Community Resilience: Toward an Integrated Approach","type":"article-journal","volume":"26"},"uris":["http://www.mendeley.com/documents/?uuid=0b80407c-2c27-4353-a9ed-b8cff357c953"]},{"id":"ITEM-2","itemData":{"DOI":"10.1007/s11205-010-9576-9","ISBN":"0303-8300","ISSN":"03038300","PMID":"54097525","abstract":"The purpose of this study was to measure the sets of adaptive capacities for Economic Development and Social Capital in the Norris et al. (2008) community resilience model with publicly accessible population indicators. Our approach involved five steps. First, we conducted a literature review on measurements of the capacities. Second, we created an exhaustive “wish list” of relevant measures that operationalized the concepts presented in the literature. Third, we identified data sources and searched for archival, population-level data that matched our indicators. Fourth, we systematically tested correlations of indicators within and across the theoretical elements and used this information to select a parsimonious group of indicators. Fifth, we combined the indicators into composites of Economic Development and Social Capital and an additive index of Community Resilience using Mississippi county data, and validated these against a well-established index of social vulnerability and aggregated survey data on collective efficacy. We found that our measure of community resilience capacities correlated favorably and as expected when validated with the archival and survey data. This study provides the first step in identifying existing capacities that may predict a community’s ability to “bounce back” from disasters, thereby reducing post-trauma health and mental health problems.","author":[{"dropping-particle":"","family":"Sherrieb","given":"Kathleen","non-dropping-particle":"","parse-names":false,"suffix":""},{"dropping-particle":"","family":"Norris","given":"Fran H.","non-dropping-particle":"","parse-names":false,"suffix":""},{"dropping-particle":"","family":"Galea","given":"Sandro","non-dropping-particle":"","parse-names":false,"suffix":""}],"container-title":"Social Indicators Research","id":"ITEM-2","issue":"2","issued":{"date-parts":[["2010"]]},"page":"227-247","title":"Measuring Capacities for Community Resilience","type":"article-journal","volume":"99"},"uris":["http://www.mendeley.com/documents/?uuid=3a7eaed1-e1e1-4c81-86b5-90310b6c5892"]},{"id":"ITEM-3","itemData":{"DOI":"10.1007/s10464-007-9156-6","ISBN":"0091-0562 (Print)","ISSN":"00910562","PMID":"18157631","abstract":"Communities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unknowns.","author":[{"dropping-particle":"","family":"Norris","given":"Fran H.","non-dropping-particle":"","parse-names":false,"suffix":""},{"dropping-particle":"","family":"Stevens","given":"Susan P.","non-dropping-particle":"","parse-names":false,"suffix":""},{"dropping-particle":"","family":"Pfefferbaum","given":"Betty","non-dropping-particle":"","parse-names":false,"suffix":""},{"dropping-particle":"","family":"Wyche","given":"Karen F.","non-dropping-particle":"","parse-names":false,"suffix":""},{"dropping-particle":"","family":"Pfefferbaum","given":"Rose L.","non-dropping-particle":"","parse-names":false,"suffix":""}],"container-title":"American Journal of Community Psychology","id":"ITEM-3","issued":{"date-parts":[["2008"]]},"page":"127-150","title":"Community resilience as a metaphor, theory, set of capacities, and strategy for disaster readiness","type":"article-journal","volume":"41"},"uris":["http://www.mendeley.com/documents/?uuid=ce971e9c-40de-4c41-9d71-39c5bbe61334"]}],"mendeley":{"formattedCitation":"(Berkes &amp; Ross, 2013; Sherrieb, Norris, &amp; Galea, 2010; Norris et al., 2008)","plainTextFormattedCitation":"(Berkes &amp; Ross, 2013; Sherrieb, Norris, &amp; Galea, 2010; Norris et al., 2008)","previouslyFormattedCitation":"(Berkes &amp; Ross, 2013; Sherrieb, Norris, &amp; Galea, 2010; Norris et al., 2008)"},"properties":{"noteIndex":0},"schema":"https://github.com/citation-style-language/schema/raw/master/csl-citation.json"}</w:instrText>
      </w:r>
      <w:r w:rsidR="00753B56">
        <w:fldChar w:fldCharType="separate"/>
      </w:r>
      <w:r w:rsidR="00753B56" w:rsidRPr="00753B56">
        <w:rPr>
          <w:noProof/>
        </w:rPr>
        <w:t>(Berkes &amp; Ross, 2013; Sherrieb, Norris, &amp; Galea, 2010; Norris et al., 2008)</w:t>
      </w:r>
      <w:r w:rsidR="00753B56">
        <w:fldChar w:fldCharType="end"/>
      </w:r>
      <w:r w:rsidR="00753B56" w:rsidRPr="00377AB7">
        <w:t>. Others view community resilience in terms of capital</w:t>
      </w:r>
      <w:r w:rsidR="00257D8D">
        <w:t>s:</w:t>
      </w:r>
      <w:r w:rsidR="00753B56" w:rsidRPr="00377AB7">
        <w:t xml:space="preserve"> natural</w:t>
      </w:r>
      <w:r w:rsidR="00257D8D">
        <w:t>;</w:t>
      </w:r>
      <w:r w:rsidR="00753B56" w:rsidRPr="00377AB7">
        <w:t xml:space="preserve"> cultural</w:t>
      </w:r>
      <w:r w:rsidR="00257D8D">
        <w:t>;</w:t>
      </w:r>
      <w:r w:rsidR="00753B56" w:rsidRPr="00377AB7">
        <w:t xml:space="preserve"> financial</w:t>
      </w:r>
      <w:r w:rsidR="00257D8D">
        <w:t>:</w:t>
      </w:r>
      <w:r w:rsidR="00753B56" w:rsidRPr="00377AB7">
        <w:t xml:space="preserve"> built</w:t>
      </w:r>
      <w:r w:rsidR="00257D8D">
        <w:t>:</w:t>
      </w:r>
      <w:r w:rsidR="00753B56" w:rsidRPr="00377AB7">
        <w:t xml:space="preserve"> political</w:t>
      </w:r>
      <w:r w:rsidR="00257D8D">
        <w:t>;</w:t>
      </w:r>
      <w:r w:rsidR="00753B56" w:rsidRPr="00377AB7">
        <w:t xml:space="preserve"> and social </w:t>
      </w:r>
      <w:r w:rsidR="00753B56" w:rsidRPr="00377AB7">
        <w:fldChar w:fldCharType="begin" w:fldLock="1"/>
      </w:r>
      <w:r w:rsidR="00753B56" w:rsidRPr="00377AB7">
        <w:instrText>ADDIN CSL_CITATION {"citationItems":[{"id":"ITEM-1","itemData":{"DOI":"10.1080/08941920903305674","ISBN":"0894-1920","ISSN":"08941920","PMID":"1089","abstract":"Change is a constant force, in nature and in society. Research suggests that resilience pertains to the ability of a system to sustain itself through change via adaptation and occasional transformation. This article is based on the premises that communities can develop resilience by actively building and engaging the capacity to thrive in an environment characterized by change, and that community resilience is an important indicator of social sustainability. Community resilience, as defined herein, is the existence, development, and engagement of community resources by community members to thrive in an environment characterized by change, uncertainty, unpredictability, and surprise. The U.S. Roundtable on Sustainable Forests commissioned a research project to develop a theoretically and empirically based definition of community resilience as well as an associated measurement instrument. In this article, the research is presented, the emergent definition and dimensions of community resilience are posited, ...","author":[{"dropping-particle":"","family":"Magis","given":"Kristen","non-dropping-particle":"","parse-names":false,"suffix":""}],"container-title":"Society and Natural Resources","id":"ITEM-1","issue":"5","issued":{"date-parts":[["2010"]]},"page":"401-416","title":"Community resilience: An indicator of social sustainability","type":"article-journal","volume":"23"},"uris":["http://www.mendeley.com/documents/?uuid=a5d74235-7106-41d0-9117-63f47d2407b6"]},{"id":"ITEM-2","itemData":{"DOI":"10.1080/08941920.2012.736605","ISBN":"0894-1920","ISSN":"08941920","PMID":"84423027","abstract":"We explore opportunities for an integrated approach in community resilience to inform new research directions and practice, using the productive common ground between two strands of literature on community resilience, one from social-ecological systems and the other from the psychology of development and mental health. The first strand treats resilience as a systems concept, dealing with adaptive relationships and learning in social-ecological systems across nested levels, with attention to feedbacks, nonlinearity, unpredictability, scale, renewal cycles, drivers, system memory, disturbance events, and windows of opportunity. The second strand emphasizes identifying and developing community strengths, and building resilience through agency and self-organization, with attention to people-place connections, values and beliefs, knowledge and learning, social networks, collaborative governance, economic diversification, infrastructure, leadership, and outlook. An integrative approach seated in the complex adaptive system and ecological understanding can incorporate the identification of explicit social strengths and connections to place, activated by agency and self-organizing. &amp;copy; 2013 Copyright Taylor and Francis Group, LLC.","author":[{"dropping-particle":"","family":"Berkes","given":"Fikret","non-dropping-particle":"","parse-names":false,"suffix":""},{"dropping-particle":"","family":"Ross","given":"Helen","non-dropping-particle":"","parse-names":false,"suffix":""}],"container-title":"Society and Natural Resources","id":"ITEM-2","issue":"1","issued":{"date-parts":[["2013"]]},"page":"5-20","title":"Community Resilience: Toward an Integrated Approach","type":"article-journal","volume":"26"},"uris":["http://www.mendeley.com/documents/?uuid=0b80407c-2c27-4353-a9ed-b8cff357c953"]},{"id":"ITEM-3","itemData":{"DOI":"10.1186/s12889-021-12419-8","ISSN":"14712458","PMID":"35016669","abstract":"Background: After the lockdown of Wuhan on January 23, 2020, the government used community-based pandemic prevention and control as the core strategy to fight the pandemic, and explored a set of standardized community pandemic prevention measures that were uniformly implemented throughout the city. One month later, the city announced its first lists of “high-risk” communities and COVID-19-free communities. Under the standardized measures of pandemic prevention and mitigation, why some communities showed a high degree of resilience and effectively avoided escalation, while the situation spun out of control in other communities? This study investigated: 1) key factors that affect the effective response of urban communities to the pandemic, and 2) types of COVID-19 susceptible communities. Methods: This study employs the crisp-set qualitative comparative analysis method to explore the influencing variables and possible causal condition combination paths that affect community resilience during the pandemic outbreak. Relying on extreme-case approach, 26 high-risk communities and 14 COVID-19 free communities were selected as empirical research subjects from the lists announced by Wuhan government. The community resilience assessment framework that evaluates the communities’ capacity on pandemic prevention and mitigation covers four dimensions, namely spatial resilience, capital resilience, social resilience, and governance resilience, each dimension is measured by one to three variables. Results: The results of measuring the necessity of 7 single-condition variables found that the consistency index of “whether the physical structure of the community is favorable to virus transmission” reached 0.9, which constitutes a necessary condition for COVID-19 susceptible communities. By analyzing the seven condition configurations with high row coverage and unique coverage in the obtained complex solutions and intermediate solutions, we found that outbreaks are most likely to occur in communities populated by disadvantaged populations. However, if lacking spatial-, capital-, and governance resilience, middle-class and even wealthy communities could also become areas where COVID-19 spreads easily. Conclusions: Three types of communities namely vulnerable communities, alienated communities, and inefficient communities have lower risk resilience. Spatial resilience, rather than social resilience, constitutes the key influencing factor of COVID-19-susceptible communities, …","author":[{"dropping-particle":"","family":"Shi","given":"Chunyu","non-dropping-particle":"","parse-names":false,"suffix":""},{"dropping-particle":"","family":"Liao","given":"Liao","non-dropping-particle":"","parse-names":false,"suffix":""},{"dropping-particle":"","family":"Li","given":"Huan","non-dropping-particle":"","parse-names":false,"suffix":""},{"dropping-particle":"","family":"Su","given":"Zhenhua","non-dropping-particle":"","parse-names":false,"suffix":""}],"container-title":"BMC Public Health","id":"ITEM-3","issue":"1","issued":{"date-parts":[["2022"]]},"page":"1-15","title":"Which urban communities are susceptible to COVID-19? An empirical study through the lens of community resilience","type":"article-journal","volume":"22"},"uris":["http://www.mendeley.com/documents/?uuid=cbeb73f6-8759-4afa-baca-68013a3737fd"]}],"mendeley":{"formattedCitation":"(Shi et al., 2022; Berkes &amp; Ross, 2013; Magis, 2010)","plainTextFormattedCitation":"(Shi et al., 2022; Berkes &amp; Ross, 2013; Magis, 2010)","previouslyFormattedCitation":"(Shi et al., 2022; Berkes &amp; Ross, 2013; Magis, 2010)"},"properties":{"noteIndex":0},"schema":"https://github.com/citation-style-language/schema/raw/master/csl-citation.json"}</w:instrText>
      </w:r>
      <w:r w:rsidR="00753B56" w:rsidRPr="00377AB7">
        <w:fldChar w:fldCharType="separate"/>
      </w:r>
      <w:r w:rsidR="00753B56" w:rsidRPr="00377AB7">
        <w:rPr>
          <w:noProof/>
        </w:rPr>
        <w:t>(Shi et al., 2022; Berkes &amp; Ross, 2013; Magis, 2010)</w:t>
      </w:r>
      <w:r w:rsidR="00753B56" w:rsidRPr="00377AB7">
        <w:fldChar w:fldCharType="end"/>
      </w:r>
      <w:r w:rsidR="00753B56" w:rsidRPr="00377AB7">
        <w:t xml:space="preserve">. </w:t>
      </w:r>
      <w:r w:rsidR="00753B56">
        <w:t xml:space="preserve">A </w:t>
      </w:r>
      <w:r w:rsidR="00753B56" w:rsidRPr="00377AB7">
        <w:t xml:space="preserve">systematic review examining community resilience literature noted </w:t>
      </w:r>
      <w:r w:rsidR="00F76C73">
        <w:t>9 main and 19 sub</w:t>
      </w:r>
      <w:r w:rsidR="00753B56">
        <w:t xml:space="preserve"> elements which are linked to </w:t>
      </w:r>
      <w:r w:rsidR="00F76C73">
        <w:t xml:space="preserve">a </w:t>
      </w:r>
      <w:r w:rsidR="00753B56">
        <w:lastRenderedPageBreak/>
        <w:t>community resilience</w:t>
      </w:r>
      <w:r w:rsidR="00F76C73">
        <w:t xml:space="preserve"> definition (discussed in greater detail in chapter 2)</w:t>
      </w:r>
      <w:r w:rsidR="00753B56" w:rsidRPr="00377AB7">
        <w:t>.</w:t>
      </w:r>
      <w:r w:rsidR="00F76C73">
        <w:t xml:space="preserve"> The definitions of community resilience largely focus on what resources and support are available at the community level.</w:t>
      </w:r>
      <w:r w:rsidR="00753B56" w:rsidRPr="00377AB7">
        <w:t xml:space="preserve"> It is therefore important to understand the institutional pressures and drivers influencing the availability of resources at the community level</w:t>
      </w:r>
      <w:r w:rsidR="00254247">
        <w:t>. This places a need to understand how organisations, such as SYFR</w:t>
      </w:r>
      <w:r w:rsidR="00257D8D">
        <w:t>,</w:t>
      </w:r>
      <w:r w:rsidR="00254247">
        <w:t xml:space="preserve"> work within the communities. Examining what their strategies are</w:t>
      </w:r>
      <w:r w:rsidR="00257D8D">
        <w:t>,</w:t>
      </w:r>
      <w:r w:rsidR="00254247">
        <w:t xml:space="preserve"> what influences and shapes them</w:t>
      </w:r>
      <w:r w:rsidR="00257D8D">
        <w:t>,</w:t>
      </w:r>
      <w:r w:rsidR="00254247">
        <w:t xml:space="preserve"> and how they can use their</w:t>
      </w:r>
      <w:r w:rsidR="00254247" w:rsidRPr="00377AB7">
        <w:t xml:space="preserve"> allocated resources to support communities and meet their statutory obligations.</w:t>
      </w:r>
      <w:r w:rsidR="00254247">
        <w:t xml:space="preserve"> </w:t>
      </w:r>
      <w:r w:rsidR="00F76C73">
        <w:rPr>
          <w:rFonts w:cs="Calibri"/>
        </w:rPr>
        <w:t>These challenges and wider budgetary restrictions often led organisations to search for cheaper and quicker alternatives to community engagement, such as using social media.</w:t>
      </w:r>
    </w:p>
    <w:p w14:paraId="07FF2F01" w14:textId="77777777" w:rsidR="00787F73" w:rsidRDefault="00787F73" w:rsidP="00866155">
      <w:pPr>
        <w:rPr>
          <w:rFonts w:cs="Calibri"/>
        </w:rPr>
      </w:pPr>
    </w:p>
    <w:p w14:paraId="63BADD8D" w14:textId="3A5056DF" w:rsidR="00787F73" w:rsidRDefault="00742FB7" w:rsidP="00866155">
      <w:pPr>
        <w:pStyle w:val="Heading3"/>
      </w:pPr>
      <w:bookmarkStart w:id="34" w:name="_Toc153554292"/>
      <w:bookmarkStart w:id="35" w:name="_Toc193367173"/>
      <w:r>
        <w:rPr>
          <w:rFonts w:ascii="Calibri" w:hAnsi="Calibri" w:cs="Calibri"/>
        </w:rPr>
        <w:t>1.</w:t>
      </w:r>
      <w:r w:rsidR="00C24152">
        <w:rPr>
          <w:rFonts w:ascii="Calibri" w:hAnsi="Calibri" w:cs="Calibri"/>
        </w:rPr>
        <w:t>5</w:t>
      </w:r>
      <w:r>
        <w:rPr>
          <w:rFonts w:ascii="Calibri" w:hAnsi="Calibri" w:cs="Calibri"/>
        </w:rPr>
        <w:t>.2: The use of social media and focus on metrics.</w:t>
      </w:r>
      <w:bookmarkEnd w:id="34"/>
      <w:bookmarkEnd w:id="35"/>
    </w:p>
    <w:p w14:paraId="12D2602A" w14:textId="77777777" w:rsidR="00787F73" w:rsidRDefault="00742FB7" w:rsidP="00866155">
      <w:r>
        <w:rPr>
          <w:rFonts w:cs="Calibri"/>
        </w:rPr>
        <w:t>Social media use within the UK is increasing in popularity and appears to be ubiquitous in society. It was initially</w:t>
      </w:r>
      <w:r>
        <w:rPr>
          <w:rFonts w:cs="Calibri"/>
          <w:lang w:eastAsia="en-US"/>
        </w:rPr>
        <w:t xml:space="preserve"> created for people to network, however, organisations (both public and private sector organisations) have started to become increasingly present and active on social media sites </w:t>
      </w:r>
      <w:r>
        <w:fldChar w:fldCharType="begin" w:fldLock="1"/>
      </w:r>
      <w:r>
        <w:rPr>
          <w:rFonts w:cs="Calibri"/>
          <w:lang w:eastAsia="en-US"/>
        </w:rPr>
        <w:instrText>ADDIN CSL_CITATION {"citationItems":[{"id":"ITEM-1","itemData":{"DOI":"10.1080/1553118X.2022.2042694","ISSN":"15531198","abstract":"During public health crises, public organizations face a variety of strategic communication challenges, and the outbreak of the COVID-19 pandemic in 2020 is an extreme example. In Finland, the Prime Minister’s Office initiated a communication campaign that utilized social media influencers to communicate timely instructions regarding the pandemic. However, it is uncertain how social media influencers adapt to briefings of public organizations given that they typically work with brands that align with their own interests and expertise, which rarely is epidemiology. We use the two-step flow of communication model and social influence theory to analyze research data that consisted of 96 Instagram posts, 108 Instagram Stories and 1097 comments. Qualitative content analysis was used to see how the influencers communicated about the pandemic and how their followers reacted. The results suggest that the influencers tried to adapt the messages to their own style, and, instead of committing to the wordings of the campaign, they shared general guidelines and, with their own example, showed how to behave during the pandemic. Their participation in the campaign helped affect social norms during the time of the crisis, which in the case of public health communication is a substantial, strategic goal.","author":[{"dropping-particle":"","family":"Pöyry","given":"Essi","non-dropping-particle":"","parse-names":false,"suffix":""},{"dropping-particle":"","family":"Reinikainen","given":"Hanna","non-dropping-particle":"","parse-names":false,"suffix":""},{"dropping-particle":"","family":"Luoma-Aho","given":"Vilma","non-dropping-particle":"","parse-names":false,"suffix":""}],"container-title":"International Journal of Strategic Communication","id":"ITEM-1","issue":"3","issued":{"date-parts":[["2022"]]},"page":"469-484","publisher":"Routledge","title":"The Role of Social Media Influencers in Public Health Communication: Case COVID-19 Pandemic","type":"article-journal","volume":"16"},"uris":["http://www.mendeley.com/documents/?uuid=041b3053-0f7b-454b-b756-4657b3eee0bb"]},{"id":"ITEM-2","itemData":{"DOI":"10.1177/0894439317721985","ISSN":"15528286","abstract":"© The Author(s) 2017. While emerging technologies such as social media have demonstrated value for crisis communications, significant question remains regarding how these tools can be most effectively leveraged to facilitate the flow of valid information under crisis conditions. In an effort to address these issues, this article examines the use of Twitter during the 2015–2016 Zika virus outbreak in the United States. Particular attention is paid to network structures within the Zika conversation and how different actors and communities contribute to the flow of information throughout the broader Twitter community. Public-facing organizations can benefit from a deeper understanding of the nature and structure of spontaneously occurring communities on social media as well as the types of content that they create and circulate. As such, these findings have significant implications for the development of effective social media strategies during natural disasters and public health emergencies. In particular, this analysis identifies several predominant themes communicated through Zika-related tweets as well as a number of distinct communities and influential actors. The findings suggest that respected political actors, public institutions, as well as those with valid scientific credentials can help to facilitate the flow of accurate and vital information across disparate communities.","author":[{"dropping-particle":"","family":"Hagen","given":"Loni","non-dropping-particle":"","parse-names":false,"suffix":""},{"dropping-particle":"","family":"Keller","given":"Thomas","non-dropping-particle":"","parse-names":false,"suffix":""},{"dropping-particle":"","family":"Neely","given":"Stephen","non-dropping-particle":"","parse-names":false,"suffix":""},{"dropping-particle":"","family":"DePaula","given":"Nic","non-dropping-particle":"","parse-names":false,"suffix":""},{"dropping-particle":"","family":"Robert-Cooperman","given":"Claudia","non-dropping-particle":"","parse-names":false,"suffix":""}],"container-title":"Social Science Computer Review","id":"ITEM-2","issue":"5","issued":{"date-parts":[["2018"]]},"page":"523-541","title":"Crisis Communications in the Age of Social Media: A Network Analysis of Zika-Related Tweets","type":"article-journal","volume":"36"},"uris":["http://www.mendeley.com/documents/?uuid=ee190255-6115-4f33-a816-3d19d3c3e85b"]},{"id":"ITEM-3","itemData":{"DOI":"10.1111/j.1083-6101.2007.00367.x","ISBN":"0521832969","ISSN":"10836101","PMID":"10540012","abstract":"This study examines the relationship between use of Facebook, a popular online social network site, and the formation and maintenance of social capital. In addition to assessing bonding and bridging social capital, we explore a dimension of social capital that assesses one’s ability to stay connected with members of a previously inhabited community, which we call maintained social capital. Regression analyses conducted on results from a survey of undergraduate students (N = 286) suggest a strong association between use of Facebook and the three types of social capital, with the strongest relationship being to bridging social capital. In addition, Facebook usage was found to interact with measures of psychological well-being, suggesting that it might provide greater benefits for users experiencing low self-esteem and low life satisfaction.","author":[{"dropping-particle":"","family":"Ellison","given":"Nicole B.","non-dropping-particle":"","parse-names":false,"suffix":""},{"dropping-particle":"","family":"Steinfield","given":"Charles","non-dropping-particle":"","parse-names":false,"suffix":""},{"dropping-particle":"","family":"Lampe","given":"Cliff","non-dropping-particle":"","parse-names":false,"suffix":""}],"container-title":"Journal of Computer-Mediated Communication","id":"ITEM-3","issue":"4","issued":{"date-parts":[["2007"]]},"page":"1143-1168","title":"The benefits of facebook \"friends:\" Social capital and college students' use of online social network sites","type":"article-journal","volume":"12"},"uris":["http://www.mendeley.com/documents/?uuid=484b47bc-5c12-4500-9700-1eb966bb6d89"]}],"mendeley":{"formattedCitation":"(Pöyry, Reinikainen, &amp; Luoma-Aho, 2022; Hagen et al., 2018; Ellison, Steinfield, &amp; Lampe, 2007)","plainTextFormattedCitation":"(Pöyry, Reinikainen, &amp; Luoma-Aho, 2022; Hagen et al., 2018; Ellison, Steinfield, &amp; Lampe, 2007)","previouslyFormattedCitation":"(Pöyry, Reinikainen, &amp; Luoma-Aho, 2022; Hagen et al., 2018; Ellison, Steinfield, &amp; Lampe, 2007)"},"properties":{"noteIndex":0},"schema":"https://github.com/citation-style-language/schema/raw/master/csl-citation.json"}</w:instrText>
      </w:r>
      <w:r>
        <w:rPr>
          <w:rFonts w:cs="Calibri"/>
          <w:lang w:eastAsia="en-US"/>
        </w:rPr>
        <w:fldChar w:fldCharType="separate"/>
      </w:r>
      <w:r>
        <w:rPr>
          <w:rFonts w:cs="Calibri"/>
          <w:noProof/>
          <w:lang w:eastAsia="en-US"/>
        </w:rPr>
        <w:t>(Pöyry, Reinikainen, &amp; Luoma-Aho, 2022; Hagen et al., 2018; Ellison, Steinfield, &amp; Lampe, 2007)</w:t>
      </w:r>
      <w:r>
        <w:rPr>
          <w:rFonts w:cs="Calibri"/>
          <w:lang w:eastAsia="en-US"/>
        </w:rPr>
        <w:fldChar w:fldCharType="end"/>
      </w:r>
      <w:r>
        <w:rPr>
          <w:rFonts w:cs="Calibri"/>
          <w:lang w:eastAsia="en-US"/>
        </w:rPr>
        <w:t>.</w:t>
      </w:r>
    </w:p>
    <w:p w14:paraId="2BBFDAFD" w14:textId="77777777" w:rsidR="00787F73" w:rsidRDefault="00787F73" w:rsidP="00866155">
      <w:pPr>
        <w:rPr>
          <w:rFonts w:cs="Calibri"/>
        </w:rPr>
      </w:pPr>
    </w:p>
    <w:p w14:paraId="7A40EA6F" w14:textId="37217FEE" w:rsidR="00787F73" w:rsidRDefault="00742FB7" w:rsidP="00866155">
      <w:r>
        <w:rPr>
          <w:rFonts w:cs="Calibri"/>
        </w:rPr>
        <w:t xml:space="preserve">There are many reasons why public sector organisations use social media, and one of them is the ability to access large numbers of people. With the increasing threats of disasters </w:t>
      </w:r>
      <w:r>
        <w:fldChar w:fldCharType="begin" w:fldLock="1"/>
      </w:r>
      <w:r w:rsidR="00974B75">
        <w:rPr>
          <w:rFonts w:cs="Calibri"/>
        </w:rPr>
        <w:instrText>ADDIN CSL_CITATION {"citationItems":[{"id":"ITEM-1","itemData":{"DOI":"10.1080/03003930.2019.1571999","ISSN":"17439388","abstract":"Scholars and practitioners have long noted the importance of community resilience to disaster recovery and environmental risk mitigation. Yet we know surprisingly little about how local residents perceive the resilience of their local communities, including how closely their perceptions align with objective measures of resilience or whether these perceptions affect community engagement and support for resilience building activities and policies. In this paper, we utilise the results of public opinion surveys of residents of four Texas coastal shoreline counties (Brazoria, Nueces, Galveston, and Cameron) to address this gap in the literature. The results reveal that perceptions of community preparedness largely reflect social trust and disaster awareness while perceptions of recovery reflect perceived risks and preparedness.","author":[{"dropping-particle":"","family":"Goidel","given":"Kirby","non-dropping-particle":"","parse-names":false,"suffix":""},{"dropping-particle":"","family":"Horney","given":"Jennifer A.","non-dropping-particle":"","parse-names":false,"suffix":""},{"dropping-particle":"","family":"Kellstedt","given":"Paul M.","non-dropping-particle":"","parse-names":false,"suffix":""},{"dropping-particle":"","family":"Sullivan","given":"Emily","non-dropping-particle":"","parse-names":false,"suffix":""},{"dropping-particle":"","family":"Brown","given":"Stephanie E.V.","non-dropping-particle":"","parse-names":false,"suffix":""}],"container-title":"Local Government Studies","id":"ITEM-1","issue":"3","issued":{"date-parts":[["2019"]]},"page":"413-432","title":"Perceptions of disaster resilience in four Texas coastal communities","type":"article-journal","volume":"45"},"uris":["http://www.mendeley.com/documents/?uuid=4033a276-60f2-438f-a557-0a555c5f96f4"]},{"id":"ITEM-2","itemData":{"DOI":"10.1111/geoj.12174","ISBN":"1475-4959","ISSN":"14754959","abstract":"The discourse on disaster resilience and vulnerability entails diverse research and policy communities each assigning different meanings to the concepts, which in turn influences their measurement and implementation in decision-making contexts. This invited contribution introduces a themed section with five independently submitted papers on the broad topic of vulnerability and resilience. The distinctive geographical focus on the historical development of vulnerability and resilience and their contemporary manifestations is illustrated by the five internationally focused case studies presented in the themed section.","author":[{"dropping-particle":"","family":"Cutter","given":"Susan L.","non-dropping-particle":"","parse-names":false,"suffix":""}],"container-title":"Geographical Journal","id":"ITEM-2","issue":"2","issued":{"date-parts":[["2016"]]},"page":"110-113","title":"Resilience to What? Resilience for Whom?","type":"article-journal","volume":"182"},"uris":["http://www.mendeley.com/documents/?uuid=72373c9d-6f02-49e0-9a61-4796ecdfe746"]},{"id":"ITEM-3","itemData":{"author":[{"dropping-particle":"","family":"Sanyal","given":"Saswata","non-dropping-particle":"","parse-names":false,"suffix":""},{"dropping-particle":"","family":"Routray","given":"Jayant K.","non-dropping-particle":"","parse-names":false,"suffix":""}],"container-title":"International Journal of Disaster Risk Reduction","id":"ITEM-3","issued":{"date-parts":[["2016"]]},"page":"101-111","title":"Social capital for disaster risk reduction and management with empirical evidences from Sundarbans of India","type":"article-journal","volume":"19"},"uris":["http://www.mendeley.com/documents/?uuid=d8bcf27c-1efc-4c15-8204-cd8b37719dd2"]},{"id":"ITEM-4","itemData":{"DOI":"10.1007/s11069-010-9646-y","ISBN":"0921-030X","ISSN":"0921030X","abstract":"The discussion surrounding resilience to natural hazards and disasters has advanced considerably within the last years. It ranges from ecological to social systems and also covers some socio-ecological spaces in-between. Yet, although the discussion is broad and multifaceted, a common theme runs through most approaches to resilience: Resilience is defined as a systemâ€™s capacity to adapt to or respond to singular, unique and most often radically surprising events. This paper seeks to shed some light on a different aspect of resilience; its constructionist dimension. For doing this, it introduces the â€˜myth of resilience, which not only considers the functional aspects of resilience (i.e. actors capacities), but also how actors make retrospectively sense of the radically surprising discovery of something entirely unknown. The paper will argue that the â€˜myth of resilienceâ€™ may become a powerful worldview that enables actors to define what is â€˜rightâ€™ and what is â€˜wrongâ€™, as it may be used as a very intriguing way of changing, creating and consolidating power relations; at least this is the insight a study on disaster management reveals. The case study was conducted in a municipality of a city located in the State of Saxony Germany, which was severely affected by the 2002 August flood. The paper ends with outlining implications for the discussion on resilience.","author":[{"dropping-particle":"","family":"Kuhlicke","given":"Christian","non-dropping-particle":"","parse-names":false,"suffix":""}],"container-title":"Natural Hazards","id":"ITEM-4","issued":{"date-parts":[["2013"]]},"page":"61-76","title":"Resilience: A capacity and a myth: findings from an in-depth case study in disaster management research","type":"article-journal","volume":"67"},"uris":["http://www.mendeley.com/documents/?uuid=18ec7922-a082-49a2-815e-4dc2fd41ecf4"]},{"id":"ITEM-5","itemData":{"DOI":"10.3763/ehaz.1999.0103","author":[{"dropping-particle":"","family":"Tobin","given":"Graham A","non-dropping-particle":"","parse-names":false,"suffix":""}],"container-title":"Environmental Hazards","id":"ITEM-5","issue":"1","issued":{"date-parts":[["1999"]]},"page":"13-25","title":"Sustainability and community resilience: the holy grail of hazards planning?","type":"article-journal","volume":"1"},"uris":["http://www.mendeley.com/documents/?uuid=8bf65d46-8190-4198-bf8c-df8928e2d260"]}],"mendeley":{"formattedCitation":"(Goidel et al., 2019; Cutter, 2016; Sanyal &amp; Routray, 2016; Kuhlicke, 2013; Tobin, 1999)","plainTextFormattedCitation":"(Goidel et al., 2019; Cutter, 2016; Sanyal &amp; Routray, 2016; Kuhlicke, 2013; Tobin, 1999)","previouslyFormattedCitation":"(Goidel et al., 2019; Cutter, 2016; Sanyal &amp; Routray, 2016; Kuhlicke, 2013; Tobin, 1999)"},"properties":{"noteIndex":0},"schema":"https://github.com/citation-style-language/schema/raw/master/csl-citation.json"}</w:instrText>
      </w:r>
      <w:r>
        <w:rPr>
          <w:rFonts w:cs="Calibri"/>
        </w:rPr>
        <w:fldChar w:fldCharType="separate"/>
      </w:r>
      <w:r>
        <w:rPr>
          <w:rFonts w:cs="Calibri"/>
          <w:noProof/>
        </w:rPr>
        <w:t>(Goidel et al., 2019; Cutter, 2016; Sanyal &amp; Routray, 2016; Kuhlicke, 2013; Tobin, 1999)</w:t>
      </w:r>
      <w:r>
        <w:rPr>
          <w:rFonts w:cs="Calibri"/>
        </w:rPr>
        <w:fldChar w:fldCharType="end"/>
      </w:r>
      <w:r>
        <w:rPr>
          <w:rFonts w:cs="Calibri"/>
        </w:rPr>
        <w:t xml:space="preserve">, the ability to reach large numbers of people quickly via social media is therefore of interest to organisations such as SYFR. However, </w:t>
      </w:r>
      <w:r w:rsidR="00C84401">
        <w:rPr>
          <w:rFonts w:cs="Calibri"/>
        </w:rPr>
        <w:t xml:space="preserve">while </w:t>
      </w:r>
      <w:r>
        <w:rPr>
          <w:rFonts w:cs="Calibri"/>
        </w:rPr>
        <w:t xml:space="preserve">social media can be used to communicate with </w:t>
      </w:r>
      <w:r w:rsidR="00E97EA9">
        <w:rPr>
          <w:rFonts w:cs="Calibri"/>
        </w:rPr>
        <w:t>l</w:t>
      </w:r>
      <w:r>
        <w:rPr>
          <w:rFonts w:cs="Calibri"/>
        </w:rPr>
        <w:t xml:space="preserve">arge groups of people and communities, communities are not </w:t>
      </w:r>
      <w:r w:rsidR="0040407A" w:rsidRPr="0040407A">
        <w:rPr>
          <w:rFonts w:cs="Calibri"/>
        </w:rPr>
        <w:t>homogeneous</w:t>
      </w:r>
      <w:r>
        <w:rPr>
          <w:rFonts w:cs="Calibri"/>
        </w:rPr>
        <w:t xml:space="preserve">, and not everyone is online; this is known as the digital divide. </w:t>
      </w:r>
    </w:p>
    <w:p w14:paraId="276E8BF4" w14:textId="77777777" w:rsidR="00787F73" w:rsidRDefault="00787F73" w:rsidP="00866155">
      <w:pPr>
        <w:rPr>
          <w:rFonts w:cs="Calibri"/>
        </w:rPr>
      </w:pPr>
    </w:p>
    <w:p w14:paraId="56FBCB35" w14:textId="4614DF58" w:rsidR="00787F73" w:rsidRDefault="00742FB7" w:rsidP="00866155">
      <w:r>
        <w:rPr>
          <w:rFonts w:cs="Calibri"/>
        </w:rPr>
        <w:t xml:space="preserve">The digital divide is discussed in greater detail in chapter 2.5; however, it reflects that not everyone within the UK can access or use social media, or the internet at all. Ofcom data suggests that in 2021, 94% of adults in the UK used the internet </w:t>
      </w:r>
      <w:r>
        <w:fldChar w:fldCharType="begin" w:fldLock="1"/>
      </w:r>
      <w:r>
        <w:rPr>
          <w:rFonts w:cs="Calibri"/>
        </w:rPr>
        <w:instrText>ADDIN CSL_CITATION {"citationItems":[{"id":"ITEM-1","itemData":{"author":[{"dropping-particle":"","family":"Ofcom","given":"","non-dropping-particle":"","parse-names":false,"suffix":""}],"id":"ITEM-1","issue":"June","issued":{"date-parts":[["2022"]]},"number-of-pages":"1-128","title":"Online Nation 2022 Report","type":"report"},"uris":["http://www.mendeley.com/documents/?uuid=c5bb2cc7-993f-4faa-af41-2c4e4df781d1"]}],"mendeley":{"formattedCitation":"(Ofcom, 2022)","plainTextFormattedCitation":"(Ofcom, 2022)","previouslyFormattedCitation":"(Ofcom, 2022)"},"properties":{"noteIndex":0},"schema":"https://github.com/citation-style-language/schema/raw/master/csl-citation.json"}</w:instrText>
      </w:r>
      <w:r>
        <w:rPr>
          <w:rFonts w:cs="Calibri"/>
        </w:rPr>
        <w:fldChar w:fldCharType="separate"/>
      </w:r>
      <w:r>
        <w:rPr>
          <w:rFonts w:cs="Calibri"/>
          <w:noProof/>
        </w:rPr>
        <w:t>(Ofcom, 2022)</w:t>
      </w:r>
      <w:r>
        <w:rPr>
          <w:rFonts w:cs="Calibri"/>
        </w:rPr>
        <w:fldChar w:fldCharType="end"/>
      </w:r>
      <w:r w:rsidR="00566E9B">
        <w:rPr>
          <w:rFonts w:cs="Calibri"/>
        </w:rPr>
        <w:t xml:space="preserve">. This </w:t>
      </w:r>
      <w:r>
        <w:rPr>
          <w:rFonts w:cs="Calibri"/>
        </w:rPr>
        <w:t xml:space="preserve">shows the potential benefit of using online methods, such as social media, to quickly reach larger numbers of the South Yorkshire community. However, not everyone who is online will be using social media, and if they are, they may not be following SYFR or exposed to their </w:t>
      </w:r>
      <w:r>
        <w:rPr>
          <w:rFonts w:cs="Calibri"/>
        </w:rPr>
        <w:lastRenderedPageBreak/>
        <w:t xml:space="preserve">content, as social media requires users to opt-in </w:t>
      </w:r>
      <w:r>
        <w:fldChar w:fldCharType="begin" w:fldLock="1"/>
      </w:r>
      <w:r>
        <w:rPr>
          <w:rFonts w:cs="Calibri"/>
        </w:rPr>
        <w:instrText>ADDIN CSL_CITATION {"citationItems":[{"id":"ITEM-1","itemData":{"author":[{"dropping-particle":"","family":"Cabinet Office","given":"","non-dropping-particle":"","parse-names":false,"suffix":""}],"chapter-number":"7","container-title":"Civil Contingencies Act Enhancement Programme","id":"ITEM-1","issue":"March","issued":{"date-parts":[["2012"]]},"number-of-pages":"1-60","publisher":"Cabinet Office","title":"Chapter 7 Communicating with the Public","type":"report"},"uris":["http://www.mendeley.com/documents/?uuid=f8762cb2-8b7c-4073-82c3-a7ff2320fdca"]}],"mendeley":{"formattedCitation":"(Cabinet Office, 2012)","plainTextFormattedCitation":"(Cabinet Office, 2012)","previouslyFormattedCitation":"(Cabinet Office, 2012)"},"properties":{"noteIndex":0},"schema":"https://github.com/citation-style-language/schema/raw/master/csl-citation.json"}</w:instrText>
      </w:r>
      <w:r>
        <w:rPr>
          <w:rFonts w:cs="Calibri"/>
        </w:rPr>
        <w:fldChar w:fldCharType="separate"/>
      </w:r>
      <w:r>
        <w:rPr>
          <w:rFonts w:cs="Calibri"/>
          <w:noProof/>
        </w:rPr>
        <w:t>(Cabinet Office, 2012)</w:t>
      </w:r>
      <w:r>
        <w:rPr>
          <w:rFonts w:cs="Calibri"/>
        </w:rPr>
        <w:fldChar w:fldCharType="end"/>
      </w:r>
      <w:r>
        <w:rPr>
          <w:rFonts w:cs="Calibri"/>
        </w:rPr>
        <w:t xml:space="preserve">. </w:t>
      </w:r>
      <w:r w:rsidR="00C84401">
        <w:rPr>
          <w:rFonts w:cs="Calibri"/>
        </w:rPr>
        <w:t>While</w:t>
      </w:r>
      <w:r>
        <w:rPr>
          <w:rFonts w:cs="Calibri"/>
        </w:rPr>
        <w:t xml:space="preserve"> there is a high percentage of the population using the internet, there is still 6% of the</w:t>
      </w:r>
      <w:r w:rsidR="00E37B0E">
        <w:rPr>
          <w:rFonts w:cs="Calibri"/>
        </w:rPr>
        <w:t xml:space="preserve"> UK</w:t>
      </w:r>
      <w:r>
        <w:rPr>
          <w:rFonts w:cs="Calibri"/>
        </w:rPr>
        <w:t xml:space="preserve"> population who are not online and are potentially being excluded </w:t>
      </w:r>
      <w:r w:rsidR="00F91947">
        <w:rPr>
          <w:rFonts w:cs="Calibri"/>
        </w:rPr>
        <w:t>from</w:t>
      </w:r>
      <w:r>
        <w:rPr>
          <w:rFonts w:cs="Calibri"/>
        </w:rPr>
        <w:t xml:space="preserve"> information, services, networks and more</w:t>
      </w:r>
      <w:r w:rsidR="00E37B0E">
        <w:rPr>
          <w:rFonts w:cs="Calibri"/>
        </w:rPr>
        <w:t xml:space="preserve"> </w:t>
      </w:r>
      <w:r w:rsidR="00E37B0E">
        <w:rPr>
          <w:rFonts w:cs="Calibri"/>
        </w:rPr>
        <w:fldChar w:fldCharType="begin" w:fldLock="1"/>
      </w:r>
      <w:r w:rsidR="00D177B9">
        <w:rPr>
          <w:rFonts w:cs="Calibri"/>
        </w:rPr>
        <w:instrText>ADDIN CSL_CITATION {"citationItems":[{"id":"ITEM-1","itemData":{"author":[{"dropping-particle":"","family":"Ofcom","given":"","non-dropping-particle":"","parse-names":false,"suffix":""}],"id":"ITEM-1","issue":"June","issued":{"date-parts":[["2022"]]},"number-of-pages":"1-128","title":"Online Nation 2022 Report","type":"report"},"uris":["http://www.mendeley.com/documents/?uuid=c5bb2cc7-993f-4faa-af41-2c4e4df781d1"]}],"mendeley":{"formattedCitation":"(Ofcom, 2022)","plainTextFormattedCitation":"(Ofcom, 2022)","previouslyFormattedCitation":"(Ofcom, 2022)"},"properties":{"noteIndex":0},"schema":"https://github.com/citation-style-language/schema/raw/master/csl-citation.json"}</w:instrText>
      </w:r>
      <w:r w:rsidR="00E37B0E">
        <w:rPr>
          <w:rFonts w:cs="Calibri"/>
        </w:rPr>
        <w:fldChar w:fldCharType="separate"/>
      </w:r>
      <w:r w:rsidR="00E37B0E" w:rsidRPr="00E37B0E">
        <w:rPr>
          <w:rFonts w:cs="Calibri"/>
          <w:noProof/>
        </w:rPr>
        <w:t>(Ofcom, 2022)</w:t>
      </w:r>
      <w:r w:rsidR="00E37B0E">
        <w:rPr>
          <w:rFonts w:cs="Calibri"/>
        </w:rPr>
        <w:fldChar w:fldCharType="end"/>
      </w:r>
      <w:r>
        <w:rPr>
          <w:rFonts w:cs="Calibri"/>
        </w:rPr>
        <w:t>. The research conducted on the digital divide suggests that it mirrors existing socio-economic divides within society</w:t>
      </w:r>
      <w:r w:rsidR="00EF3BFA">
        <w:rPr>
          <w:rFonts w:cs="Calibri"/>
        </w:rPr>
        <w:t>. T</w:t>
      </w:r>
      <w:r>
        <w:rPr>
          <w:rFonts w:cs="Calibri"/>
        </w:rPr>
        <w:t xml:space="preserve">he increasing focus on organisations using online resources, such as social media, </w:t>
      </w:r>
      <w:r w:rsidR="00EF3BFA">
        <w:rPr>
          <w:rFonts w:cs="Calibri"/>
        </w:rPr>
        <w:t xml:space="preserve">therefore </w:t>
      </w:r>
      <w:r>
        <w:rPr>
          <w:rFonts w:cs="Calibri"/>
        </w:rPr>
        <w:t xml:space="preserve">risks further marginalising these groups within society </w:t>
      </w:r>
      <w:r>
        <w:fldChar w:fldCharType="begin" w:fldLock="1"/>
      </w:r>
      <w:r>
        <w:rPr>
          <w:rFonts w:cs="Calibri"/>
        </w:rPr>
        <w:instrText>ADDIN CSL_CITATION {"citationItems":[{"id":"ITEM-1","itemData":{"DOI":"10.1093/iwc/iws020","ISSN":"0953-5438","author":[{"dropping-particle":"","family":"Choudrie","given":"J.","non-dropping-particle":"","parse-names":false,"suffix":""},{"dropping-particle":"","family":"Ghinea","given":"G.","non-dropping-particle":"","parse-names":false,"suffix":""},{"dropping-particle":"","family":"Songonuga","given":"V. N.","non-dropping-particle":"","parse-names":false,"suffix":""}],"container-title":"Interacting with Computers","id":"ITEM-1","issue":"6","issued":{"date-parts":[["2013"]]},"page":"417-442","title":"Silver Surfers, E-government and the Digital Divide: An Exploratory Study of UK Local Authority Websites and Older Citizens","type":"article-journal","volume":"25"},"uris":["http://www.mendeley.com/documents/?uuid=65de5e4a-2d3c-37bc-a80a-fb3ff61e4e27"]},{"id":"ITEM-2","itemData":{"DOI":"10.1016/J.GIQ.2008.05.004","ISSN":"0740-624X","abstract":"Theoretically and practically E-Government and the digital divide are intertwined social phenomena. Using sophisticated information technologies (IT) in government has little social value if citizens are not able to use services or interact in political processes in meaningful ways. Similarly, understanding the development and use of IT in government without incorporating a demand perspective would potentially lead to partial explanations of a complex social reality. This article argues that studies about E-Government and the digital divide, which have been relatively disconnected research areas, have important parallels and potential intersections. These parallels may be useful in understanding E-Government projects and policies in a more comprehensive way and, consequently, for developing effective digital strategies. The paper reviews trajectories in E-Government and digital divide research and suggests potential implications drawn from the digital divide literature for E-Government research and practice, including model and theory development, understanding users, and some determinants of demand.","author":[{"dropping-particle":"","family":"Helbig","given":"Natalie","non-dropping-particle":"","parse-names":false,"suffix":""},{"dropping-particle":"","family":"Gil-Garica","given":"Ramón","non-dropping-particle":"","parse-names":false,"suffix":""},{"dropping-particle":"","family":"Ferro","given":"Enrico","non-dropping-particle":"","parse-names":false,"suffix":""}],"container-title":"Government Information Quarterly","id":"ITEM-2","issue":"1","issued":{"date-parts":[["2009","1","1"]]},"note":"Good paper for e-governance","page":"89-97","publisher":"JAI","title":"Understanding the complexity of electronic government: Implications from the digital divide literature","type":"article-journal","volume":"26"},"uris":["http://www.mendeley.com/documents/?uuid=cb0afc40-7dfd-37c7-b592-2c1f36b2b17b"]},{"id":"ITEM-3","itemData":{"DOI":"10.2307/25145732","abstract":"E-governance comprises the use of information and communication technologies (ICTs) to support public services, government administration, democratic processes, and relationships among citizens, civil society, the private sector, and the state. Developed over more than two decades of technology innovation and policy response, the evolution of e-governance is examined in terms of five interrelated objectives: a policy framework, enhanced public services, high-quality and cost-effective government operations, citizen engagement in democratic processes, and administrative and institutional reform. This summary assessment of e-governance in U.S. states and local governments shows that the greatest investment and progress have been made in enhanced public services and improved government operations. Policy development has moved forward on several fronts, but new policy issues continually add to an increasingly complex set of concerns. The least progress appears to have occurred in enhancing democracy and exploring the implications of e-governance for administrative and institutional reform. ICT-enabled governance will continue to evolve for the foreseeable future providing a dynamic environment for ongoing learning and action.","author":[{"dropping-particle":"","family":"Dawes","given":"Sharon S.","non-dropping-particle":"","parse-names":false,"suffix":""}],"container-title":"Public Administration Review","id":"ITEM-3","issue":"S1","issued":{"date-parts":[["2008"]]},"page":"S86 - S102","publisher":"WileyAmerican Society for Public Administration","title":"The Evolution and Continuing Challenges of E-Governance","type":"article-journal","volume":"68"},"uris":["http://www.mendeley.com/documents/?uuid=3d411dc2-1fdc-3a39-97ae-697ad6d06a75"]}],"mendeley":{"formattedCitation":"(Choudrie, Ghinea, &amp; Songonuga, 2013; Helbig, Gil-Garica, &amp; Ferro, 2009; Dawes, 2008)","plainTextFormattedCitation":"(Choudrie, Ghinea, &amp; Songonuga, 2013; Helbig, Gil-Garica, &amp; Ferro, 2009; Dawes, 2008)","previouslyFormattedCitation":"(Choudrie, Ghinea, &amp; Songonuga, 2013; Helbig, Gil-Garica, &amp; Ferro, 2009; Dawes, 2008)"},"properties":{"noteIndex":0},"schema":"https://github.com/citation-style-language/schema/raw/master/csl-citation.json"}</w:instrText>
      </w:r>
      <w:r>
        <w:rPr>
          <w:rFonts w:cs="Calibri"/>
        </w:rPr>
        <w:fldChar w:fldCharType="separate"/>
      </w:r>
      <w:r>
        <w:rPr>
          <w:rFonts w:cs="Calibri"/>
          <w:noProof/>
        </w:rPr>
        <w:t>(Choudrie, Ghinea, &amp; Songonuga, 2013; Helbig, Gil-Garica, &amp; Ferro, 2009; Dawes, 2008)</w:t>
      </w:r>
      <w:r>
        <w:rPr>
          <w:rFonts w:cs="Calibri"/>
        </w:rPr>
        <w:fldChar w:fldCharType="end"/>
      </w:r>
      <w:r>
        <w:rPr>
          <w:rFonts w:cs="Calibri"/>
        </w:rPr>
        <w:t xml:space="preserve">. Within the context of disaster and risk communication, this is increasingly concerning as socio-economically marginalised people are often those most vulnerable to the effects of disasters </w:t>
      </w:r>
      <w:r>
        <w:fldChar w:fldCharType="begin" w:fldLock="1"/>
      </w:r>
      <w:r>
        <w:rPr>
          <w:rFonts w:cs="Calibri"/>
        </w:rPr>
        <w:instrText>ADDIN CSL_CITATION {"citationItems":[{"id":"ITEM-1","itemData":{"DOI":"10.4324/9780203848531","ISBN":"0203848535","abstract":"In this essay I develop the concept of vulnerability in order to argue for a more responsive state and a more egalitarian society. I argue that vulnerability is—and should be understood to be—universal and constant, inherent in the human condition. The vulnerability approach I propose is an alternative to traditional equal protection analysis; it is a “post-identity” inquiry in that it is not focused only on discrimination against defined groups, but concerned with privilege and favor conferred on limited segments of the population by the state and broader society through their institutions. As such, vulnerability analysis concentrates on the structures our society has and will establish to manage our common vulnerabilities. This approach has the potential to move us beyond the stifling confines of current discrimination-based models toward a more substantive vision of equality.","author":[{"dropping-particle":"","family":"Fineman","given":"Martha Albertson","non-dropping-particle":"","parse-names":false,"suffix":""}],"container-title":"Yale Journal of Law &amp; Feminism","id":"ITEM-1","issue":"1","issued":{"date-parts":[["2008"]]},"page":"1-23","title":"The vulnerable subject: Anchoring Equality in the human condition","type":"article-journal","volume":"20"},"uris":["http://www.mendeley.com/documents/?uuid=1f7897a0-330a-49d9-8024-cccf967dc0db"]},{"id":"ITEM-2","itemData":{"DOI":"10.1016/j.gloenvcha.2006.02.006","ISBN":"09593780","ISSN":"09593780","PMID":"17411427","abstract":"This paper reviews research traditions of vulnerability to environmental change and the challenges for present vulnerability research in integrating with the domains of resilience and adaptation. Vulnerability is the state of susceptibility to harm from exposure to stresses associated with environmental and social change and from the absence of capacity to adapt. Antecedent traditions include theories of vulnerability as entitlement failure and theories of hazard. Each of these areas has contributed to present formulations of vulnerability to environmental change as a characteristic of social-ecological systems linked to resilience. Research on vulnerability to the impacts of climate change spans all the antecedent and successor traditions. The challenges for vulnerability research are to develop robust and credible measures, to incorporate diverse methods that include perceptions of risk and vulnerability, and to incorporate governance research on the mechanisms that mediate vulnerability and promote adaptive action and resilience. These challenges are common to the domains of vulnerability, adaptation and resilience and form common ground for consilience and integration. © 2006 Elsevier Ltd. All rights reserved.","author":[{"dropping-particle":"","family":"Adger","given":"W. Neil","non-dropping-particle":"","parse-names":false,"suffix":""}],"container-title":"Global Environmental Change","id":"ITEM-2","issue":"3","issued":{"date-parts":[["2006"]]},"page":"268-281","title":"Vulnerability","type":"article-journal","volume":"16"},"uris":["http://www.mendeley.com/documents/?uuid=383408ed-e762-472c-99bf-36ab300b3b49"]},{"id":"ITEM-3","itemData":{"DOI":"10.1080/03003930.2019.1571999","ISSN":"17439388","abstract":"Scholars and practitioners have long noted the importance of community resilience to disaster recovery and environmental risk mitigation. Yet we know surprisingly little about how local residents perceive the resilience of their local communities, including how closely their perceptions align with objective measures of resilience or whether these perceptions affect community engagement and support for resilience building activities and policies. In this paper, we utilise the results of public opinion surveys of residents of four Texas coastal shoreline counties (Brazoria, Nueces, Galveston, and Cameron) to address this gap in the literature. The results reveal that perceptions of community preparedness largely reflect social trust and disaster awareness while perceptions of recovery reflect perceived risks and preparedness.","author":[{"dropping-particle":"","family":"Goidel","given":"Kirby","non-dropping-particle":"","parse-names":false,"suffix":""},{"dropping-particle":"","family":"Horney","given":"Jennifer A.","non-dropping-particle":"","parse-names":false,"suffix":""},{"dropping-particle":"","family":"Kellstedt","given":"Paul M.","non-dropping-particle":"","parse-names":false,"suffix":""},{"dropping-particle":"","family":"Sullivan","given":"Emily","non-dropping-particle":"","parse-names":false,"suffix":""},{"dropping-particle":"","family":"Brown","given":"Stephanie E.V.","non-dropping-particle":"","parse-names":false,"suffix":""}],"container-title":"Local Government Studies","id":"ITEM-3","issue":"3","issued":{"date-parts":[["2019"]]},"page":"413-432","title":"Perceptions of disaster resilience in four Texas coastal communities","type":"article-journal","volume":"45"},"uris":["http://www.mendeley.com/documents/?uuid=4033a276-60f2-438f-a557-0a555c5f96f4"]}],"mendeley":{"formattedCitation":"(Goidel et al., 2019; Fineman, 2008; Adger, 2006)","plainTextFormattedCitation":"(Goidel et al., 2019; Fineman, 2008; Adger, 2006)","previouslyFormattedCitation":"(Goidel et al., 2019; Fineman, 2008; Adger, 2006)"},"properties":{"noteIndex":0},"schema":"https://github.com/citation-style-language/schema/raw/master/csl-citation.json"}</w:instrText>
      </w:r>
      <w:r>
        <w:rPr>
          <w:rFonts w:cs="Calibri"/>
        </w:rPr>
        <w:fldChar w:fldCharType="separate"/>
      </w:r>
      <w:r>
        <w:rPr>
          <w:rFonts w:cs="Calibri"/>
          <w:noProof/>
        </w:rPr>
        <w:t>(Goidel et al., 2019; Fineman, 2008; Adger, 2006)</w:t>
      </w:r>
      <w:r>
        <w:rPr>
          <w:rFonts w:cs="Calibri"/>
        </w:rPr>
        <w:fldChar w:fldCharType="end"/>
      </w:r>
      <w:r>
        <w:rPr>
          <w:rFonts w:cs="Calibri"/>
        </w:rPr>
        <w:t xml:space="preserve">. </w:t>
      </w:r>
    </w:p>
    <w:p w14:paraId="2FA4919F" w14:textId="21FA277E" w:rsidR="00787F73" w:rsidRDefault="002D5EB1" w:rsidP="00866155">
      <w:r>
        <w:rPr>
          <w:rFonts w:cs="Calibri"/>
          <w:color w:val="000000"/>
        </w:rPr>
        <w:t xml:space="preserve">The digital divide highlights that people living close to each other can have differing experiences. This emphasises a challenge when using the term </w:t>
      </w:r>
      <w:r>
        <w:rPr>
          <w:rFonts w:cs="Calibri"/>
          <w:i/>
          <w:iCs/>
          <w:color w:val="000000"/>
        </w:rPr>
        <w:t>community</w:t>
      </w:r>
      <w:r>
        <w:rPr>
          <w:rFonts w:cs="Calibri"/>
          <w:color w:val="000000"/>
        </w:rPr>
        <w:t>,</w:t>
      </w:r>
      <w:r w:rsidR="00C84514">
        <w:rPr>
          <w:rFonts w:cs="Calibri"/>
          <w:color w:val="000000"/>
        </w:rPr>
        <w:t xml:space="preserve"> namely that</w:t>
      </w:r>
      <w:r>
        <w:rPr>
          <w:rFonts w:cs="Calibri"/>
          <w:color w:val="000000"/>
        </w:rPr>
        <w:t xml:space="preserve"> there needs to be an understanding that there is not one </w:t>
      </w:r>
      <w:r w:rsidR="0040407A" w:rsidRPr="0040407A">
        <w:rPr>
          <w:rFonts w:cs="Calibri"/>
        </w:rPr>
        <w:t>homogeneous</w:t>
      </w:r>
      <w:r w:rsidR="0040407A">
        <w:rPr>
          <w:rFonts w:cs="Calibri"/>
          <w:color w:val="000000"/>
        </w:rPr>
        <w:t xml:space="preserve"> </w:t>
      </w:r>
      <w:r>
        <w:rPr>
          <w:rFonts w:cs="Calibri"/>
          <w:color w:val="000000"/>
        </w:rPr>
        <w:t xml:space="preserve">lived experience </w:t>
      </w:r>
      <w:r>
        <w:fldChar w:fldCharType="begin" w:fldLock="1"/>
      </w:r>
      <w:r>
        <w:rPr>
          <w:rFonts w:cs="Calibri"/>
          <w:color w:val="000000"/>
        </w:rPr>
        <w:instrText>ADDIN CSL_CITATION {"citationItems":[{"id":"ITEM-1","itemData":{"DOI":"10.3390/soc8030071","ISSN":"2075-4698","abstract":"In all areas of academic or practical work related to disaster risk, climate change and development more generally, community and its adjunct community-based have become the default terminology when referring to the local level or working ‘with the people’. The terms are applied extensively to highlight what is believed to be a people-centred, participatory, or grassroot-level approach. Today, despite, or because of, its inherent ambiguity, ‘community’ tends to be used almost inflationarily. This paper aims to analyse the way the concept of ‘community’ has come into fashion, and to critically reflect on the problems that come with it. We are raising significant doubts about the usefulness of ‘community’ in development- and disaster-related work. Our approach is to first consider how ‘community’ has become popular in research and with humanitarian agencies and other organisations based on what can be considered a ‘moral licence’ that supposedly guarantees that the actions being taken are genuinely people-centred and ethically justified. We then explore several theoretical approaches to ‘community’, highlight the vast scope of different (and contested) views on what ‘community’ entails, and explain how ‘community’ is framing practical attempts to mitigate vulnerability and inequity. We demonstrate how these attempts are usually futile, and sometimes harmful, due to the blurriness of ‘community’ concepts and their inherent failure to address the root causes of vulnerability. From two antagonistic positions, we finally advocate more meaningful ways to acknowledge vulnerable people’s views and needs appropriately.","author":[{"dropping-particle":"","family":"Titz","given":"Alexandra","non-dropping-particle":"","parse-names":false,"suffix":""},{"dropping-particle":"","family":"Cannon","given":"Terry","non-dropping-particle":"","parse-names":false,"suffix":""},{"dropping-particle":"","family":"Krüger","given":"Fred","non-dropping-particle":"","parse-names":false,"suffix":""}],"container-title":"Societies","id":"ITEM-1","issue":"3","issued":{"date-parts":[["2018"]]},"page":"1 - 28","title":"Uncovering ‘Community’: Challenging an Elusive Concept in Development and Disaster Related Work","type":"article-journal","volume":"8"},"uris":["http://www.mendeley.com/documents/?uuid=f9599f8d-2339-4d46-9072-6514bdefdc30"]}],"mendeley":{"formattedCitation":"(Titz, Cannon, &amp; Krüger, 2018)","plainTextFormattedCitation":"(Titz, Cannon, &amp; Krüger, 2018)","previouslyFormattedCitation":"(Titz, Cannon, &amp; Krüger, 2018)"},"properties":{"noteIndex":0},"schema":"https://github.com/citation-style-language/schema/raw/master/csl-citation.json"}</w:instrText>
      </w:r>
      <w:r>
        <w:rPr>
          <w:rFonts w:cs="Calibri"/>
          <w:color w:val="000000"/>
        </w:rPr>
        <w:fldChar w:fldCharType="separate"/>
      </w:r>
      <w:r>
        <w:rPr>
          <w:rFonts w:cs="Calibri"/>
          <w:noProof/>
          <w:color w:val="000000"/>
        </w:rPr>
        <w:t>(Titz, Cannon, &amp; Krüger, 2018)</w:t>
      </w:r>
      <w:r>
        <w:rPr>
          <w:rFonts w:cs="Calibri"/>
          <w:color w:val="000000"/>
        </w:rPr>
        <w:fldChar w:fldCharType="end"/>
      </w:r>
      <w:r>
        <w:rPr>
          <w:rFonts w:cs="Calibri"/>
          <w:color w:val="000000"/>
        </w:rPr>
        <w:t xml:space="preserve">. Communities are made up of individuals with a variety of social intersections, such as race, gender, disability, sexuality, and so on </w:t>
      </w:r>
      <w:r>
        <w:fldChar w:fldCharType="begin" w:fldLock="1"/>
      </w:r>
      <w:r w:rsidR="00974B75">
        <w:rPr>
          <w:rFonts w:cs="Calibri"/>
          <w:color w:val="000000"/>
        </w:rPr>
        <w:instrText>ADDIN CSL_CITATION {"citationItems":[{"id":"ITEM-1","itemData":{"DOI":"10.1007/s11199-008-9504-5","ISBN":"0360-0025","ISSN":"03600025","PMID":"87372200","abstract":"This paper serves as a “best practices guide” for researchers interested in applying intersectionality theory to psychological research. Intersectionality, the mutually constitutive relations among social identities, presents several issues to researchers interested in applying it to research. I highlight three central issues and provide guidelines for how to address them. First, I discuss the constraints in the number of identities that researchers are able to test in an empirical study, and highlight relevant decision rules. Second, I discuss when to focus on “master” identities (e.g., gender) versus “emergent” identities (i.e., White lesbian). Third, I argue that treating identity as a process situated within social structural contexts facilitates the research process. I end with a brief discussion of the implications for the study of intersectionality.","author":[{"dropping-particle":"","family":"Warner","given":"Leah R.","non-dropping-particle":"","parse-names":false,"suffix":""}],"container-title":"Sex Roles","id":"ITEM-1","issued":{"date-parts":[["2008"]]},"page":"454-463","title":"A best practices guide to intersectional approaches in psychological research","type":"article-journal","volume":"59"},"uris":["http://www.mendeley.com/documents/?uuid=8e851e26-4ae8-4ad4-a56b-d76e0f8ea539"]},{"id":"ITEM-2","itemData":{"DOI":"10.1111/j.1467-9272.2007.00587.x","ISBN":"00330124","ISSN":"00330124","PMID":"23750159","abstract":"This article focuses on the concept of intersectionality, which is being used within the wider social sciences by feminists to theorize the relationship between different social categories: gender, race, sexuality, and so forth. Although research within the field of feminist geography has explored particular interconnections such as those between gender and race, the theoretical concept of intersectionality as debated in the wider social sciences has not been addressed. This article attempts to respond to that omission. It begins by tracing the emergence of debates about the interconnections between gender and other identities. It goes on to reflect on attempts tomap geometries of oppressions.Theemphasis thenmovesfromtheorizing intersectionality to questioninghowit can be researched in practice by presenting a case study to illustrate intersectionality as lived experience. The conclusion demonstrates the contribution that feminist geography can make to advance the theorization of intersectionality throughits appreciation of the significance of space in processes of subject formation. It calls for feminist geography to pay more attention to questions of power and social inequalities.","author":[{"dropping-particle":"","family":"Valentine","given":"Gill","non-dropping-particle":"","parse-names":false,"suffix":""}],"container-title":"The Professional Geographer","id":"ITEM-2","issue":"1","issued":{"date-parts":[["2007"]]},"page":"10 - 21","title":"Theorizing and Researching Intersectionality: A Challenge for Feminist Geography","type":"article-journal","volume":"59"},"uris":["http://www.mendeley.com/documents/?uuid=33533b8f-b858-4321-96f6-432feeb05d24"]},{"id":"ITEM-3","itemData":{"DOI":"10.4324/9780203578988","ISBN":"9780203578988","ISSN":"978-0-415-81890-2 (Hardcover); 978-0-203-57898-8 (Digital (undefined format))","PMID":"17972902","abstract":"This edited collection brings together many of the world's leading experts, both academic and practitioner, in a single volume handbook that examines key international issues in the field of hate crime. Collectively it examines a range of pertinent areas with the ultimate aim of providing a detailed picture of the hate crime 'problem' in different parts of the world. Offering a strong international focus and comprehensive coverage of a wide range of hate crime issues, this book is an important contribution to hate crime studies and will be essential reading for academics, students and practitioners interested in this field. The book is divided into four parts: An examination, covering theories and concepts, of issues relating to definitions of hate crime, the individual and community impacts of hate crime, the controversies of hate crime legislation and theoretical approaches to understanding offending. An exploration of the international geography of hate, in which each chapter examines a range of hate crime issues in different parts of the world, including the UK, wider Europe, North America, Australia and New Zealand. Reflections on a number of different perspectives across a range of key issues in hate crime, examining areas including particular issues affecting different victim groups, the increasingly important influence of the Internet and hate crimes in sport. A discussion of a range of international efforts being utilised to combat hate and hate crime. (PsycINFO Database Record (c) 2016 APA, all rights reserved)","author":[{"dropping-particle":"","family":"Mason-Bish","given":"Hannah","non-dropping-particle":"","parse-names":false,"suffix":""}],"chapter-number":"3","container-title":"The Routledge International Handbook on Hate Crime","editor":[{"dropping-particle":"","family":"Hall","given":"Nathan","non-dropping-particle":"","parse-names":false,"suffix":""},{"dropping-particle":"","family":"Corb","given":"Abbee","non-dropping-particle":"","parse-names":false,"suffix":""},{"dropping-particle":"","family":"Giannasi","given":"Paul","non-dropping-particle":"","parse-names":false,"suffix":""},{"dropping-particle":"","family":"Grieve","given":"John G D","non-dropping-particle":"","parse-names":false,"suffix":""}],"id":"ITEM-3","issued":{"date-parts":[["2014"]]},"page":"1-33","title":"Beyond the Silo","type":"chapter"},"uris":["http://www.mendeley.com/documents/?uuid=6a96c44a-dc08-4bfb-9a6b-c0bc3ef8505d"]},{"id":"ITEM-4","itemData":{"DOI":"10.1080/13698230701660220","ISBN":"1369-8230\\r1743-8772","ISSN":"1369-8230","PMID":"25650308","abstract":"The paper examines the effects of intersecting social divisions on constructions of multi-layered citizenships and the politics of belonging in contemporary Britain. It starts with conceptual clarifications of the notions of citizenship, belonging and intersectionality and then turns to examine contemporary politics of belonging in contemporary Britain, focus- ing on the current debate on the ‘death of multiculturalism’ and on ‘social cohesion’. It illus- trates how the use of civic and democratic values as signifiers of belonging can end up as exclusionary, rather than inclusionary in that discourse. K","author":[{"dropping-particle":"","family":"Yuval‐Davis","given":"Nira","non-dropping-particle":"","parse-names":false,"suffix":""}],"container-title":"Critical Review of International Social and Political Philosophy","id":"ITEM-4","issue":"4","issued":{"date-parts":[["2007"]]},"page":"561-574","title":"Intersectionality, Citizenship and Contemporary Politics of Belonging","type":"article-journal","volume":"10"},"uris":["http://www.mendeley.com/documents/?uuid=553a05d6-78f0-4a87-8a7f-d7dd1694f17a"]}],"mendeley":{"formattedCitation":"(Mason-Bish, 2014; Warner, 2008; Valentine, 2007; Yuval‐Davis, 2007)","manualFormatting":"(Mason-Bish, 2014; Warner, 2008; Valentine, 2007; Yuval‐Davis, 2007)","plainTextFormattedCitation":"(Mason-Bish, 2014; Warner, 2008; Valentine, 2007; Yuval‐Davis, 2007)","previouslyFormattedCitation":"(Mason-Bish, 2014; Warner, 2008; Valentine, 2007; Yuval‐Davis, 2007)"},"properties":{"noteIndex":0},"schema":"https://github.com/citation-style-language/schema/raw/master/csl-citation.json"}</w:instrText>
      </w:r>
      <w:r>
        <w:rPr>
          <w:rFonts w:cs="Calibri"/>
          <w:color w:val="000000"/>
        </w:rPr>
        <w:fldChar w:fldCharType="separate"/>
      </w:r>
      <w:r>
        <w:rPr>
          <w:rFonts w:cs="Calibri"/>
          <w:noProof/>
        </w:rPr>
        <w:t>(Mason-Bish, 2014; Warner, 2008; Valentine, 2007; Yuval‐Davis, 2007)</w:t>
      </w:r>
      <w:r>
        <w:rPr>
          <w:rFonts w:cs="Calibri"/>
          <w:color w:val="000000"/>
        </w:rPr>
        <w:fldChar w:fldCharType="end"/>
      </w:r>
      <w:r>
        <w:rPr>
          <w:rFonts w:cs="Calibri"/>
        </w:rPr>
        <w:t xml:space="preserve">. For this reason, I chose an interpretivist approach for the project </w:t>
      </w:r>
      <w:r>
        <w:fldChar w:fldCharType="begin" w:fldLock="1"/>
      </w:r>
      <w:r w:rsidR="00974B75">
        <w:rPr>
          <w:rFonts w:cs="Calibri"/>
        </w:rPr>
        <w:instrText>ADDIN CSL_CITATION {"citationItems":[{"id":"ITEM-1","itemData":{"DOI":"10.1080/09523367.2012.743996","ISBN":"9780273716860","ISSN":"09523367","abstract":"A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students","edition":"Eighth","id":"ITEM-1","issued":{"date-parts":[["2019"]]},"page":"128 - 170","publisher":"Pearson Eduction Limited","publisher-place":"Harlow","title":"Understanding research philosophy and approaches to theory development","type":"chapter"},"uris":["http://www.mendeley.com/documents/?uuid=33ddb5a7-9d6f-4773-8236-6d048f22a52e"]},{"id":"ITEM-2","itemData":{"ISBN":"0199689458","abstract":"Fifth edition. \"This best-selling introduction to research methods provides students and researchers with unrivalled coverage of both quantitative and qualitative methods, making it invaluable for anyone embarking on social research. Bridging the gap between theory and practice, Social Research Methods is packed full of engaging examples and practical tips to equip students with the tools and knowledge needed for them to complete their own research projects. In addition to providing practical advice, Bryman deftly explores the nature of social research and the wider issues impinging on it.\" -- Provided by publisher. The research process -- Quantitative research -- Qualitative research -- Mixed methods research and writing up.","author":[{"dropping-particle":"","family":"Bryman","given":"Alan.","non-dropping-particle":"","parse-names":false,"suffix":""}],"edition":"5th","id":"ITEM-2","issued":{"date-parts":[["2016"]]},"publisher":"Oxford University Press","publisher-place":"Oxford","title":"Social research methods","type":"book"},"uris":["http://www.mendeley.com/documents/?uuid=95b0a038-2e81-3fd8-bae3-09bc0ecf7a2c"]},{"id":"ITEM-3","itemData":{"author":[{"dropping-particle":"","family":"Bechara","given":"John P","non-dropping-particle":"","parse-names":false,"suffix":""},{"dropping-particle":"","family":"Ven","given":"Andrew H","non-dropping-particle":"Van De","parse-names":false,"suffix":""}],"chapter-number":"2","container-title":"Engaged Scholarship: A Guide for Organizational and Social Research","editor":[{"dropping-particle":"","family":"Ven","given":"Andrew H","non-dropping-particle":"Van De","parse-names":false,"suffix":""}],"id":"ITEM-3","issued":{"date-parts":[["2007"]]},"page":"36-70","publisher":"Oxford University Press","publisher-place":"Oxford","title":"Philosophy of Science Underlying Engaged Scholarship*","type":"chapter"},"uris":["http://www.mendeley.com/documents/?uuid=67dec568-d096-43b0-85a7-08cf93a8eac0"]},{"id":"ITEM-4","itemData":{"author":[{"dropping-particle":"","family":"Creswell","given":"John W.","non-dropping-particle":"","parse-names":false,"suffix":""}],"edition":"Second","id":"ITEM-4","issued":{"date-parts":[["2003"]]},"publisher":"SAGE Publications","publisher-place":"Thousand Oaks","title":"Research Design: Qualitative, Quantitative, and Mixed Methods Approaches","type":"book"},"uris":["http://www.mendeley.com/documents/?uuid=28f56ad9-a9fb-4b34-9127-4f825815566b"]}],"mendeley":{"formattedCitation":"(Saunders, Lewis, &amp; Thornhill, 2019; Bryman, 2016; Bechara &amp; Van De Ven, 2007; Creswell, 2003)","plainTextFormattedCitation":"(Saunders, Lewis, &amp; Thornhill, 2019; Bryman, 2016; Bechara &amp; Van De Ven, 2007; Creswell, 2003)","previouslyFormattedCitation":"(Saunders, Lewis, &amp; Thornhill, 2019; Bryman, 2016; Bechara &amp; Van De Ven, 2007; Creswell, 2003)"},"properties":{"noteIndex":0},"schema":"https://github.com/citation-style-language/schema/raw/master/csl-citation.json"}</w:instrText>
      </w:r>
      <w:r>
        <w:rPr>
          <w:rFonts w:cs="Calibri"/>
        </w:rPr>
        <w:fldChar w:fldCharType="separate"/>
      </w:r>
      <w:r>
        <w:rPr>
          <w:rFonts w:cs="Calibri"/>
          <w:noProof/>
        </w:rPr>
        <w:t>(Saunders, Lewis, &amp; Thornhill, 2019; Bryman, 2016; Bechara &amp; Van De Ven, 2007; Creswell, 2003)</w:t>
      </w:r>
      <w:r>
        <w:rPr>
          <w:rFonts w:cs="Calibri"/>
        </w:rPr>
        <w:fldChar w:fldCharType="end"/>
      </w:r>
      <w:r>
        <w:rPr>
          <w:rFonts w:cs="Calibri"/>
        </w:rPr>
        <w:t>.</w:t>
      </w:r>
    </w:p>
    <w:p w14:paraId="57735115" w14:textId="77777777" w:rsidR="00787F73" w:rsidRDefault="00787F73" w:rsidP="00866155">
      <w:pPr>
        <w:rPr>
          <w:rFonts w:cs="Calibri"/>
        </w:rPr>
      </w:pPr>
    </w:p>
    <w:p w14:paraId="7DFA880A" w14:textId="64D0A147" w:rsidR="00787F73" w:rsidRDefault="00742FB7" w:rsidP="00866155">
      <w:r>
        <w:rPr>
          <w:rFonts w:cs="Calibri"/>
        </w:rPr>
        <w:t>This philosophical approach is important to highlight as often</w:t>
      </w:r>
      <w:r w:rsidR="00EB59D1">
        <w:rPr>
          <w:rFonts w:cs="Calibri"/>
        </w:rPr>
        <w:t>,</w:t>
      </w:r>
      <w:r>
        <w:rPr>
          <w:rFonts w:cs="Calibri"/>
        </w:rPr>
        <w:t xml:space="preserve"> when discussing the use of social media</w:t>
      </w:r>
      <w:r w:rsidR="00EB59D1">
        <w:rPr>
          <w:rFonts w:cs="Calibri"/>
        </w:rPr>
        <w:t>,</w:t>
      </w:r>
      <w:r>
        <w:rPr>
          <w:rFonts w:cs="Calibri"/>
        </w:rPr>
        <w:t xml:space="preserve">  a positivist approach</w:t>
      </w:r>
      <w:r w:rsidR="00EB59D1">
        <w:rPr>
          <w:rFonts w:cs="Calibri"/>
        </w:rPr>
        <w:t xml:space="preserve"> is used</w:t>
      </w:r>
      <w:r>
        <w:rPr>
          <w:rFonts w:cs="Calibri"/>
        </w:rPr>
        <w:t xml:space="preserve">, specifically focusing on the metrics. The </w:t>
      </w:r>
      <w:r>
        <w:rPr>
          <w:rFonts w:cs="Calibri"/>
          <w:i/>
          <w:iCs/>
        </w:rPr>
        <w:t>metrics</w:t>
      </w:r>
      <w:r>
        <w:rPr>
          <w:rFonts w:cs="Calibri"/>
        </w:rPr>
        <w:t xml:space="preserve"> refer to the social media’s algorithms which count the number of accounts which have viewed or </w:t>
      </w:r>
      <w:r>
        <w:rPr>
          <w:rFonts w:cs="Calibri"/>
          <w:i/>
          <w:iCs/>
        </w:rPr>
        <w:t xml:space="preserve">engaged </w:t>
      </w:r>
      <w:r>
        <w:rPr>
          <w:rFonts w:cs="Calibri"/>
        </w:rPr>
        <w:t xml:space="preserve">with the content. </w:t>
      </w:r>
      <w:r w:rsidR="00C84514">
        <w:rPr>
          <w:rFonts w:cs="Calibri"/>
        </w:rPr>
        <w:t xml:space="preserve">These figures place a quantitative measurement on engagement, which is discussed in greater detail in chapter 6. </w:t>
      </w:r>
      <w:r w:rsidR="00C84401">
        <w:rPr>
          <w:rFonts w:cs="Calibri"/>
        </w:rPr>
        <w:t>While</w:t>
      </w:r>
      <w:r w:rsidR="005A3506">
        <w:rPr>
          <w:rFonts w:cs="Calibri"/>
        </w:rPr>
        <w:t xml:space="preserve"> these numbers can show the different accounts interacting with SYFR</w:t>
      </w:r>
      <w:r w:rsidR="00EB59D1">
        <w:rPr>
          <w:rFonts w:cs="Calibri"/>
        </w:rPr>
        <w:t>’</w:t>
      </w:r>
      <w:r w:rsidR="005A3506">
        <w:rPr>
          <w:rFonts w:cs="Calibri"/>
        </w:rPr>
        <w:t xml:space="preserve">s social media content, it does not provide the full picture. This thesis is using an interpretivist approach, which focuses on the variation in perception and experiences of people </w:t>
      </w:r>
      <w:r w:rsidR="005A3506">
        <w:rPr>
          <w:rFonts w:cs="Calibri"/>
        </w:rPr>
        <w:fldChar w:fldCharType="begin" w:fldLock="1"/>
      </w:r>
      <w:r w:rsidR="00753B56">
        <w:rPr>
          <w:rFonts w:cs="Calibri"/>
        </w:rPr>
        <w:instrText>ADDIN CSL_CITATION {"citationItems":[{"id":"ITEM-1","itemData":{"DOI":"10.1080/09523367.2012.743996","ISBN":"9780273716860","ISSN":"09523367","abstract":"A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students","edition":"Eighth","id":"ITEM-1","issued":{"date-parts":[["2019"]]},"page":"128 - 170","publisher":"Pearson Eduction Limited","publisher-place":"Harlow","title":"Understanding research philosophy and approaches to theory development","type":"chapter"},"uris":["http://www.mendeley.com/documents/?uuid=33ddb5a7-9d6f-4773-8236-6d048f22a52e"]},{"id":"ITEM-2","itemData":{"DOI":"10.1111/cobi.12326","ISSN":"08888892","abstract":"Abstract: Natural scientists are increasingly interested in social research because they recognize that conservation problems are commonly social problems. Interpreting social research, however, requires at least a basic understanding of the philosophical principles and theoretical assumptions of the discipline, which are embedded in the design of social research. Natural scientists who engage in social science but are unfamiliar with these principles and assumptions can misinterpret their results. We developed a guide to assist natural scientists in understanding the philosophical basis of social science to support the meaningful interpretation of social research outcomes. The 3 fundamental elements of research are ontology, what exists in the human world that researchers can acquire knowledge about; epistemology, how knowledge is created; and philosophical perspective, the philosophical orientation of the researcher that guides her or his action. Many elements of the guide also apply to the natural sciences. Natural scientists can use the guide to assist them in interpreting social science research to determine how the ontological position of the researcher can influence the nature of the research; how the epistemological position can be used to support the legitimacy of different types of knowledge; and how philosophical perspective can shape the researcher’s choice of methods and affect interpretation, communication, and application of results. The use of this guide can also support and promote the effective integration of the natural and social sciences to generate more insightful and relevant conservation research outcomes.","author":[{"dropping-particle":"","family":"Moon","given":"Katie","non-dropping-particle":"","parse-names":false,"suffix":""},{"dropping-particle":"","family":"Blackman","given":"Deborah","non-dropping-particle":"","parse-names":false,"suffix":""}],"container-title":"Conservation Biology","id":"ITEM-2","issue":"5","issued":{"date-parts":[["2014","10","1"]]},"page":"1167-1177","title":"A Guide to Understanding Social Science Research for Natural Scientists","type":"article-journal","volume":"28"},"uris":["http://www.mendeley.com/documents/?uuid=6b40e2b1-1646-3904-ac30-5c410eb30472"]}],"mendeley":{"formattedCitation":"(Saunders, Lewis, &amp; Thornhill, 2019; Moon &amp; Blackman, 2014)","plainTextFormattedCitation":"(Saunders, Lewis, &amp; Thornhill, 2019; Moon &amp; Blackman, 2014)","previouslyFormattedCitation":"(Saunders, Lewis, &amp; Thornhill, 2019; Moon &amp; Blackman, 2014)"},"properties":{"noteIndex":0},"schema":"https://github.com/citation-style-language/schema/raw/master/csl-citation.json"}</w:instrText>
      </w:r>
      <w:r w:rsidR="005A3506">
        <w:rPr>
          <w:rFonts w:cs="Calibri"/>
        </w:rPr>
        <w:fldChar w:fldCharType="separate"/>
      </w:r>
      <w:r w:rsidR="005A3506" w:rsidRPr="005A3506">
        <w:rPr>
          <w:rFonts w:cs="Calibri"/>
          <w:noProof/>
        </w:rPr>
        <w:t>(Saunders, Lewis, &amp; Thornhill, 2019; Moon &amp; Blackman, 2014)</w:t>
      </w:r>
      <w:r w:rsidR="005A3506">
        <w:rPr>
          <w:rFonts w:cs="Calibri"/>
        </w:rPr>
        <w:fldChar w:fldCharType="end"/>
      </w:r>
      <w:r w:rsidR="005A3506">
        <w:rPr>
          <w:rFonts w:cs="Calibri"/>
        </w:rPr>
        <w:t xml:space="preserve">. </w:t>
      </w:r>
      <w:r w:rsidR="00B034BC">
        <w:rPr>
          <w:rFonts w:cs="Calibri"/>
        </w:rPr>
        <w:t>F</w:t>
      </w:r>
      <w:r w:rsidR="005A3506">
        <w:rPr>
          <w:rFonts w:cs="Calibri"/>
        </w:rPr>
        <w:t>ocusing on metrics</w:t>
      </w:r>
      <w:r w:rsidR="0029662E">
        <w:rPr>
          <w:rFonts w:cs="Calibri"/>
        </w:rPr>
        <w:t xml:space="preserve"> does not provide the full picture </w:t>
      </w:r>
      <w:r w:rsidR="00B034BC">
        <w:rPr>
          <w:rFonts w:cs="Calibri"/>
        </w:rPr>
        <w:t xml:space="preserve">surrounding community engagement, </w:t>
      </w:r>
      <w:r w:rsidR="0029662E">
        <w:rPr>
          <w:rFonts w:cs="Calibri"/>
        </w:rPr>
        <w:t xml:space="preserve">and </w:t>
      </w:r>
      <w:r w:rsidR="005A3506">
        <w:rPr>
          <w:rFonts w:cs="Calibri"/>
        </w:rPr>
        <w:t>t</w:t>
      </w:r>
      <w:r>
        <w:rPr>
          <w:rFonts w:cs="Calibri"/>
        </w:rPr>
        <w:t>he</w:t>
      </w:r>
      <w:r w:rsidR="00C84514">
        <w:rPr>
          <w:rFonts w:cs="Calibri"/>
        </w:rPr>
        <w:t>refore these</w:t>
      </w:r>
      <w:r>
        <w:rPr>
          <w:rFonts w:cs="Calibri"/>
        </w:rPr>
        <w:t xml:space="preserve"> terms and algorithms can be misleading </w:t>
      </w:r>
      <w:r>
        <w:fldChar w:fldCharType="begin" w:fldLock="1"/>
      </w:r>
      <w:r>
        <w:rPr>
          <w:rFonts w:cs="Calibri"/>
        </w:rPr>
        <w:instrText>ADDIN CSL_CITATION {"citationItems":[{"id":"ITEM-1","itemData":{"DOI":"10.1080/10410236.2016.1242035","ISSN":"15327027","abstract":"The past decade has witnessed a rapid increase in the use of Social Networking Sites (SNSs) in health communication campaigns seeking to achieve an ambitious range of health-related impacts. This article provides a review of 40 studies and research protocols, with a focus on two key factors that differentiate SNSs from more traditional health communication approaches of the past. The first is the potential dualism between message sender and receiver, in which receivers become receiver-sources who forward and amplify the content and reach of health messages. The second is the potential dualism between message and message impact, in which the act of forwarding and modifying messages by receiver-sources itself becomes a measure of message impact. Each of these dualisms has implications for the design and evaluation of contemporary health communication campaigns. The review concludes with a series of observations and recommendations for future health communication research.","author":[{"dropping-particle":"","family":"Shi","given":"Jingyuan","non-dropping-particle":"","parse-names":false,"suffix":""},{"dropping-particle":"","family":"Poorisat","given":"Thanomwong","non-dropping-particle":"","parse-names":false,"suffix":""},{"dropping-particle":"","family":"Salmon","given":"Charles T.","non-dropping-particle":"","parse-names":false,"suffix":""}],"container-title":"Health Communication","id":"ITEM-1","issue":"1","issued":{"date-parts":[["2018"]]},"page":"49-56","publisher":"Routledge","title":"The Use of Social Networking Sites (SNSs) in Health Communication Campaigns: Review and Recommendations","type":"article-journal","volume":"33"},"uris":["http://www.mendeley.com/documents/?uuid=e3561fe4-28da-4d20-9a8e-4f55319bff65"]},{"id":"ITEM-2","itemData":{"DOI":"10.1371/journal.pone.0162765","ISSN":"19326203","abstract":"Facebook, the most widely used social media platform, has been adopted by public health organisations for health promotion and behaviour change campaigns and activities. However, limited information is available on the most effective and efficient use of Facebook for this purpose. This study sought to identify the features of Facebook posts that are associated with higher user engagement on Australian public health organisations' Facebook pages. We selected 20 eligible pages through a systematic search and coded 360-days of posts for each page. Posts were coded by: post type (e.g., photo, text only etc.), communication technique employed (e.g. testimonial, informative etc.) and use of marketing elements (e.g., branding, use of mascots). A series of negative binomial regressions were used to assess associations between post characteristics and user engagement as measured by the number of likes, shares and comments. Our results showed that video posts attracted the greatest amount of user engagement, although an analysis of a subset of the data suggested this may be a reflection of the Facebook algorithm, which governs what is and is not shown in user newsfeeds and appear to preference videos over other post types. Posts that featured a positive emotional appeal or provided factual information attracted higher levels of user engagement, while conventional marketing elements, such as sponsorships and the use of persons of authority, generally discouraged user engagement, with the exception of posts that included a celebrity or sportsperson. Our results give insight into post content that maximises user engagement and begins to fill the knowledge gap on effective use of Facebook by public health organisations.","author":[{"dropping-particle":"","family":"Kite","given":"James","non-dropping-particle":"","parse-names":false,"suffix":""},{"dropping-particle":"","family":"Foley","given":"Bridget C.","non-dropping-particle":"","parse-names":false,"suffix":""},{"dropping-particle":"","family":"Grunseit","given":"Anne C.","non-dropping-particle":"","parse-names":false,"suffix":""},{"dropping-particle":"","family":"Freeman","given":"Becky","non-dropping-particle":"","parse-names":false,"suffix":""}],"container-title":"PLoS ONE","id":"ITEM-2","issue":"9","issued":{"date-parts":[["2016"]]},"page":"1-16","title":"Please like me: Facebook and public health communication","type":"article-journal","volume":"11"},"uris":["http://www.mendeley.com/documents/?uuid=f74377df-9fe0-4362-a0e9-009cfbcd65bb"]}],"mendeley":{"formattedCitation":"(Shi, Poorisat, &amp; Salmon, 2018; Kite et al., 2016)","plainTextFormattedCitation":"(Shi, Poorisat, &amp; Salmon, 2018; Kite et al., 2016)","previouslyFormattedCitation":"(Shi, Poorisat, &amp; Salmon, 2018; Kite et al., 2016)"},"properties":{"noteIndex":0},"schema":"https://github.com/citation-style-language/schema/raw/master/csl-citation.json"}</w:instrText>
      </w:r>
      <w:r>
        <w:rPr>
          <w:rFonts w:cs="Calibri"/>
        </w:rPr>
        <w:fldChar w:fldCharType="separate"/>
      </w:r>
      <w:r>
        <w:rPr>
          <w:rFonts w:cs="Calibri"/>
          <w:noProof/>
        </w:rPr>
        <w:t>(Shi, Poorisat, &amp; Salmon, 2018; Kite et al., 2016)</w:t>
      </w:r>
      <w:r>
        <w:rPr>
          <w:rFonts w:cs="Calibri"/>
        </w:rPr>
        <w:fldChar w:fldCharType="end"/>
      </w:r>
      <w:r w:rsidR="005A3506">
        <w:rPr>
          <w:rFonts w:cs="Calibri"/>
        </w:rPr>
        <w:t xml:space="preserve">. This </w:t>
      </w:r>
      <w:r>
        <w:rPr>
          <w:rFonts w:cs="Calibri"/>
        </w:rPr>
        <w:t xml:space="preserve">is discussed in greater detail in chapter </w:t>
      </w:r>
      <w:r w:rsidR="00495908">
        <w:rPr>
          <w:rFonts w:cs="Calibri"/>
        </w:rPr>
        <w:t>6</w:t>
      </w:r>
      <w:r w:rsidR="00C84514">
        <w:rPr>
          <w:rFonts w:cs="Calibri"/>
        </w:rPr>
        <w:t xml:space="preserve"> </w:t>
      </w:r>
      <w:r w:rsidR="00495908">
        <w:rPr>
          <w:rFonts w:cs="Calibri"/>
        </w:rPr>
        <w:t>(section 6.2)</w:t>
      </w:r>
      <w:r>
        <w:rPr>
          <w:rFonts w:cs="Calibri"/>
        </w:rPr>
        <w:t xml:space="preserve">. </w:t>
      </w:r>
    </w:p>
    <w:p w14:paraId="6C488701" w14:textId="32C80E30" w:rsidR="00787F73" w:rsidRDefault="00C84401" w:rsidP="00866155">
      <w:r>
        <w:rPr>
          <w:rFonts w:cs="Calibri"/>
        </w:rPr>
        <w:lastRenderedPageBreak/>
        <w:t>While</w:t>
      </w:r>
      <w:r w:rsidR="00742FB7">
        <w:rPr>
          <w:rFonts w:cs="Calibri"/>
        </w:rPr>
        <w:t xml:space="preserve"> the metrics can be misleading, there are benefits to social media, such as the access to their audience. With legacy media groups (TV, radio, and newspaper), organisations such as SYFR need to create content that will be cleared and published by the</w:t>
      </w:r>
      <w:r w:rsidR="001662CC">
        <w:rPr>
          <w:rFonts w:cs="Calibri"/>
        </w:rPr>
        <w:t>se media’s</w:t>
      </w:r>
      <w:r w:rsidR="00742FB7">
        <w:rPr>
          <w:rFonts w:cs="Calibri"/>
        </w:rPr>
        <w:t xml:space="preserve"> internal gatekeepers (editors); this requires the material to fit with the aims, narrative, and institutional logics of the legacy media channel. Social media differs from this, with the account holder being able to communicate with their followers in a largely unfiltered and direct manner. This increased control over their content means their messages are designed and created based not only on an organisation’s aims and objectives but are also imbued with wider institutional drivers (discussed in chapter 2.1). For this reason, I chose to use institutional theory as one of the main theories to examine SYFR’s use of social media. </w:t>
      </w:r>
    </w:p>
    <w:bookmarkEnd w:id="26"/>
    <w:p w14:paraId="3570244E" w14:textId="77777777" w:rsidR="00787F73" w:rsidRDefault="00787F73" w:rsidP="00866155">
      <w:pPr>
        <w:rPr>
          <w:rFonts w:cs="Calibri"/>
        </w:rPr>
      </w:pPr>
    </w:p>
    <w:p w14:paraId="2A2D9064" w14:textId="55967445" w:rsidR="00787F73" w:rsidRDefault="00742FB7" w:rsidP="00866155">
      <w:pPr>
        <w:pStyle w:val="Heading2"/>
      </w:pPr>
      <w:bookmarkStart w:id="36" w:name="_Hlk1346325631"/>
      <w:bookmarkStart w:id="37" w:name="_Toc153554293"/>
      <w:bookmarkStart w:id="38" w:name="_Toc193367174"/>
      <w:bookmarkEnd w:id="36"/>
      <w:r>
        <w:rPr>
          <w:rFonts w:ascii="Calibri" w:hAnsi="Calibri" w:cs="Calibri"/>
        </w:rPr>
        <w:t>1.</w:t>
      </w:r>
      <w:r w:rsidR="00C24152">
        <w:rPr>
          <w:rFonts w:ascii="Calibri" w:hAnsi="Calibri" w:cs="Calibri"/>
        </w:rPr>
        <w:t>6</w:t>
      </w:r>
      <w:r>
        <w:rPr>
          <w:rFonts w:ascii="Calibri" w:hAnsi="Calibri" w:cs="Calibri"/>
        </w:rPr>
        <w:t>: Theoretical framing</w:t>
      </w:r>
      <w:bookmarkEnd w:id="37"/>
      <w:bookmarkEnd w:id="38"/>
    </w:p>
    <w:p w14:paraId="31090DD1" w14:textId="24A81901" w:rsidR="00787F73" w:rsidRDefault="00742FB7" w:rsidP="00866155">
      <w:pPr>
        <w:rPr>
          <w:rFonts w:cs="Calibri"/>
        </w:rPr>
      </w:pPr>
      <w:r>
        <w:rPr>
          <w:rFonts w:cs="Calibri"/>
        </w:rPr>
        <w:t>This thesis focuses on the societal challenge of building resilience, which highlights the need for an interpretivist approach</w:t>
      </w:r>
      <w:r w:rsidR="00F124CA">
        <w:rPr>
          <w:rFonts w:cs="Calibri"/>
        </w:rPr>
        <w:t>. This approach was chosen as</w:t>
      </w:r>
      <w:r>
        <w:rPr>
          <w:rFonts w:cs="Calibri"/>
        </w:rPr>
        <w:t xml:space="preserve"> people and communities are not </w:t>
      </w:r>
      <w:r w:rsidR="0040407A" w:rsidRPr="0040407A">
        <w:rPr>
          <w:rFonts w:cs="Calibri"/>
        </w:rPr>
        <w:t>homogeneous</w:t>
      </w:r>
      <w:r w:rsidR="0040407A">
        <w:rPr>
          <w:rFonts w:cs="Calibri"/>
        </w:rPr>
        <w:t xml:space="preserve"> </w:t>
      </w:r>
      <w:r>
        <w:rPr>
          <w:rFonts w:cs="Calibri"/>
        </w:rPr>
        <w:t>but contain a variety of lived experiences. This means that when examining a phenomenon such as community resilience, there needs to be a theoretical framing which adequately recognises the nuances of different lived experiences. For this reason, I chose to draw upon two theoretical perspectives: institutional</w:t>
      </w:r>
      <w:r w:rsidR="00EB59D1">
        <w:rPr>
          <w:rFonts w:cs="Calibri"/>
        </w:rPr>
        <w:t>;</w:t>
      </w:r>
      <w:r>
        <w:rPr>
          <w:rFonts w:cs="Calibri"/>
        </w:rPr>
        <w:t xml:space="preserve"> and communication. As this project is examining an organisation (SYFR) and their communication strategy, it is pertinent to examine what leads to that strategy, how it is framed, and why they communicate in that manner; this draws on the institutional logics literature. The institutional logics literature examines how institutions influence an organisation’s practices, assumptions, values, and beliefs </w:t>
      </w:r>
      <w:r>
        <w:fldChar w:fldCharType="begin" w:fldLock="1"/>
      </w:r>
      <w:r w:rsidR="00D177B9">
        <w:rPr>
          <w:rFonts w:cs="Calibri"/>
        </w:rPr>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Process","type":"book"},"uris":["http://www.mendeley.com/documents/?uuid=7afe7588-cd0b-4a95-b78a-3214c1130169"]},{"id":"ITEM-2","itemData":{"DOI":"10.1177/017084069701800204","ISBN":"01708406","ISSN":"0170-8406","PMID":"9707225788","abstract":"The focus of this paper is to examine the responses to institutional isomorph ism in one area of the public sector — universities. As an example, one particu lar organizational practice is examined — performance appraisal — and its implications for one group of professionals — academics. In doing so, some of the sources of variation in responses to institutional pressures are illustrated and the strategies of resistance actors engage in to resist such pressures. It is suggested that the concept of institutional logic is an important element in influencing responses to isomorphism, providing a repertoire of beliefs with which to contest concepts of legitimacy.","author":[{"dropping-particle":"","family":"Townley","given":"Barbara","non-dropping-particle":"","parse-names":false,"suffix":""}],"container-title":"Organization Studies","id":"ITEM-2","issue":"2","issued":{"date-parts":[["1997"]]},"page":"261-285","title":"Logic of Performance Appraisal","type":"article-journal","volume":"18"},"uris":["http://www.mendeley.com/documents/?uuid=3956e178-7c7b-4649-90dd-0750fde9fde0"]},{"id":"ITEM-3","itemData":{"DOI":"10.1108/S0733-558X201600048A001","author":[{"dropping-particle":"","family":"Glaser","given":"Vern L","non-dropping-particle":"","parse-names":false,"suffix":""},{"dropping-particle":"","family":"Fast","given":"Nathanael J","non-dropping-particle":"","parse-names":false,"suffix":""},{"dropping-particle":"","family":"Harmon","given":"Derek J","non-dropping-particle":"","parse-names":false,"suffix":""},{"dropping-particle":"","family":"Green","given":"Sandy E","non-dropping-particle":"","parse-names":false,"suffix":""}],"chapter-number":"2","container-title":"How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-3","issued":{"date-parts":[["2016"]]},"page":"35-70","publisher":"Emerald Group Publishing Limited","title":"Institutional Frame Switching: How Institutional Logics Shape Individual Action","type":"chapter","volume":"48A"},"uris":["http://www.mendeley.com/documents/?uuid=8ac9f37b-5be1-4297-bd70-0abc13a22de3"]},{"id":"ITEM-4","itemData":{"DOI":"10.1177/1476127015625040","author":[{"dropping-particle":"","family":"Ocasio","given":"William","non-dropping-particle":"","parse-names":false,"suffix":""},{"dropping-particle":"","family":"Radoynovska","given":"Nevena","non-dropping-particle":"","parse-names":false,"suffix":""}],"container-title":"Strategic Organization","id":"ITEM-4","issue":"4","issued":{"date-parts":[["2016"]]},"page":"287 - 309","title":"Strategy and commitments to institutional logics : Organizational heterogeneity in business models and governance","type":"article-journal","volume":"14"},"uris":["http://www.mendeley.com/documents/?uuid=eede86b6-3a39-4b52-acc9-94e8cc3fbd5e"]}],"mendeley":{"formattedCitation":"(Glaser et al., 2016; Ocasio &amp; Radoynovska, 2016; Thornton, Ocasio, &amp; Lounsbury, 2012; Townley, 1997)","plainTextFormattedCitation":"(Glaser et al., 2016; Ocasio &amp; Radoynovska, 2016; Thornton, Ocasio, &amp; Lounsbury, 2012; Townley, 1997)","previouslyFormattedCitation":"(Glaser et al., 2016; Ocasio &amp; Radoynovska, 2016; Thornton, Ocasio, &amp; Lounsbury, 2012; Townley, 1997)"},"properties":{"noteIndex":0},"schema":"https://github.com/citation-style-language/schema/raw/master/csl-citation.json"}</w:instrText>
      </w:r>
      <w:r>
        <w:rPr>
          <w:rFonts w:cs="Calibri"/>
        </w:rPr>
        <w:fldChar w:fldCharType="separate"/>
      </w:r>
      <w:r w:rsidR="00E37B0E" w:rsidRPr="00E37B0E">
        <w:rPr>
          <w:rFonts w:cs="Calibri"/>
          <w:noProof/>
        </w:rPr>
        <w:t>(Glaser et al., 2016; Ocasio &amp; Radoynovska, 2016; Thornton, Ocasio, &amp; Lounsbury, 2012; Townley, 1997)</w:t>
      </w:r>
      <w:r>
        <w:rPr>
          <w:rFonts w:cs="Calibri"/>
        </w:rPr>
        <w:fldChar w:fldCharType="end"/>
      </w:r>
      <w:r>
        <w:rPr>
          <w:rFonts w:cs="Calibri"/>
        </w:rPr>
        <w:t xml:space="preserve">; this is discussed in greater detail in chapter 2.1. </w:t>
      </w:r>
    </w:p>
    <w:p w14:paraId="4363DB53" w14:textId="77777777" w:rsidR="00E140ED" w:rsidRDefault="00E140ED" w:rsidP="00866155"/>
    <w:p w14:paraId="68E1D52B" w14:textId="5FD3F44F" w:rsidR="00787F73" w:rsidRDefault="00742FB7" w:rsidP="00866155">
      <w:r>
        <w:rPr>
          <w:rFonts w:cs="Calibri"/>
        </w:rPr>
        <w:t xml:space="preserve">This thesis presents an analysis of SYFR and </w:t>
      </w:r>
      <w:r>
        <w:rPr>
          <w:rFonts w:cs="Calibri"/>
          <w:i/>
          <w:iCs/>
        </w:rPr>
        <w:t>why</w:t>
      </w:r>
      <w:r>
        <w:rPr>
          <w:rFonts w:cs="Calibri"/>
        </w:rPr>
        <w:t xml:space="preserve"> they communicate, but also </w:t>
      </w:r>
      <w:r>
        <w:rPr>
          <w:rFonts w:cs="Calibri"/>
          <w:i/>
          <w:iCs/>
        </w:rPr>
        <w:t xml:space="preserve">how </w:t>
      </w:r>
      <w:r>
        <w:rPr>
          <w:rFonts w:cs="Calibri"/>
        </w:rPr>
        <w:t>they communicate. This required the analytical framing of communication theory</w:t>
      </w:r>
      <w:r w:rsidR="0029662E">
        <w:rPr>
          <w:rFonts w:cs="Calibri"/>
        </w:rPr>
        <w:t>,</w:t>
      </w:r>
      <w:r>
        <w:rPr>
          <w:rFonts w:cs="Calibri"/>
        </w:rPr>
        <w:t xml:space="preserve"> focusing on risk communication. This approach enabl</w:t>
      </w:r>
      <w:r w:rsidR="00F124CA">
        <w:rPr>
          <w:rFonts w:cs="Calibri"/>
        </w:rPr>
        <w:t>ed;</w:t>
      </w:r>
      <w:r>
        <w:rPr>
          <w:rFonts w:cs="Calibri"/>
        </w:rPr>
        <w:t xml:space="preserve"> the exploration of how SYFR communicate with their followers and surrounding population, the role that social media plays in this process, and how the social media platforms structure the communication. </w:t>
      </w:r>
    </w:p>
    <w:p w14:paraId="4FD659E1" w14:textId="77777777" w:rsidR="00787F73" w:rsidRDefault="00742FB7" w:rsidP="00866155">
      <w:pPr>
        <w:rPr>
          <w:rFonts w:cs="Calibri"/>
        </w:rPr>
      </w:pPr>
      <w:r>
        <w:rPr>
          <w:rFonts w:cs="Calibri"/>
        </w:rPr>
        <w:lastRenderedPageBreak/>
        <w:t xml:space="preserve">Using these two theories enabled me to break down this large topic and explore the different elements of SYFR’s communication process, from their communication aims, to their actions, and the resulting impact on the community. This is developed in greater detail in the research aim and questions of the thesis. </w:t>
      </w:r>
    </w:p>
    <w:p w14:paraId="205EDFB6" w14:textId="77777777" w:rsidR="00B97CA3" w:rsidRDefault="00B97CA3" w:rsidP="00866155"/>
    <w:p w14:paraId="3BB9C03F" w14:textId="61505656" w:rsidR="00787F73" w:rsidRDefault="00742FB7" w:rsidP="00866155">
      <w:pPr>
        <w:pStyle w:val="Heading2"/>
      </w:pPr>
      <w:bookmarkStart w:id="39" w:name="_Toc153554294"/>
      <w:bookmarkStart w:id="40" w:name="_Toc193367175"/>
      <w:r>
        <w:rPr>
          <w:rFonts w:ascii="Calibri" w:hAnsi="Calibri" w:cs="Calibri"/>
        </w:rPr>
        <w:t>1.</w:t>
      </w:r>
      <w:r w:rsidR="00C24152">
        <w:rPr>
          <w:rFonts w:ascii="Calibri" w:hAnsi="Calibri" w:cs="Calibri"/>
        </w:rPr>
        <w:t>7</w:t>
      </w:r>
      <w:r>
        <w:rPr>
          <w:rFonts w:ascii="Calibri" w:hAnsi="Calibri" w:cs="Calibri"/>
        </w:rPr>
        <w:t>: Research aim and questions</w:t>
      </w:r>
      <w:bookmarkEnd w:id="39"/>
      <w:bookmarkEnd w:id="40"/>
      <w:r>
        <w:rPr>
          <w:rFonts w:ascii="Calibri" w:hAnsi="Calibri" w:cs="Calibri"/>
        </w:rPr>
        <w:t xml:space="preserve"> </w:t>
      </w:r>
    </w:p>
    <w:p w14:paraId="60110BEC" w14:textId="5F024D4C" w:rsidR="00787F73" w:rsidRDefault="00742FB7" w:rsidP="00866155">
      <w:r>
        <w:rPr>
          <w:rFonts w:cs="Calibri"/>
        </w:rPr>
        <w:t xml:space="preserve">This research is abductive in its approach, combining elements of both inductive and deductive research. Due to the dynamic nature of the collaboration between myself and SYFR, I was </w:t>
      </w:r>
      <w:r w:rsidR="00434BEB">
        <w:rPr>
          <w:rFonts w:cs="Calibri"/>
        </w:rPr>
        <w:t xml:space="preserve">able </w:t>
      </w:r>
      <w:r>
        <w:rPr>
          <w:rFonts w:cs="Calibri"/>
        </w:rPr>
        <w:t>to explore the topic moving between the literature and the empirical data.</w:t>
      </w:r>
    </w:p>
    <w:p w14:paraId="0903512D" w14:textId="77777777" w:rsidR="00787F73" w:rsidRDefault="00787F73" w:rsidP="00866155">
      <w:pPr>
        <w:rPr>
          <w:rFonts w:cs="Calibri"/>
          <w:lang w:eastAsia="ko-KR"/>
        </w:rPr>
      </w:pPr>
    </w:p>
    <w:p w14:paraId="5F4DE929" w14:textId="77777777" w:rsidR="00787F73" w:rsidRDefault="00742FB7" w:rsidP="00866155">
      <w:r>
        <w:rPr>
          <w:rFonts w:cs="Calibri"/>
          <w:lang w:eastAsia="ko-KR"/>
        </w:rPr>
        <w:t xml:space="preserve">Due to the collaborative nature of this PhD project, the aims and research questions were developed and discussed with SYFR throughout the project. It was the collaborative aim </w:t>
      </w:r>
      <w:bookmarkStart w:id="41" w:name="_Hlk182236922"/>
      <w:r>
        <w:rPr>
          <w:rFonts w:cs="Calibri"/>
          <w:lang w:eastAsia="ko-KR"/>
        </w:rPr>
        <w:t xml:space="preserve">to </w:t>
      </w:r>
      <w:bookmarkStart w:id="42" w:name="_Hlk190621052"/>
      <w:r>
        <w:rPr>
          <w:rFonts w:cs="Calibri"/>
          <w:i/>
          <w:iCs/>
          <w:lang w:eastAsia="ko-KR"/>
        </w:rPr>
        <w:t>critically evaluate the use of social media and its ability to develop community disaster resilience (CDR)</w:t>
      </w:r>
      <w:r>
        <w:rPr>
          <w:rFonts w:cs="Calibri"/>
          <w:lang w:eastAsia="ko-KR"/>
        </w:rPr>
        <w:t xml:space="preserve">. </w:t>
      </w:r>
      <w:r w:rsidR="00E67582">
        <w:rPr>
          <w:rFonts w:cs="Calibri"/>
          <w:lang w:eastAsia="ko-KR"/>
        </w:rPr>
        <w:t>This was divided into three research questions:</w:t>
      </w:r>
    </w:p>
    <w:p w14:paraId="4AF6C47A" w14:textId="77777777" w:rsidR="00787F73" w:rsidRDefault="00787F73" w:rsidP="00866155">
      <w:pPr>
        <w:rPr>
          <w:rFonts w:cs="Calibri"/>
          <w:lang w:eastAsia="ko-KR"/>
        </w:rPr>
      </w:pPr>
    </w:p>
    <w:p w14:paraId="77DC5C73" w14:textId="77777777" w:rsidR="00787F73" w:rsidRDefault="00742FB7" w:rsidP="00866155">
      <w:pPr>
        <w:pStyle w:val="ListParagraph"/>
        <w:numPr>
          <w:ilvl w:val="0"/>
          <w:numId w:val="1"/>
        </w:numPr>
      </w:pPr>
      <w:r>
        <w:rPr>
          <w:rFonts w:cs="Calibri"/>
          <w:lang w:eastAsia="ko-KR"/>
        </w:rPr>
        <w:t>What is SYFR’s communication strategy for building community disaster resilience?</w:t>
      </w:r>
    </w:p>
    <w:p w14:paraId="5BD3A9B4" w14:textId="77777777" w:rsidR="00787F73" w:rsidRDefault="00742FB7" w:rsidP="00866155">
      <w:pPr>
        <w:pStyle w:val="ListParagraph"/>
        <w:numPr>
          <w:ilvl w:val="0"/>
          <w:numId w:val="1"/>
        </w:numPr>
      </w:pPr>
      <w:r>
        <w:rPr>
          <w:rFonts w:cs="Calibri"/>
          <w:lang w:eastAsia="ko-KR"/>
        </w:rPr>
        <w:t>What influences and shapes SYFR’s communication strategy?</w:t>
      </w:r>
    </w:p>
    <w:p w14:paraId="62223707" w14:textId="77777777" w:rsidR="00787F73" w:rsidRDefault="00742FB7" w:rsidP="00866155">
      <w:pPr>
        <w:pStyle w:val="ListParagraph"/>
        <w:numPr>
          <w:ilvl w:val="0"/>
          <w:numId w:val="1"/>
        </w:numPr>
      </w:pPr>
      <w:r>
        <w:rPr>
          <w:rFonts w:cs="Calibri"/>
          <w:lang w:eastAsia="ko-KR"/>
        </w:rPr>
        <w:t>Who is engaging with SYFR’s content on social media and what implications are there for community resilience?</w:t>
      </w:r>
    </w:p>
    <w:bookmarkEnd w:id="41"/>
    <w:bookmarkEnd w:id="42"/>
    <w:p w14:paraId="55A6032C" w14:textId="77777777" w:rsidR="00787F73" w:rsidRDefault="00787F73" w:rsidP="00866155">
      <w:pPr>
        <w:rPr>
          <w:rFonts w:cs="Calibri"/>
          <w:lang w:eastAsia="ko-KR"/>
        </w:rPr>
      </w:pPr>
    </w:p>
    <w:p w14:paraId="5CD4A3F2" w14:textId="77777777" w:rsidR="00787F73" w:rsidRDefault="00742FB7" w:rsidP="00866155">
      <w:r>
        <w:rPr>
          <w:rFonts w:cs="Calibri"/>
          <w:lang w:eastAsia="ko-KR"/>
        </w:rPr>
        <w:t xml:space="preserve">These questions aim to examine the use of social media by SYFR, to examine what their strategy is, what influences their strategy, how they communicate with their surrounding communities, and whether their communication strategy was appropriate for the development of resilience. To answer these questions, I chose a methodology that was aligned to the theories and philosophical standpoint of the project. </w:t>
      </w:r>
    </w:p>
    <w:p w14:paraId="64A26982" w14:textId="77777777" w:rsidR="00787F73" w:rsidRDefault="00787F73" w:rsidP="00866155">
      <w:pPr>
        <w:rPr>
          <w:rFonts w:eastAsia="DengXian Light" w:cs="Calibri"/>
          <w:color w:val="538135"/>
          <w:sz w:val="26"/>
          <w:szCs w:val="26"/>
          <w:lang w:eastAsia="ko-KR"/>
        </w:rPr>
      </w:pPr>
    </w:p>
    <w:p w14:paraId="45B67DF6" w14:textId="765C52C5" w:rsidR="00787F73" w:rsidRDefault="00742FB7" w:rsidP="00866155">
      <w:pPr>
        <w:pStyle w:val="Heading2"/>
      </w:pPr>
      <w:bookmarkStart w:id="43" w:name="_Toc153554295"/>
      <w:bookmarkStart w:id="44" w:name="_Toc193367176"/>
      <w:r>
        <w:rPr>
          <w:rFonts w:ascii="Calibri" w:hAnsi="Calibri" w:cs="Calibri"/>
          <w:lang w:eastAsia="ko-KR"/>
        </w:rPr>
        <w:t>1.</w:t>
      </w:r>
      <w:r w:rsidR="00C24152">
        <w:rPr>
          <w:rFonts w:ascii="Calibri" w:hAnsi="Calibri" w:cs="Calibri"/>
          <w:lang w:eastAsia="ko-KR"/>
        </w:rPr>
        <w:t>8</w:t>
      </w:r>
      <w:r>
        <w:rPr>
          <w:rFonts w:ascii="Calibri" w:hAnsi="Calibri" w:cs="Calibri"/>
          <w:lang w:eastAsia="ko-KR"/>
        </w:rPr>
        <w:t>: Thesis methodology</w:t>
      </w:r>
      <w:bookmarkEnd w:id="43"/>
      <w:bookmarkEnd w:id="44"/>
    </w:p>
    <w:p w14:paraId="050B2920" w14:textId="7DF376C5" w:rsidR="00787F73" w:rsidRDefault="00742FB7" w:rsidP="00866155">
      <w:r>
        <w:rPr>
          <w:rFonts w:cs="Calibri"/>
          <w:lang w:eastAsia="ko-KR"/>
        </w:rPr>
        <w:t xml:space="preserve">Working closely with SYFR as a partner enabled me to develop a methodology which embraced engaged scholarship, which describes research that includes a combination of practitioner and academic knowledge </w:t>
      </w:r>
      <w:r>
        <w:fldChar w:fldCharType="begin" w:fldLock="1"/>
      </w:r>
      <w:r w:rsidR="00974B75">
        <w:rPr>
          <w:rFonts w:cs="Calibri"/>
          <w:lang w:eastAsia="ko-KR"/>
        </w:rPr>
        <w:instrText>ADDIN CSL_CITATION {"citationItems":[{"id":"ITEM-1","itemData":{"DOI":"10.1080/00909880802172277","ISBN":"0090988080217","ISSN":"00909882","abstract":"Engaged scholarship represents one way for making our research relevant to organizational practitioners by bridging the gap between theory and practice. Engaged scholarship is viewed as a form of collaborative inquiry between academics and practitioners that leverages their different perspectives to generate useful organizational knowledge. We explore the possibilities associated with engaged scholarship in three specific contexts: (1) theory-building and research, (2) pedagogy, teaching, and education, and (3) institutional opportunities and constraints as they relate to issues of tenure and promotion and creation of the engaged campus.","author":[{"dropping-particle":"","family":"Barge","given":"J. Kevin","non-dropping-particle":"","parse-names":false,"suffix":""},{"dropping-particle":"","family":"Shockley-Zalabak","given":"Pamela","non-dropping-particle":"","parse-names":false,"suffix":""}],"container-title":"Journal of Applied Communication Research","id":"ITEM-1","issue":"3","issued":{"date-parts":[["2008"]]},"page":"251-265","title":"Engaged scholarship and the creation of useful organizational knowledge","type":"article-journal","volume":"36"},"uris":["http://www.mendeley.com/documents/?uuid=3d3e504d-9e5d-49aa-8126-f9400a7a786e"]},{"id":"ITEM-2","itemData":{"author":[{"dropping-particle":"","family":"Ven","given":"Andrew H","non-dropping-particle":"Van De","parse-names":false,"suffix":""}],"chapter-number":"4","container-title":"Engaged Scholarship: A Guide for Organizational and Social Research","editor":[{"dropping-particle":"","family":"Ven","given":"Andrew H","non-dropping-particle":"Van De","parse-names":false,"suffix":""}],"id":"ITEM-2","issued":{"date-parts":[["2007"]]},"page":"100 - 142","publisher":"Oxford University Press","publisher-place":"Oxford","title":"Building a Theory","type":"chapter"},"uris":["http://www.mendeley.com/documents/?uuid=08c3f842-c1a3-4327-aeaf-e868c48078c1"]}],"mendeley":{"formattedCitation":"(Barge &amp; Shockley-Zalabak, 2008; Van De Ven, 2007a)","plainTextFormattedCitation":"(Barge &amp; Shockley-Zalabak, 2008; Van De Ven, 2007a)","previouslyFormattedCitation":"(Barge &amp; Shockley-Zalabak, 2008; Van De Ven, 2007a)"},"properties":{"noteIndex":0},"schema":"https://github.com/citation-style-language/schema/raw/master/csl-citation.json"}</w:instrText>
      </w:r>
      <w:r>
        <w:rPr>
          <w:rFonts w:cs="Calibri"/>
          <w:lang w:eastAsia="ko-KR"/>
        </w:rPr>
        <w:fldChar w:fldCharType="separate"/>
      </w:r>
      <w:r>
        <w:rPr>
          <w:rFonts w:cs="Calibri"/>
          <w:noProof/>
          <w:lang w:eastAsia="ko-KR"/>
        </w:rPr>
        <w:t>(Barge &amp; Shockley-Zalabak, 2008; Van De Ven, 2007a)</w:t>
      </w:r>
      <w:r>
        <w:rPr>
          <w:rFonts w:cs="Calibri"/>
          <w:lang w:eastAsia="ko-KR"/>
        </w:rPr>
        <w:fldChar w:fldCharType="end"/>
      </w:r>
      <w:r>
        <w:rPr>
          <w:rFonts w:cs="Calibri"/>
          <w:lang w:eastAsia="ko-KR"/>
        </w:rPr>
        <w:t xml:space="preserve">. </w:t>
      </w:r>
      <w:r>
        <w:rPr>
          <w:rFonts w:cs="Calibri"/>
        </w:rPr>
        <w:t xml:space="preserve">The research focused on SYFR and initially used institutional ethnography to explore how </w:t>
      </w:r>
      <w:r>
        <w:rPr>
          <w:rFonts w:cs="Calibri"/>
        </w:rPr>
        <w:lastRenderedPageBreak/>
        <w:t>they develop and design their communication messaging on social media, however, this had to be adapted due to the impact of COVID-19. Institutional ethnography was chosen as it enabled an analysis of whether SYFR are shaped by institutions</w:t>
      </w:r>
      <w:r w:rsidR="00CB4FCA">
        <w:rPr>
          <w:rFonts w:cs="Calibri"/>
        </w:rPr>
        <w:t>.</w:t>
      </w:r>
      <w:r>
        <w:rPr>
          <w:rFonts w:cs="Calibri"/>
        </w:rPr>
        <w:t xml:space="preserve"> </w:t>
      </w:r>
      <w:r w:rsidR="00CB4FCA">
        <w:rPr>
          <w:rFonts w:cs="Calibri"/>
        </w:rPr>
        <w:t>I</w:t>
      </w:r>
      <w:r>
        <w:rPr>
          <w:rFonts w:cs="Calibri"/>
        </w:rPr>
        <w:t>f so,</w:t>
      </w:r>
      <w:r w:rsidR="00CB4FCA">
        <w:rPr>
          <w:rFonts w:cs="Calibri"/>
        </w:rPr>
        <w:t xml:space="preserve"> it would reveal</w:t>
      </w:r>
      <w:r>
        <w:rPr>
          <w:rFonts w:cs="Calibri"/>
        </w:rPr>
        <w:t xml:space="preserve"> how these </w:t>
      </w:r>
      <w:r w:rsidR="00CB4FCA">
        <w:rPr>
          <w:rFonts w:cs="Calibri"/>
        </w:rPr>
        <w:t xml:space="preserve">institutions </w:t>
      </w:r>
      <w:r>
        <w:rPr>
          <w:rFonts w:cs="Calibri"/>
        </w:rPr>
        <w:t xml:space="preserve">influenced the lived experiences of those working in SYFR, and the resulting impact on how they communicate with the citizens of South Yorkshire. </w:t>
      </w:r>
      <w:r>
        <w:fldChar w:fldCharType="begin" w:fldLock="1"/>
      </w:r>
      <w:r>
        <w:rPr>
          <w:rFonts w:cs="Calibri"/>
        </w:rPr>
        <w:instrText>ADDIN CSL_CITATION {"citationItems":[{"id":"ITEM-1","itemData":{"DOI":"10.5204/ijcjsd.v8i1.1051.This","abstract":"Institutional ethnography (IE) is a method of inquiry created by Canadian feminist sociologist Dorothy E. Smith to examine how sequences of texts coordinate forms of organisation. Here we explain how to use IE, and why scholars in criminal justice and socio-legal studies should use it in their research. We focus on IE’s analysis of texts and intertextual hierarchy, as well as Smith’s understanding of mapping as a methodological technique; the latter entails explaining how IE’s approach to mapping differs from other social science approaches. We also argue that IE’s terms and techniques can help examine the textual work undertaken in criminal justice and legal organisations, and reveal how people are governed and ruled by these organisational processes. In the discussion, we summarise how IE can productively contribute to criminal justice and socio-legal studies in the twenty-first century.","author":[{"dropping-particle":"","family":"Doll","given":"Agnieszka","non-dropping-particle":"","parse-names":false,"suffix":""},{"dropping-particle":"","family":"Walby","given":"Kevin","non-dropping-particle":"","parse-names":false,"suffix":""}],"container-title":"International Journal for Crime, Justice and Social Democracy","id":"ITEM-1","issue":"1","issued":{"date-parts":[["2019"]]},"page":"147-160","title":"Institutional Ethnography as a Method of Inquiry for Criminal Justice and Socio-Legal Studies","type":"article-journal","volume":"8"},"uris":["http://www.mendeley.com/documents/?uuid=eea21ff2-ea4d-4e5b-9072-2b82fd697a75"]},{"id":"ITEM-2","itemData":{"DOI":"10.1057/s41285-018-0077-2","ISBN":"1477-822X","ISSN":"1477822X","author":[{"dropping-particle":"","family":"Kearney","given":"Grainne P.","non-dropping-particle":"","parse-names":false,"suffix":""},{"dropping-particle":"","family":"Corman","given":"Michael K.","non-dropping-particle":"","parse-names":false,"suffix":""},{"dropping-particle":"","family":"Gormley","given":"Gerard J.","non-dropping-particle":"","parse-names":false,"suffix":""},{"dropping-particle":"","family":"Hart","given":"Nigel D.","non-dropping-particle":"","parse-names":false,"suffix":""},{"dropping-particle":"","family":"Johnston","given":"Jennifer L.","non-dropping-particle":"","parse-names":false,"suffix":""},{"dropping-particle":"","family":"Smith","given":"Dorothy E.","non-dropping-particle":"","parse-names":false,"suffix":""}],"container-title":"Social Theory and Health","id":"ITEM-2","issue":"3","issued":{"date-parts":[["2018"]]},"page":"292-306","title":"Institutional ethnography: A sociology of discovery - In conversation with Dorothy Smith","type":"article-journal","volume":"16"},"uris":["http://www.mendeley.com/documents/?uuid=35cac7ab-04e1-454f-a50a-4370a20dc3d3"]},{"id":"ITEM-3","itemData":{"DOI":"10.1177/0896920516658941","ISSN":"15691632","abstract":"Using the alternative sociological approach, institutional ethnography, this article reveals how experiences growing up in social housing (re)produce conditions of oppression that exacerbate housing precariousness and other forms of exclusion. Data were generated through participant observation, textual analysis and in-depth qualitative interviews with Young People of Colour living in vulnerable urban neighbourhoods, designated as Neighbourhood Improvement Areas in Toronto, Canada. Findings reveal how discourse, policy and practice related to community safety comprise an institutional nexus, connecting policing with social housing. These intersectional institutional relations create conditions of continuous housing precarity; youth street involvement and homelessness; increased involvement in the youth criminal justice system; and a belief among economically marginalized Young People of Colour that the state does not care about their safety and inclusion","author":[{"dropping-particle":"","family":"Nichols","given":"Naomi","non-dropping-particle":"","parse-names":false,"suffix":""},{"dropping-particle":"","family":"Braimoh","given":"Jessica","non-dropping-particle":"","parse-names":false,"suffix":""}],"container-title":"Critical Sociology","id":"ITEM-3","issue":"1","issued":{"date-parts":[["2018"]]},"page":"157-172","title":"Community Safety, Housing Precariousness and Processes of Exclusion: An Institutional Ethnography from the Standpoints of Youth in an ‘Unsafe’ Urban Neighbourhood","type":"article-journal","volume":"44"},"uris":["http://www.mendeley.com/documents/?uuid=a375d2e0-1383-4048-80f8-650c72277e98"]},{"id":"ITEM-4","itemData":{"DOI":"10.1177/1609406917734472","ISSN":"16094069","abstract":"Institutional ethnography (IE) is being taken up by researchers across diverse disciplines, many who do not have a background in sociology and the antecedents and influences that underpin Dorothy Smith's distinctive IE method. Novice IEers, who often work with advisors who have not studied or conducted an IE, are at risk of straying from IE's core epistemology and ontology. This second of a two-volume set provides a broad overview to approaching analysis once the IE design and fieldwork are well under way. The purpose of two-volume series is to offer practical guidance and cautions that have been generated from my experiences of supervising graduate students and my involvement in reviewing and examining IE work that has gone \" off track. \" With a particular focus on the practicalities of conducting analysis, the paper includes examples of the application of IE's theoretical framework with techniques for approaching and managing data: mapping, indexing, and building preliminary accounts/ \" analytic chunks. \" I suggest these techniques are useful tactics to work with data and to refine the formulation of the research problematic(s) to be explicated.","author":[{"dropping-particle":"","family":"Rankin","given":"Janet","non-dropping-particle":"","parse-names":false,"suffix":""}],"container-title":"International Journal of Qualitative Methods","id":"ITEM-4","issue":"1","issued":{"date-parts":[["2017"]]},"page":"1-11","title":"Conducting Analysis in Institutional Ethnography: Guidance and Cautions","type":"article-journal","volume":"16"},"uris":["http://www.mendeley.com/documents/?uuid=1f512de7-2804-4501-b9d4-819790d77516"]},{"id":"ITEM-5","itemData":{"DOI":"10.1177/1049732315619893","ISSN":"15527557","abstract":"Person-centered care is heavily dependent on effective information exchange among health care team members. We explored the organizational systems that influence resident care attendants' (RCAs) access to care information in long-term care (LTC) settings. We conducted an institutional ethnography in three LTC facilities. Investigative methods included naturalistic observations, in-depth interviews, and textual analysis. Practical access to texts containing individualized care-related information (e.g., care plans) was dependent on job classification. Regulated health care professionals accessed these texts daily. RCAs lacked practical access to these texts and primarily received and shared information orally. Microsystems of care, based on information exchange formats, emerged. Organizational systems mandated written exchange of information and did not formally support an oral exchange. Thus, oral information exchanges were largely dependent on the quality of workplace relationships. Formal systems are needed to support structured oral information exchange within and between the microsystems of care found in LTC.","author":[{"dropping-particle":"","family":"Caspar","given":"Sienna","non-dropping-particle":"","parse-names":false,"suffix":""},{"dropping-particle":"","family":"Ratner","given":"Pamela A.","non-dropping-particle":"","parse-names":false,"suffix":""},{"dropping-particle":"","family":"Phinney","given":"Alison","non-dropping-particle":"","parse-names":false,"suffix":""},{"dropping-particle":"","family":"MacKinnon","given":"Karen","non-dropping-particle":"","parse-names":false,"suffix":""}],"container-title":"Qualitative Health Research","id":"ITEM-5","issue":"7","issued":{"date-parts":[["2016"]]},"page":"951-965","title":"The Influence of Organizational Systems on Information Exchange in Long-Term Care Facilities: An Institutional Ethnography","type":"article-journal","volume":"26"},"uris":["http://www.mendeley.com/documents/?uuid=e586a46e-53ba-43a4-97c2-5ec73a39937f"]},{"id":"ITEM-6","itemData":{"DOI":"10.1177/1609406916637088","ISSN":"16094069","abstract":"Within institutional ethnography (IE), texts--reproducible written and graphic materials--are understood to play a central role in coordinating social relationships. This is the case because of their ubiquity and because texts allow proceedings in one place to influence actions in another. This article considers the role of texts in settings that are less text-saturated than the Western societies whose organization Dorothy Smith first sought to understand through IE. Drawing from insights of a study examining the social organization of maternity care in rural northern Uganda, I discuss the differences in the role of texts in Global South research including the role of illiteracy, the need to read for absences or silences, and the prominent role of international texts. Identifying texts and observing their role in sequences of action are nevertheless essential for institutional ethnographers working to understand social organization in the Global South. This article seeks to contribute to IE methodology in Global South research settings. [ABSTRACT FROM AUTHOR]","author":[{"dropping-particle":"","family":"Rudrum","given":"Sarah","non-dropping-particle":"","parse-names":false,"suffix":""}],"container-title":"International Journal of Qualitative Methods","id":"ITEM-6","issue":"1","issued":{"date-parts":[["2016"]]},"page":"1-8","title":"Institutional ethnography research in Global South settings: The role of texts","type":"article-journal","volume":"15"},"uris":["http://www.mendeley.com/documents/?uuid=89bdedf2-0afd-4dae-9924-4f5f60757fbb"]},{"id":"ITEM-7","itemData":{"DOI":"10.1080/19460171.2015.1050426","ISSN":"1946018X","abstract":"In this article I present a comparative consideration of two conceptual frameworks that have informed critical research by policy-interested scholars: institutional ethnography and governmentality. I argue that these two approaches to research are similar in important respects: both focus on the analysis of linkages between everyday practices and the ruling/governing programs and strategies that aspire to shape these; both accord a central place to the operation and effects of discourse/discursive practices– particularly texts– in their accounts of how these linkages are forged. I also discuss several differences that distinguish them, including their diverse assessment of the value and effects of mobilizing research for social justice oriented ends. In closing, I consider the possibilities for analysis and action that may be opened up or, alternatively, narrowed or closed down by research conducted using each of these frameworks, and suggest the value of ongoing reflexive dialogue between them.","author":[{"dropping-particle":"","family":"Teghtsoonian","given":"Katherine","non-dropping-particle":"","parse-names":false,"suffix":""}],"container-title":"Critical Policy Studies","id":"ITEM-7","issue":"3","issued":{"date-parts":[["2016"]]},"page":"330-347","title":"Methods, discourse, activism: comparing institutional ethnography and governmentality","type":"article-journal","volume":"10"},"uris":["http://www.mendeley.com/documents/?uuid=aa1ff054-a1a8-47a7-8949-5925777b0099"]},{"id":"ITEM-8","itemData":{"author":[{"dropping-particle":"","family":"Lund","given":"Rebecca","non-dropping-particle":"","parse-names":false,"suffix":""},{"dropping-particle":"","family":"Tienari","given":"Janne","non-dropping-particle":"","parse-names":false,"suffix":""}],"chapter-number":"14","container-title":"The Routledge Companion to Mergers and Acquisitions","editor":[{"dropping-particle":"","family":"Risberg","given":"Annette","non-dropping-particle":"","parse-names":false,"suffix":""},{"dropping-particle":"","family":"King","given":"David R.","non-dropping-particle":"","parse-names":false,"suffix":""},{"dropping-particle":"","family":"Meglio","given":"Olimpia","non-dropping-particle":"","parse-names":false,"suffix":""}],"id":"ITEM-8","issued":{"date-parts":[["2015"]]},"page":"242 - 258","publisher":"Routledge","publisher-place":"Abingdon","title":"Institutional ethnography: An alternative way to study M&amp;As","type":"chapter"},"uris":["http://www.mendeley.com/documents/?uuid=612397d1-f714-4f37-91b2-b8e1e7c20264"]},{"id":"ITEM-9","itemData":{"DOI":"10.1080/14427591.2013.813429","ISSN":"21581576","abstract":"Institutional ethnographers and occupational scientists share a common interest in studying what people do in their daily lives. Institutional ethnographers start inquiry at the standpoint of people as they are situated in the actualities of everyday life and then turn their gaze from the individual to the social. We aim to outline in this paper some key tenets of institutional ethnography to argue its relevance for studying human occupation. More specifically, we posit that institutional ethnography provides a promising social theory and method to further understandings of the situated nature of human occupation.","author":[{"dropping-particle":"","family":"Prodinger","given":"Birgit","non-dropping-particle":"","parse-names":false,"suffix":""},{"dropping-particle":"","family":"Rudman","given":"Debbie Laliberte","non-dropping-particle":"","parse-names":false,"suffix":""},{"dropping-particle":"","family":"Shaw","given":"Lynn","non-dropping-particle":"","parse-names":false,"suffix":""}],"container-title":"Journal of Occupational Science","id":"ITEM-9","issue":"1","issued":{"date-parts":[["2015"]]},"page":"71-81","title":"Institutional ethnography: Studying the situated nature of human occupation","type":"article-journal","volume":"22"},"uris":["http://www.mendeley.com/documents/?uuid=4a2e25d1-86b8-4e2f-ac63-5b712ec2fb6b"]},{"id":"ITEM-10","itemData":{"DOI":"10.1016/j.scaman.2012.05.003","ISSN":"09565221","abstract":"In this paper I offer an Institutional Ethnography, from the standpoint of female academics, of the construction of the \"ideal academic\" and quality journal publications as a central feature in this construct. I draw on interview transcripts, field notes, texts and artefacts produced and collected over a two-year period in a recently merged Finnish university. I focus specifically on how a translocal discourse of competitive performance measurement and standards of academic excellence are accomplished in the local construction of the \"ideal academic\" as a person who publishes articles in A level journals. While the construct is hard for anyone to live up to, it would seem to be more difficult for some people than for others. The current obsession with getting published in top journals place those women, who are heavily engaged in teaching activities and with responsibilities besides academic work, in a systematically disadvantaged relation to the currently dominating discourse of the \"ideal academic\" © 2012 Elsevier Ltd.","author":[{"dropping-particle":"","family":"Lund","given":"Rebecca","non-dropping-particle":"","parse-names":false,"suffix":""}],"container-title":"Scandinavian Journal of Management","id":"ITEM-10","issue":"3","issued":{"date-parts":[["2012"]]},"page":"218-228","title":"Publishing to become an \"ideal academic\": An Institutional Ethnography and a Feminist Critique","type":"article-journal","volume":"28"},"uris":["http://www.mendeley.com/documents/?uuid=087ea2c4-bd2b-4344-bfd6-393e9d928eb2"]},{"id":"ITEM-11","itemData":{"author":[{"dropping-particle":"","family":"Campbell L","given":"Marie","non-dropping-particle":"","parse-names":false,"suffix":""}],"container-title":"Qualitative Sociology","id":"ITEM-11","issue":"1","issued":{"date-parts":[["1998"]]},"page":"55-73","title":"Institutional Ethnography and Experience as Data","type":"article-journal","volume":"21"},"uris":["http://www.mendeley.com/documents/?uuid=d76bf4ff-ab87-4019-ae15-67fd679a02e7"]}],"mendeley":{"formattedCitation":"(Doll &amp; Walby, 2019; Kearney et al., 2018; Nichols &amp; Braimoh, 2018; Rankin, 2017; Caspar et al., 2016; Rudrum, 2016; Teghtsoonian, 2016; Lund &amp; Tienari, 2015; Prodinger, Rudman, &amp; Shaw, 2015; Lund, 2012; Campbell L, 1998)","plainTextFormattedCitation":"(Doll &amp; Walby, 2019; Kearney et al., 2018; Nichols &amp; Braimoh, 2018; Rankin, 2017; Caspar et al., 2016; Rudrum, 2016; Teghtsoonian, 2016; Lund &amp; Tienari, 2015; Prodinger, Rudman, &amp; Shaw, 2015; Lund, 2012; Campbell L, 1998)","previouslyFormattedCitation":"(Doll &amp; Walby, 2019; Kearney et al., 2018; Nichols &amp; Braimoh, 2018; Rankin, 2017; Caspar et al., 2016; Rudrum, 2016; Teghtsoonian, 2016; Lund &amp; Tienari, 2015; Prodinger, Rudman, &amp; Shaw, 2015; Lund, 2012; Campbell L, 1998)"},"properties":{"noteIndex":0},"schema":"https://github.com/citation-style-language/schema/raw/master/csl-citation.json"}</w:instrText>
      </w:r>
      <w:r>
        <w:rPr>
          <w:rFonts w:cs="Calibri"/>
        </w:rPr>
        <w:fldChar w:fldCharType="separate"/>
      </w:r>
      <w:r>
        <w:rPr>
          <w:rFonts w:cs="Calibri"/>
          <w:noProof/>
          <w:lang w:eastAsia="ko-KR"/>
        </w:rPr>
        <w:t>(Doll &amp; Walby, 2019; Kearney et al., 2018; Nichols &amp; Braimoh, 2018; Rankin, 2017; Caspar et al., 2016; Rudrum, 2016; Teghtsoonian, 2016; Lund &amp; Tienari, 2015; Prodinger, Rudman, &amp; Shaw, 2015; Lund, 2012; Campbell L, 1998)</w:t>
      </w:r>
      <w:r>
        <w:rPr>
          <w:rFonts w:cs="Calibri"/>
        </w:rPr>
        <w:fldChar w:fldCharType="end"/>
      </w:r>
      <w:r>
        <w:rPr>
          <w:rFonts w:cs="Calibri"/>
          <w:lang w:eastAsia="ko-KR"/>
        </w:rPr>
        <w:t>.</w:t>
      </w:r>
      <w:r w:rsidR="0073612B">
        <w:rPr>
          <w:rFonts w:cs="Calibri"/>
          <w:lang w:eastAsia="ko-KR"/>
        </w:rPr>
        <w:t xml:space="preserve"> The institutional ethnography included conducting 25 interviews with people working for SYFR, observations (using a researcher diary), and the analysis of text</w:t>
      </w:r>
      <w:r w:rsidR="00F900CC">
        <w:rPr>
          <w:rFonts w:cs="Calibri"/>
          <w:lang w:eastAsia="ko-KR"/>
        </w:rPr>
        <w:t>s, such as their external communications strategy and the plan and evaluation for their Public Information Campaigns (PIC)</w:t>
      </w:r>
      <w:r w:rsidR="0073612B">
        <w:rPr>
          <w:rFonts w:cs="Calibri"/>
          <w:lang w:eastAsia="ko-KR"/>
        </w:rPr>
        <w:t>.</w:t>
      </w:r>
    </w:p>
    <w:p w14:paraId="1835738A" w14:textId="77777777" w:rsidR="00787F73" w:rsidRDefault="00787F73" w:rsidP="00866155">
      <w:pPr>
        <w:rPr>
          <w:rFonts w:cs="Calibri"/>
          <w:lang w:eastAsia="ko-KR"/>
        </w:rPr>
      </w:pPr>
    </w:p>
    <w:p w14:paraId="559E307A" w14:textId="58543C68" w:rsidR="00787F73" w:rsidRDefault="00742FB7" w:rsidP="00866155">
      <w:r>
        <w:rPr>
          <w:rFonts w:cs="Calibri"/>
          <w:lang w:eastAsia="ko-KR"/>
        </w:rPr>
        <w:t xml:space="preserve">Following on from the institutional ethnography, I wanted to examine SYFR’s media channels. This was predominantly </w:t>
      </w:r>
      <w:r w:rsidR="00A8770E">
        <w:rPr>
          <w:rFonts w:cs="Calibri"/>
          <w:lang w:eastAsia="ko-KR"/>
        </w:rPr>
        <w:t xml:space="preserve">achieved by </w:t>
      </w:r>
      <w:r>
        <w:rPr>
          <w:rFonts w:cs="Calibri"/>
          <w:lang w:eastAsia="ko-KR"/>
        </w:rPr>
        <w:t>using RStudio to examine SYFR’s Twitter account</w:t>
      </w:r>
      <w:r w:rsidR="00EF3BFA">
        <w:rPr>
          <w:rFonts w:cs="Calibri"/>
          <w:lang w:eastAsia="ko-KR"/>
        </w:rPr>
        <w:t>. I a</w:t>
      </w:r>
      <w:r>
        <w:rPr>
          <w:rFonts w:cs="Calibri"/>
          <w:lang w:eastAsia="ko-KR"/>
        </w:rPr>
        <w:t>ssess</w:t>
      </w:r>
      <w:r w:rsidR="00EF3BFA">
        <w:rPr>
          <w:rFonts w:cs="Calibri"/>
          <w:lang w:eastAsia="ko-KR"/>
        </w:rPr>
        <w:t>ed</w:t>
      </w:r>
      <w:r>
        <w:rPr>
          <w:rFonts w:cs="Calibri"/>
          <w:lang w:eastAsia="ko-KR"/>
        </w:rPr>
        <w:t xml:space="preserve"> the accounts that were following </w:t>
      </w:r>
      <w:r w:rsidR="00EF3BFA">
        <w:rPr>
          <w:rFonts w:cs="Calibri"/>
          <w:lang w:eastAsia="ko-KR"/>
        </w:rPr>
        <w:t xml:space="preserve">SYFR </w:t>
      </w:r>
      <w:r>
        <w:rPr>
          <w:rFonts w:cs="Calibri"/>
          <w:lang w:eastAsia="ko-KR"/>
        </w:rPr>
        <w:t xml:space="preserve">and the characteristics of the account, focusing on their location. To examine the community perspective, I conducted </w:t>
      </w:r>
      <w:r w:rsidR="00552C1B">
        <w:rPr>
          <w:rFonts w:cs="Calibri"/>
          <w:lang w:eastAsia="ko-KR"/>
        </w:rPr>
        <w:t xml:space="preserve">one </w:t>
      </w:r>
      <w:r>
        <w:rPr>
          <w:rFonts w:cs="Calibri"/>
          <w:lang w:eastAsia="ko-KR"/>
        </w:rPr>
        <w:t xml:space="preserve">interview and two community focus groups. These community locations were chosen based on their risk level, as calculated by SYFR’s risk index. </w:t>
      </w:r>
    </w:p>
    <w:p w14:paraId="30B68CC4" w14:textId="77777777" w:rsidR="00787F73" w:rsidRDefault="00787F73" w:rsidP="00866155">
      <w:pPr>
        <w:rPr>
          <w:rFonts w:cs="Calibri"/>
          <w:lang w:eastAsia="ko-KR"/>
        </w:rPr>
      </w:pPr>
    </w:p>
    <w:p w14:paraId="664309E0" w14:textId="77777777" w:rsidR="00787F73" w:rsidRDefault="00742FB7" w:rsidP="00866155">
      <w:pPr>
        <w:rPr>
          <w:rFonts w:cs="Calibri"/>
          <w:lang w:eastAsia="ko-KR"/>
        </w:rPr>
      </w:pPr>
      <w:r>
        <w:rPr>
          <w:rFonts w:cs="Calibri"/>
          <w:lang w:eastAsia="ko-KR"/>
        </w:rPr>
        <w:t xml:space="preserve">As with many research projects conducted during the COVID-19 pandemic, the methods of the project and the scope had to be adjusted (discussed in section 3.5.3), however, the core aims of the project remained the same and led to clear contributions to knowledge, as summarised in the next section. </w:t>
      </w:r>
    </w:p>
    <w:p w14:paraId="34DECBF0" w14:textId="77777777" w:rsidR="00E97EA9" w:rsidRDefault="00E97EA9" w:rsidP="00866155"/>
    <w:p w14:paraId="62428FCD" w14:textId="329E52B3" w:rsidR="00787F73" w:rsidRDefault="00742FB7" w:rsidP="00866155">
      <w:pPr>
        <w:pStyle w:val="Heading2"/>
      </w:pPr>
      <w:bookmarkStart w:id="45" w:name="_Toc153554296"/>
      <w:bookmarkStart w:id="46" w:name="_Toc193367177"/>
      <w:r>
        <w:rPr>
          <w:rFonts w:ascii="Calibri" w:hAnsi="Calibri" w:cs="Calibri"/>
          <w:lang w:eastAsia="ko-KR"/>
        </w:rPr>
        <w:t>1.</w:t>
      </w:r>
      <w:r w:rsidR="00C24152">
        <w:rPr>
          <w:rFonts w:ascii="Calibri" w:hAnsi="Calibri" w:cs="Calibri"/>
          <w:lang w:eastAsia="ko-KR"/>
        </w:rPr>
        <w:t>9</w:t>
      </w:r>
      <w:r>
        <w:rPr>
          <w:rFonts w:ascii="Calibri" w:hAnsi="Calibri" w:cs="Calibri"/>
          <w:lang w:eastAsia="ko-KR"/>
        </w:rPr>
        <w:t>: Research contributions</w:t>
      </w:r>
      <w:bookmarkEnd w:id="45"/>
      <w:bookmarkEnd w:id="46"/>
    </w:p>
    <w:p w14:paraId="2E938E9B" w14:textId="74C07E6D" w:rsidR="00787F73" w:rsidRDefault="00742FB7" w:rsidP="00866155">
      <w:r>
        <w:rPr>
          <w:highlight w:val="white"/>
        </w:rPr>
        <w:t xml:space="preserve">This thesis is transdisciplinary, as it bridges both the academic and practitioner discourses, working within and outside of academia in order to co-produce knowledge </w:t>
      </w:r>
      <w:r>
        <w:fldChar w:fldCharType="begin" w:fldLock="1"/>
      </w:r>
      <w:r>
        <w:rPr>
          <w:highlight w:val="white"/>
        </w:rPr>
        <w:instrText>ADDIN CSL_CITATION {"citationItems":[{"id":"ITEM-1","itemData":{"author":[{"dropping-particle":"","family":"Lawrence","given":"Mark G","non-dropping-particle":"","parse-names":false,"suffix":""},{"dropping-particle":"","family":"Williams","given":"Stephen","non-dropping-particle":"","parse-names":false,"suffix":""},{"dropping-particle":"","family":"Nanz","given":"Patrizia","non-dropping-particle":"","parse-names":false,"suffix":""},{"dropping-particle":"","family":"Renn","given":"Ortwin","non-dropping-particle":"","parse-names":false,"suffix":""}],"container-title":"One Earth","id":"ITEM-1","issue":"1","issued":{"date-parts":[["2022"]]},"page":"44-61.","title":"Characteristics, potentials, and challenges of transdisciplinary research","type":"article-journal","volume":"5"},"uris":["http://www.mendeley.com/documents/?uuid=cfeb06b1-c46b-48d6-88eb-c2bb4aefa648"]},{"id":"ITEM-2","itemData":{"DOI":"10.1002/sd.2281","author":[{"dropping-particle":"","family":"Kruijf","given":"Joanne Vinke-de","non-dropping-particle":"","parse-names":false,"suffix":""},{"dropping-particle":"","family":"Verbrugge","given":"Laura","non-dropping-particle":"","parse-names":false,"suffix":""},{"dropping-particle":"","family":"Schröter","given":"Barbara","non-dropping-particle":"","parse-names":false,"suffix":""},{"dropping-particle":"","family":"Fliervoet","given":"Jan","non-dropping-particle":"","parse-names":false,"suffix":""},{"dropping-particle":"","family":"Henze","given":"Jennifer","non-dropping-particle":"","parse-names":false,"suffix":""},{"dropping-particle":"","family":"Albert","given":"Christian","non-dropping-particle":"","parse-names":false,"suffix":""}],"container-title":"Sustainable Development","id":"ITEM-2","issue":"2","issued":{"date-parts":[["2022"]]},"page":"393-405","title":"Knowledge co-production and researcher roles in transdisciplinary environmental management projects","type":"article-journal","volume":"30"},"uris":["http://www.mendeley.com/documents/?uuid=1176cab8-7afa-49d2-b49e-808c2ad5ad43"]},{"id":"ITEM-3","itemData":{"ISBN":"0123456789","author":[{"dropping-particle":"","family":"Plummer","given":"Ryan","non-dropping-particle":"","parse-names":false,"suffix":""},{"dropping-particle":"","family":"Blythe","given":"Jessica","non-dropping-particle":"","parse-names":false,"suffix":""},{"dropping-particle":"","family":"Gurney","given":"Georgina G","non-dropping-particle":"","parse-names":false,"suffix":""},{"dropping-particle":"","family":"Witkowski","given":"Samantha","non-dropping-particle":"","parse-names":false,"suffix":""},{"dropping-particle":"","family":"Armitage","given":"Derek","non-dropping-particle":"","parse-names":false,"suffix":""}],"container-title":"Sustainability Science","id":"ITEM-3","issued":{"date-parts":[["2022"]]},"page":"955-967","title":"Transdisciplinary partnerships for sustainability: an evaluation guide","type":"article-journal","volume":"17"},"uris":["http://www.mendeley.com/documents/?uuid=0640535f-e4b9-4800-8bf1-5f117747c88a"]}],"mendeley":{"formattedCitation":"(Kruijf et al., 2022; Lawrence et al., 2022; Plummer et al., 2022)","plainTextFormattedCitation":"(Kruijf et al., 2022; Lawrence et al., 2022; Plummer et al., 2022)","previouslyFormattedCitation":"(Kruijf et al., 2022; Lawrence et al., 2022; Plummer et al., 2022)"},"properties":{"noteIndex":0},"schema":"https://github.com/citation-style-language/schema/raw/master/csl-citation.json"}</w:instrText>
      </w:r>
      <w:r>
        <w:rPr>
          <w:highlight w:val="white"/>
        </w:rPr>
        <w:fldChar w:fldCharType="separate"/>
      </w:r>
      <w:r>
        <w:rPr>
          <w:noProof/>
          <w:highlight w:val="white"/>
        </w:rPr>
        <w:t>(Kruijf et al., 2022; Lawrence et al., 2022; Plummer et al., 2022)</w:t>
      </w:r>
      <w:r>
        <w:rPr>
          <w:highlight w:val="white"/>
        </w:rPr>
        <w:fldChar w:fldCharType="end"/>
      </w:r>
      <w:r>
        <w:rPr>
          <w:highlight w:val="white"/>
        </w:rPr>
        <w:t xml:space="preserve">. </w:t>
      </w:r>
      <w:r>
        <w:t xml:space="preserve">Academically, it draws on Organisational Studies, Sociology, Media and Communication disciplines. </w:t>
      </w:r>
      <w:r w:rsidR="00A8770E">
        <w:t xml:space="preserve">In </w:t>
      </w:r>
      <w:r>
        <w:t>the practitioner environment</w:t>
      </w:r>
      <w:r w:rsidR="00A8770E">
        <w:t>,</w:t>
      </w:r>
      <w:r>
        <w:t xml:space="preserve"> it sits within communication specialists </w:t>
      </w:r>
      <w:r w:rsidR="00A8770E">
        <w:t xml:space="preserve">inside </w:t>
      </w:r>
      <w:r>
        <w:t xml:space="preserve">a disaster management discourse. This has enabled the thesis to incorporate different cultures of knowledge, which has been argued is </w:t>
      </w:r>
      <w:r>
        <w:lastRenderedPageBreak/>
        <w:t xml:space="preserve">required to manage an increasingly complex society </w:t>
      </w:r>
      <w:r>
        <w:fldChar w:fldCharType="begin" w:fldLock="1"/>
      </w:r>
      <w:r w:rsidR="00974B75">
        <w:instrText>ADDIN CSL_CITATION {"citationItems":[{"id":"ITEM-1","itemData":{"author":[{"dropping-particle":"","family":"Barry","given":"Andrew","non-dropping-particle":"","parse-names":false,"suffix":""},{"dropping-particle":"","family":"Born","given":"Georgina","non-dropping-particle":"","parse-names":false,"suffix":""}],"chapter-number":"1","container-title":"Interdisciplinarity: Reconfigurations of the social and natural sciences","edition":"First","editor":[{"dropping-particle":"","family":"Barry","given":"Andrew","non-dropping-particle":"","parse-names":false,"suffix":""},{"dropping-particle":"","family":"Born","given":"Georgina","non-dropping-particle":"","parse-names":false,"suffix":""}],"id":"ITEM-1","issued":{"date-parts":[["2013"]]},"publisher":"Routledge","publisher-place":"Abingdon","title":"Interdisciplinarity","type":"chapter"},"uris":["http://www.mendeley.com/documents/?uuid=dc2c1214-8f4c-4044-9b55-f53f2ebfe129"]},{"id":"ITEM-2","itemData":{"DOI":"10.1016/j.futures.2013.09.003","ISBN":"0016-3287","ISSN":"00163287","abstract":"Increasingly, research is moving towards more interdisciplinary endeavours. Effective collaboration between people from different disciplines is necessary to maximize the potential benefits of interdisciplinarity for future research activity. This paper analyses an approach to fostering the skills required for successful cross-disciplinary collaboration from the perspective of an interdisciplinary group of early-career researchers. Our reflection on how specially designed encounters can help to shape future interdisciplinary research initiatives draws on the discussion of a four-day workshop, a post-event survey, and a review of other experiences. We conclude that interdisciplinary encounters are an effective means to support the development of future interdisciplinary researchers, with a major advantage of this approach being the opportunity for open communication. Depending on the organiser's aim, we distinguish between \"cultivation\" and \"development\" encounters. Among the multiple factors that produce successful interdisciplinary encounters, we found that selection of a theme, participants and location need to be tailored to the encounter's particular objectives. We recommend that funding bodies and other members of the research community should take note of the effectiveness of encounters to foster interdisciplinarity and generate space to develop more innovative and high-impact research that delivers solutions to the challenges facing humanity in the future. © 2013 The Authors.","author":[{"dropping-particle":"","family":"Bridle","given":"Helen","non-dropping-particle":"","parse-names":false,"suffix":""},{"dropping-particle":"","family":"Vrieling","given":"Anton","non-dropping-particle":"","parse-names":false,"suffix":""},{"dropping-particle":"","family":"Cardillo","given":"Monica","non-dropping-particle":"","parse-names":false,"suffix":""},{"dropping-particle":"","family":"Araya","given":"Yoseph","non-dropping-particle":"","parse-names":false,"suffix":""},{"dropping-particle":"","family":"Hinojosa","given":"Leonith","non-dropping-particle":"","parse-names":false,"suffix":""}],"container-title":"Futures","id":"ITEM-2","issued":{"date-parts":[["2013"]]},"page":"22-32","publisher":"Elsevier Ltd","title":"Preparing for an interdisciplinary future: A perspective from early-career researchers","type":"article-journal","volume":"53"},"uris":["http://www.mendeley.com/documents/?uuid=673f354c-ff89-425c-aaef-d3bb7a9acc69"]},{"id":"ITEM-3","itemData":{"DOI":"10.1016/j.envsci.2009.04.005","ISBN":"1462-9011","ISSN":"14629011","abstract":"This paper focuses on the practice of interdisciplinary research and its relationship with disciplines within the context of sustainability research. Disciplines are defined as institutions, i.e. conventions, norms or formally sanctioned rules that coordinate human action [Vatn, A., 2005. Institutions and the Environment. Edward Elgar Publishing, Cheltenham, UK). These institutions coordinate the practice of research. The central claim of this study is that interdisciplinary research occurs at the interplay between disciplinary institutions. These ideas are developed through the analysis of nine qualitative interviews conducted with established researchers who share an interest in studying issues of environmental sustainability. Specifically, this analysis identifies the motives of researchers who engage in interdisciplinary research and discusses the key characteristics of interdisciplinary research practice. The findings suggest that interdisciplinary research practice relies on disciplinary institutions as points of theoretical and methodological reference. Yet, the paper points at tensions that occur between the practice of interdisciplinary research and the practice of more traditional disciplinary research. © 2009.","author":[{"dropping-particle":"","family":"Broto","given":"Vanesa Castán","non-dropping-particle":"","parse-names":false,"suffix":""},{"dropping-particle":"","family":"Gislason","given":"Maya","non-dropping-particle":"","parse-names":false,"suffix":""},{"dropping-particle":"","family":"Ehlers","given":"Melf Hinrich","non-dropping-particle":"","parse-names":false,"suffix":""}],"container-title":"Environmental Science and Policy","id":"ITEM-3","issue":"7","issued":{"date-parts":[["2009"]]},"page":"922-933","title":"Practising interdisciplinarity in the interplay between disciplines: experiences of established researchers","type":"article-journal","volume":"12"},"uris":["http://www.mendeley.com/documents/?uuid=95a9afd4-27d0-42bf-bc71-ac5121829b3d"]}],"mendeley":{"formattedCitation":"(Barry &amp; Born, 2013; Bridle et al., 2013; Broto, Gislason, &amp; Ehlers, 2009)","plainTextFormattedCitation":"(Barry &amp; Born, 2013; Bridle et al., 2013; Broto, Gislason, &amp; Ehlers, 2009)","previouslyFormattedCitation":"(Barry &amp; Born, 2013; Bridle et al., 2013; Broto, Gislason, &amp; Ehlers, 2009)"},"properties":{"noteIndex":0},"schema":"https://github.com/citation-style-language/schema/raw/master/csl-citation.json"}</w:instrText>
      </w:r>
      <w:r>
        <w:fldChar w:fldCharType="separate"/>
      </w:r>
      <w:r>
        <w:rPr>
          <w:noProof/>
        </w:rPr>
        <w:t>(Barry &amp; Born, 2013; Bridle et al., 2013; Broto, Gislason, &amp; Ehlers, 2009)</w:t>
      </w:r>
      <w:r>
        <w:fldChar w:fldCharType="end"/>
      </w:r>
      <w:r>
        <w:t xml:space="preserve">. Using a transdisciplinary approach enables impact to be embedded within the design and process of the project, and therefore can make active and practical contributions to policy during and after the project has concluded. </w:t>
      </w:r>
    </w:p>
    <w:p w14:paraId="6DD28FB2" w14:textId="77777777" w:rsidR="00787F73" w:rsidRDefault="00787F73" w:rsidP="00866155"/>
    <w:p w14:paraId="41DF9321" w14:textId="03D76312" w:rsidR="00787F73" w:rsidRDefault="00742FB7" w:rsidP="00866155">
      <w:r>
        <w:rPr>
          <w:lang w:eastAsia="ko-KR"/>
        </w:rPr>
        <w:t xml:space="preserve">Within the academic discourse, this thesis made contributions </w:t>
      </w:r>
      <w:r w:rsidR="00C46AF1">
        <w:rPr>
          <w:lang w:eastAsia="ko-KR"/>
        </w:rPr>
        <w:t xml:space="preserve">to the </w:t>
      </w:r>
      <w:r>
        <w:rPr>
          <w:lang w:eastAsia="ko-KR"/>
        </w:rPr>
        <w:t>theoretical, methodological, and empirical</w:t>
      </w:r>
      <w:r w:rsidR="00C46AF1">
        <w:rPr>
          <w:lang w:eastAsia="ko-KR"/>
        </w:rPr>
        <w:t xml:space="preserve"> literatures and practice</w:t>
      </w:r>
      <w:r>
        <w:rPr>
          <w:lang w:eastAsia="ko-KR"/>
        </w:rPr>
        <w:t xml:space="preserve">. </w:t>
      </w:r>
      <w:r>
        <w:t>This research contributed to the theoretical literature through exploring the role of societal and field level institutional logics within SYFR’s communication. It contributed to the</w:t>
      </w:r>
      <w:r w:rsidR="001662CC">
        <w:t xml:space="preserve"> developing strand of institutional</w:t>
      </w:r>
      <w:r>
        <w:t xml:space="preserve"> literature on institutional messaging, pluralism, and complexity. This thesis also </w:t>
      </w:r>
      <w:r w:rsidR="00C46AF1">
        <w:t>built on</w:t>
      </w:r>
      <w:r>
        <w:t xml:space="preserve"> the communication theory literature, exploring the use of social media in disaster management, specifically whether social media can be a conduit for organisations to support communities with disaster resilience.</w:t>
      </w:r>
    </w:p>
    <w:p w14:paraId="391C2F62" w14:textId="77777777" w:rsidR="003F335F" w:rsidRDefault="003F335F" w:rsidP="00866155"/>
    <w:p w14:paraId="095286A4" w14:textId="77777777" w:rsidR="00787F73" w:rsidRDefault="003F335F" w:rsidP="00866155">
      <w:r>
        <w:t xml:space="preserve">This thesis adds to the methodological literature, using institutional ethnography and the analysis of a FRS social media account, which has not been conducted with an FRS before. This thesis further builds on the FRS literature through the examination of social media, with a focus on Public Information Campaigns (PIC). These contributions not only support the development of academic knowledge, but also actively supports SYFR and more wider practitioner knowledge. </w:t>
      </w:r>
    </w:p>
    <w:p w14:paraId="1AAC510E" w14:textId="77777777" w:rsidR="00787F73" w:rsidRDefault="00787F73" w:rsidP="00866155"/>
    <w:p w14:paraId="5FAE4852" w14:textId="06CD61C7" w:rsidR="00787F73" w:rsidRDefault="00742FB7" w:rsidP="00866155">
      <w:r>
        <w:t>This thesis also contributed to the community resilience literature. Working with two community groups enabled analysis of the differences in community composition, community assets and the role of social capital and their relationships to organisations such as SYFR. This community work also saw contributions to the digital divide literature, examining the different experiences within each community, and the resulting challenge for organisations such as SYFR to engage and support the full community. Collectively</w:t>
      </w:r>
      <w:r w:rsidR="00A8770E">
        <w:t>,</w:t>
      </w:r>
      <w:r>
        <w:t xml:space="preserve"> these </w:t>
      </w:r>
      <w:r w:rsidR="00C46AF1">
        <w:t xml:space="preserve">build on previous work and </w:t>
      </w:r>
      <w:r>
        <w:t>provide a contribution to the literature and policy, enabling SYFR to further examine their relationships with their communities and how people engage with their content on social media. </w:t>
      </w:r>
    </w:p>
    <w:p w14:paraId="3C196182" w14:textId="77777777" w:rsidR="00787F73" w:rsidRDefault="00787F73" w:rsidP="00866155">
      <w:pPr>
        <w:rPr>
          <w:highlight w:val="white"/>
        </w:rPr>
      </w:pPr>
    </w:p>
    <w:p w14:paraId="34BE8B66" w14:textId="102CD1FB" w:rsidR="00787F73" w:rsidRDefault="00742FB7" w:rsidP="00866155">
      <w:pPr>
        <w:pStyle w:val="Heading2"/>
      </w:pPr>
      <w:bookmarkStart w:id="47" w:name="_Toc153554297"/>
      <w:bookmarkStart w:id="48" w:name="_Toc193367178"/>
      <w:r>
        <w:rPr>
          <w:rFonts w:ascii="Calibri" w:hAnsi="Calibri" w:cs="Calibri"/>
        </w:rPr>
        <w:lastRenderedPageBreak/>
        <w:t>1.</w:t>
      </w:r>
      <w:r w:rsidR="00C24152">
        <w:rPr>
          <w:rFonts w:ascii="Calibri" w:hAnsi="Calibri" w:cs="Calibri"/>
        </w:rPr>
        <w:t>10</w:t>
      </w:r>
      <w:r>
        <w:rPr>
          <w:rFonts w:ascii="Calibri" w:hAnsi="Calibri" w:cs="Calibri"/>
        </w:rPr>
        <w:t>: Thesis structure</w:t>
      </w:r>
      <w:bookmarkEnd w:id="47"/>
      <w:bookmarkEnd w:id="48"/>
    </w:p>
    <w:p w14:paraId="0CF6935C" w14:textId="77777777" w:rsidR="00787F73" w:rsidRDefault="00742FB7" w:rsidP="00866155">
      <w:r>
        <w:t>The thesis is structured into seven chapters: this initial introduction to the project; a contextual background for the project via a literature review; a discussion of the methods used to collect and analyse the data; three empirical chapters; and a conclusion. </w:t>
      </w:r>
    </w:p>
    <w:p w14:paraId="4A7E7BE3" w14:textId="5EBC7A79" w:rsidR="00787F73" w:rsidRDefault="00742FB7" w:rsidP="00866155">
      <w:r>
        <w:t>Chapter 2 starts by examining the theoretical lens for this research, institutional theory</w:t>
      </w:r>
      <w:r w:rsidR="00CB4FCA">
        <w:t>. It</w:t>
      </w:r>
      <w:r>
        <w:t xml:space="preserve"> </w:t>
      </w:r>
      <w:r w:rsidR="00CB4FCA">
        <w:t xml:space="preserve">delves </w:t>
      </w:r>
      <w:r>
        <w:t>into institutional logics, plurality, and the role of agency within the institution. This provides a grounding to this research, as institutional logics are not only used as a lens but also as a phenomenon. This is followed by a discussion of the second theory used within this research, communication theory. In this section</w:t>
      </w:r>
      <w:r w:rsidR="00EB2AAB">
        <w:t>,</w:t>
      </w:r>
      <w:r>
        <w:t xml:space="preserve"> I provide an overview to communication theory, with a specific focus on exploring risk communication models and public information campaigns. Once the theoretical framework has been explored, the chapter moves into the conceptual elements of this project, disasters, community resilience, social media, and the FRS. In each of these sections, I provide a scaffolding approach to knowledge, exploring the main elements of each of these areas of literature and signposting gaps in the literature. Throughout this chapter, I draw out the key themes which are present across the different academic disciplines, such as</w:t>
      </w:r>
      <w:r w:rsidR="00EB2AAB">
        <w:t>:</w:t>
      </w:r>
      <w:r>
        <w:t xml:space="preserve"> temporality</w:t>
      </w:r>
      <w:r w:rsidR="00EB2AAB">
        <w:t>;</w:t>
      </w:r>
      <w:r>
        <w:t xml:space="preserve"> responsibility</w:t>
      </w:r>
      <w:r w:rsidR="00EB2AAB">
        <w:t>;</w:t>
      </w:r>
      <w:r>
        <w:t xml:space="preserve"> and the growing presence of neoliberalism within different sectors. With this contextualising of the project within the wider bodies of literature completed, I then move onto to discuss how the data were collected.</w:t>
      </w:r>
    </w:p>
    <w:p w14:paraId="716385BC" w14:textId="77777777" w:rsidR="00787F73" w:rsidRDefault="00787F73" w:rsidP="00866155"/>
    <w:p w14:paraId="120E6813" w14:textId="77777777" w:rsidR="00787F73" w:rsidRDefault="00742FB7" w:rsidP="00866155">
      <w:r>
        <w:t xml:space="preserve">Chapter 3 provides an explanation and examination of the different research approaches taken in this project. The chapter opens with a discussion of the philosophical grounding of the project, examining the interpretivist approach and the ontological and epistemological assumptions used in this research. This section then explores the research strategy used by the project, with a focus on engaged scholarship and the transdisciplinary approach of the project. Chapter 3 then delves into the data collection process, exploring institutional ethnography, the analysis of SYFR’s social media, and the focus groups and interviews conducted with members of the South Yorkshire community. This chapter then concludes with a discussion of the thematic analysis conducted, as well as the ethical considerations of the project and my reflections and positionality.  This chapter explains how the data were </w:t>
      </w:r>
      <w:r>
        <w:lastRenderedPageBreak/>
        <w:t>collected and assessed, and the following three chapters focus on the empirical findings, structured around each research question. </w:t>
      </w:r>
    </w:p>
    <w:p w14:paraId="4DBB4E3C" w14:textId="77777777" w:rsidR="00787F73" w:rsidRDefault="00787F73" w:rsidP="00866155"/>
    <w:p w14:paraId="25B52984" w14:textId="1E4BEACF" w:rsidR="00787F73" w:rsidRDefault="00742FB7" w:rsidP="00866155">
      <w:r>
        <w:t>Chapter 4 focuses on research question one: what</w:t>
      </w:r>
      <w:r>
        <w:rPr>
          <w:i/>
          <w:iCs/>
        </w:rPr>
        <w:t xml:space="preserve"> is SYFR’s communication strategy for building community disaster resilience?</w:t>
      </w:r>
      <w:r>
        <w:t xml:space="preserve"> Within this chapter, I explore whether SYFR have a working definition of resilience</w:t>
      </w:r>
      <w:r w:rsidR="00CB4FCA">
        <w:t xml:space="preserve">. I also analyse </w:t>
      </w:r>
      <w:r>
        <w:t>how, as an organisation, they work with communities in South Yorkshire, examining the high-level resilience plans by the Emergency Planning team to the home visits conducted by the Community Safety team. The chapter then moves to focus on the Communications team, exploring their communication strategy and use of PICs focusing on risk communication, with a focus on their use of social media. This chapter provides an explanation of how SYFR communicates risk with the citizens of South Yorkshire and highlights several institutional drivers which impact and affect how they communicate. </w:t>
      </w:r>
    </w:p>
    <w:p w14:paraId="32067F00" w14:textId="77777777" w:rsidR="00787F73" w:rsidRDefault="00787F73" w:rsidP="00866155"/>
    <w:p w14:paraId="3E42F8DE" w14:textId="4D1F406D" w:rsidR="00787F73" w:rsidRDefault="00742FB7" w:rsidP="00866155">
      <w:r>
        <w:t xml:space="preserve">Chapter 5 focuses on research question 2: </w:t>
      </w:r>
      <w:r>
        <w:rPr>
          <w:i/>
          <w:iCs/>
        </w:rPr>
        <w:t>What influences and shapes SYFR’s communication strategy?</w:t>
      </w:r>
      <w:r>
        <w:t xml:space="preserve"> This chapter examines the different institutional logics and drivers which I interpreted from the data collected using the institutional ethnography. </w:t>
      </w:r>
      <w:r w:rsidR="002D74EE">
        <w:t>Chapter 5</w:t>
      </w:r>
      <w:r>
        <w:t xml:space="preserve"> is divided into three sections: the first examining the macro societal logics of state and the community; the second examines the field level logics with a focus on the professional logics of the communications profession and journalism; and the final section examines the role of context within these different societal and field logics, using COVID-19 as an example for the changing institutional drivers and their impact on SYFR’s communication. Chapter 4 and 5 focused on SYFR’s communication strategy and why </w:t>
      </w:r>
      <w:r w:rsidR="004C6C39">
        <w:t>the</w:t>
      </w:r>
      <w:r>
        <w:t xml:space="preserve"> strategy </w:t>
      </w:r>
      <w:r w:rsidR="004C6C39">
        <w:t>had</w:t>
      </w:r>
      <w:r>
        <w:t xml:space="preserve"> been created in this manner</w:t>
      </w:r>
      <w:r w:rsidR="00CB4FCA">
        <w:t>.</w:t>
      </w:r>
      <w:r>
        <w:t xml:space="preserve"> Chapter 6 examines whether </w:t>
      </w:r>
      <w:r w:rsidR="004C6C39">
        <w:t>the</w:t>
      </w:r>
      <w:r>
        <w:t xml:space="preserve"> communication </w:t>
      </w:r>
      <w:r w:rsidR="004C6C39">
        <w:t>was</w:t>
      </w:r>
      <w:r>
        <w:t xml:space="preserve"> reaching the intended audience and explores some of the South Yorkshire communities’ experiences surrounding resilience, disasters, and the use of social media.</w:t>
      </w:r>
    </w:p>
    <w:p w14:paraId="2A523CA2" w14:textId="77777777" w:rsidR="00787F73" w:rsidRDefault="00787F73" w:rsidP="00866155"/>
    <w:p w14:paraId="2FECE07B" w14:textId="4490AA5C" w:rsidR="00787F73" w:rsidRDefault="00742FB7" w:rsidP="00866155">
      <w:r>
        <w:t xml:space="preserve">Chapter 6 focuses on research question 3: </w:t>
      </w:r>
      <w:r>
        <w:rPr>
          <w:i/>
          <w:iCs/>
        </w:rPr>
        <w:t xml:space="preserve">Who is engaging with SYFR’s content on social media and what implications are there for community resilience?  </w:t>
      </w:r>
      <w:r>
        <w:t xml:space="preserve">This chapter is divided into two sections: </w:t>
      </w:r>
      <w:r w:rsidR="00EB2AAB">
        <w:t xml:space="preserve">an examination of </w:t>
      </w:r>
      <w:r>
        <w:t>SYFR’s online community</w:t>
      </w:r>
      <w:r w:rsidR="00EB2AAB">
        <w:t>;</w:t>
      </w:r>
      <w:r>
        <w:t xml:space="preserve"> and </w:t>
      </w:r>
      <w:r w:rsidR="00EB2AAB">
        <w:t xml:space="preserve">an </w:t>
      </w:r>
      <w:r w:rsidR="00F36AC6">
        <w:t>examination</w:t>
      </w:r>
      <w:r w:rsidR="00EB2AAB">
        <w:t xml:space="preserve"> of</w:t>
      </w:r>
      <w:r>
        <w:t xml:space="preserve"> two community groups in South Yorkshire. The first section examines SYFR’s Twitter account, </w:t>
      </w:r>
      <w:r>
        <w:lastRenderedPageBreak/>
        <w:t>focusing on their followers and mentions, exploring their active and passive network on Twitter. The second section examines the two community groups, one of which is classed as a high-risk location and the other is classed as a low-risk location. This chapter highlights the challenges that SYFR faces when communicating with groups surrounding risk and building resilience, including the role of social media and the digital divide. </w:t>
      </w:r>
    </w:p>
    <w:p w14:paraId="37D2A4AB" w14:textId="77777777" w:rsidR="00787F73" w:rsidRDefault="00742FB7" w:rsidP="00866155">
      <w:r>
        <w:t>Finally, Chapter 7 concludes the thesis, providing an overview of the key findings and contributions made throughout. This chapter highlights the challenges faced by SYFR with a growing pressure and institutional logics to develop community resilience, but without the support or resources with which to conduct this work. This chapter suggests implications for policy and potential avenues for policy and future research to further examine and explore this topic.</w:t>
      </w:r>
    </w:p>
    <w:p w14:paraId="27041202" w14:textId="77777777" w:rsidR="00787F73" w:rsidRDefault="00787F73" w:rsidP="00866155">
      <w:pPr>
        <w:rPr>
          <w:rFonts w:cs="Calibri"/>
        </w:rPr>
      </w:pPr>
    </w:p>
    <w:p w14:paraId="6233A10E" w14:textId="7CE457C5" w:rsidR="00787F73" w:rsidRDefault="00742FB7" w:rsidP="00866155">
      <w:pPr>
        <w:pStyle w:val="Heading2"/>
      </w:pPr>
      <w:bookmarkStart w:id="49" w:name="_Toc153554298"/>
      <w:bookmarkStart w:id="50" w:name="_Toc193367179"/>
      <w:r>
        <w:rPr>
          <w:rFonts w:ascii="Calibri" w:hAnsi="Calibri" w:cs="Calibri"/>
        </w:rPr>
        <w:t>1.1</w:t>
      </w:r>
      <w:r w:rsidR="00C24152">
        <w:rPr>
          <w:rFonts w:ascii="Calibri" w:hAnsi="Calibri" w:cs="Calibri"/>
        </w:rPr>
        <w:t>1</w:t>
      </w:r>
      <w:r>
        <w:rPr>
          <w:rFonts w:ascii="Calibri" w:hAnsi="Calibri" w:cs="Calibri"/>
        </w:rPr>
        <w:t>: Chapter summary</w:t>
      </w:r>
      <w:bookmarkEnd w:id="49"/>
      <w:bookmarkEnd w:id="50"/>
    </w:p>
    <w:p w14:paraId="71B6771E" w14:textId="28798273" w:rsidR="00787F73" w:rsidRDefault="00742FB7" w:rsidP="002D74EE">
      <w:r>
        <w:rPr>
          <w:rFonts w:cs="Calibri"/>
        </w:rPr>
        <w:t xml:space="preserve">This chapter has introduced the collaborative nature of the project and contains a brief introduction to the </w:t>
      </w:r>
      <w:r w:rsidR="002D74EE">
        <w:rPr>
          <w:rFonts w:cs="Calibri"/>
        </w:rPr>
        <w:t xml:space="preserve">context of the research, the Fire and Rescue Service. This then led to an introduction of the </w:t>
      </w:r>
      <w:r>
        <w:rPr>
          <w:rFonts w:cs="Calibri"/>
        </w:rPr>
        <w:t xml:space="preserve">project partner, SYFR. </w:t>
      </w:r>
      <w:r w:rsidR="002D74EE">
        <w:rPr>
          <w:rFonts w:cs="Calibri"/>
        </w:rPr>
        <w:t>This chapter then provided a</w:t>
      </w:r>
      <w:r>
        <w:rPr>
          <w:rFonts w:cs="Calibri"/>
        </w:rPr>
        <w:t xml:space="preserve"> research rationale, exploring the increased need for community disaster resilience, and the increasing use of social media by organisations. </w:t>
      </w:r>
      <w:r w:rsidR="002D74EE">
        <w:rPr>
          <w:rFonts w:cs="Calibri"/>
        </w:rPr>
        <w:t>This was followed by</w:t>
      </w:r>
      <w:r>
        <w:rPr>
          <w:rFonts w:cs="Calibri"/>
        </w:rPr>
        <w:t xml:space="preserve"> a brief theoretical background to the project, introducing the two theories that informed the work: institutional and communication. After this wider context, this chapter introduced </w:t>
      </w:r>
      <w:r>
        <w:rPr>
          <w:rFonts w:cs="Calibri"/>
        </w:rPr>
        <w:softHyphen/>
      </w:r>
      <w:r>
        <w:rPr>
          <w:rFonts w:cs="Calibri"/>
        </w:rPr>
        <w:softHyphen/>
      </w:r>
      <w:r>
        <w:rPr>
          <w:rFonts w:cs="Calibri"/>
        </w:rPr>
        <w:softHyphen/>
        <w:t>the research aim and research questions, followed by the methodology. The final section discussed the contributions that I hope to have made and the structure of the thesis.</w:t>
      </w:r>
    </w:p>
    <w:p w14:paraId="00049C5C" w14:textId="77777777" w:rsidR="00787F73" w:rsidRDefault="00742FB7" w:rsidP="00866155">
      <w:pPr>
        <w:rPr>
          <w:rFonts w:cs="Calibri"/>
        </w:rPr>
      </w:pPr>
      <w:r>
        <w:br w:type="page"/>
      </w:r>
    </w:p>
    <w:p w14:paraId="4BEF1C9C" w14:textId="77777777" w:rsidR="00787F73" w:rsidRDefault="00742FB7" w:rsidP="00866155">
      <w:pPr>
        <w:pStyle w:val="Heading1"/>
        <w:spacing w:before="0"/>
        <w:jc w:val="center"/>
      </w:pPr>
      <w:bookmarkStart w:id="51" w:name="_Hlk97715685"/>
      <w:bookmarkStart w:id="52" w:name="_Hlk148168031"/>
      <w:bookmarkStart w:id="53" w:name="_Toc158823540"/>
      <w:bookmarkStart w:id="54" w:name="_Toc153554299"/>
      <w:bookmarkStart w:id="55" w:name="_Toc193367180"/>
      <w:bookmarkEnd w:id="51"/>
      <w:bookmarkEnd w:id="52"/>
      <w:r>
        <w:rPr>
          <w:rFonts w:ascii="Calibri" w:hAnsi="Calibri" w:cs="Calibri"/>
        </w:rPr>
        <w:lastRenderedPageBreak/>
        <w:t>Chapter 2: Literature Review</w:t>
      </w:r>
      <w:bookmarkEnd w:id="53"/>
      <w:bookmarkEnd w:id="54"/>
      <w:bookmarkEnd w:id="55"/>
    </w:p>
    <w:p w14:paraId="2F296670" w14:textId="32E48CEF" w:rsidR="00787F73" w:rsidRDefault="00742FB7" w:rsidP="00E63BCC">
      <w:pPr>
        <w:contextualSpacing/>
      </w:pPr>
      <w:r>
        <w:rPr>
          <w:rFonts w:cs="Calibri"/>
        </w:rPr>
        <w:t>This thesis focused on how SYFR used social media for community disaster resilience</w:t>
      </w:r>
      <w:r w:rsidR="00E63BCC">
        <w:rPr>
          <w:rFonts w:cs="Calibri"/>
        </w:rPr>
        <w:t>. T</w:t>
      </w:r>
      <w:r>
        <w:rPr>
          <w:rFonts w:cs="Calibri"/>
        </w:rPr>
        <w:t>h</w:t>
      </w:r>
      <w:r w:rsidR="00B84810">
        <w:rPr>
          <w:rFonts w:cs="Calibri"/>
        </w:rPr>
        <w:t>e</w:t>
      </w:r>
      <w:r>
        <w:rPr>
          <w:rFonts w:cs="Calibri"/>
        </w:rPr>
        <w:t xml:space="preserve"> active partnership with SYFR made this a transdisciplinary project,</w:t>
      </w:r>
      <w:r w:rsidR="00E63BCC">
        <w:rPr>
          <w:rFonts w:cs="Calibri"/>
        </w:rPr>
        <w:t xml:space="preserve"> which </w:t>
      </w:r>
      <w:r w:rsidR="00B84810">
        <w:rPr>
          <w:rFonts w:cs="Calibri"/>
        </w:rPr>
        <w:t>is</w:t>
      </w:r>
      <w:r w:rsidR="00E63BCC">
        <w:rPr>
          <w:rFonts w:cs="Calibri"/>
        </w:rPr>
        <w:t xml:space="preserve"> a project</w:t>
      </w:r>
      <w:r>
        <w:rPr>
          <w:rFonts w:cs="Calibri"/>
        </w:rPr>
        <w:t xml:space="preserve"> </w:t>
      </w:r>
      <w:r w:rsidR="00EC1DEC">
        <w:rPr>
          <w:rFonts w:cs="Calibri"/>
        </w:rPr>
        <w:t>that</w:t>
      </w:r>
      <w:r w:rsidR="00E63BCC">
        <w:rPr>
          <w:rFonts w:cs="Calibri"/>
        </w:rPr>
        <w:t xml:space="preserve"> incorporates and utilises </w:t>
      </w:r>
      <w:r w:rsidR="0017242F">
        <w:rPr>
          <w:rFonts w:cs="Calibri"/>
        </w:rPr>
        <w:t>both</w:t>
      </w:r>
      <w:r>
        <w:rPr>
          <w:rFonts w:cs="Calibri"/>
        </w:rPr>
        <w:t xml:space="preserve"> academic and practitioner </w:t>
      </w:r>
      <w:r w:rsidR="00E63BCC">
        <w:rPr>
          <w:rFonts w:cs="Calibri"/>
        </w:rPr>
        <w:t>knowledge</w:t>
      </w:r>
      <w:r w:rsidR="00E63BCC" w:rsidRPr="00E63BCC">
        <w:rPr>
          <w:rFonts w:cs="Calibri"/>
        </w:rPr>
        <w:t xml:space="preserve"> </w:t>
      </w:r>
      <w:r w:rsidR="00E63BCC" w:rsidRPr="00E63BCC">
        <w:rPr>
          <w:rFonts w:cs="Calibri"/>
        </w:rPr>
        <w:fldChar w:fldCharType="begin" w:fldLock="1"/>
      </w:r>
      <w:r w:rsidR="00E63BCC" w:rsidRPr="00E63BCC">
        <w:rPr>
          <w:rFonts w:cs="Calibri"/>
        </w:rPr>
        <w:instrText>ADDIN CSL_CITATION {"citationItems":[{"id":"ITEM-1","itemData":{"DOI":"10.1080/26395916.2021.1931452","ISSN":"26395916","abstract":"Transdisciplinary research that bridges science and society is needed to address the complex social-ecological sustainability challenges we are facing. However, many transdisciplinary researchers grapple with balancing the competing demands of scientific rigour and excellence, societal impact and engagement, and self-care. This is especially evident in the growing literature by early-career researchers describing the challenges of pursuing a transdisciplinary research career in social-ecological sustainability research. To guide discussion and reflection towards a flourishing transdisciplinary research practice, we synthesized our own and other researchers’ experiences of using a transdisciplinary approach and formulated the heuristic of the ‘Triple-S’: caring for Science, Society and Self. This heuristic adds the frequently overlooked personal aspects of transdisciplinary research. Current dominant academic structures, cultures and metrics of success are not supporting a balanced and flourishing transdisciplinary research practice, but rather creating and exacerbating the trade-offs between these three aspects. As an example of a solutions-oriented approach, we developed a theory of change to address the changes we see are necessary to enable a transdisciplinary research practice in line with the Triple-S. We hope that this will foster academic environments where transdisciplinary research practice can flourish and the next generation of researchers are not burnt-out, but empowered.","author":[{"dropping-particle":"","family":"Sellberg","given":"My M.","non-dropping-particle":"","parse-names":false,"suffix":""},{"dropping-particle":"","family":"Cockburn","given":"Jessica","non-dropping-particle":"","parse-names":false,"suffix":""},{"dropping-particle":"","family":"Holden","given":"Petra B.","non-dropping-particle":"","parse-names":false,"suffix":""},{"dropping-particle":"","family":"Lam","given":"David P.M.","non-dropping-particle":"","parse-names":false,"suffix":""}],"container-title":"Ecosystems and People","id":"ITEM-1","issue":"1","issued":{"date-parts":[["2021"]]},"page":"292-305","title":"Towards a caring transdisciplinary research practice: navigating science, society and self","type":"article-journal","volume":"17"},"uris":["http://www.mendeley.com/documents/?uuid=30c854bf-e6eb-4d29-a8b2-6489b3d8f6e4"]},{"id":"ITEM-2","itemData":{"ISBN":"4159902000598","ISSN":"2662-9992","author":[{"dropping-particle":"","family":"Rigolot","given":"Cyrille","non-dropping-particle":"","parse-names":false,"suffix":""}],"container-title":"Humanities and Social Sciences Communications","id":"ITEM-2","issue":"100","issued":{"date-parts":[["2020"]]},"page":"1-5","title":"Transdisciplinarity as a discipline and a way of being: complementarities and creative tensions","type":"article-journal","volume":"7"},"uris":["http://www.mendeley.com/documents/?uuid=1cf1a49e-83f1-4bbe-8595-25063f6e6b2f"]},{"id":"ITEM-3","itemData":{"author":[{"dropping-particle":"","family":"Lawrence","given":"Mark G","non-dropping-particle":"","parse-names":false,"suffix":""},{"dropping-particle":"","family":"Williams","given":"Stephen","non-dropping-particle":"","parse-names":false,"suffix":""},{"dropping-particle":"","family":"Nanz","given":"Patrizia","non-dropping-particle":"","parse-names":false,"suffix":""},{"dropping-particle":"","family":"Renn","given":"Ortwin","non-dropping-particle":"","parse-names":false,"suffix":""}],"container-title":"One Earth","id":"ITEM-3","issue":"1","issued":{"date-parts":[["2022"]]},"page":"44-61.","title":"Characteristics, potentials, and challenges of transdisciplinary research","type":"article-journal","volume":"5"},"uris":["http://www.mendeley.com/documents/?uuid=cfeb06b1-c46b-48d6-88eb-c2bb4aefa648"]},{"id":"ITEM-4","itemData":{"ISBN":"0123456789","author":[{"dropping-particle":"","family":"Plummer","given":"Ryan","non-dropping-particle":"","parse-names":false,"suffix":""},{"dropping-particle":"","family":"Blythe","given":"Jessica","non-dropping-particle":"","parse-names":false,"suffix":""},{"dropping-particle":"","family":"Gurney","given":"Georgina G","non-dropping-particle":"","parse-names":false,"suffix":""},{"dropping-particle":"","family":"Witkowski","given":"Samantha","non-dropping-particle":"","parse-names":false,"suffix":""},{"dropping-particle":"","family":"Armitage","given":"Derek","non-dropping-particle":"","parse-names":false,"suffix":""}],"container-title":"Sustainability Science","id":"ITEM-4","issued":{"date-parts":[["2022"]]},"page":"955-967","title":"Transdisciplinary partnerships for sustainability: an evaluation guide","type":"article-journal","volume":"17"},"uris":["http://www.mendeley.com/documents/?uuid=0640535f-e4b9-4800-8bf1-5f117747c88a"]},{"id":"ITEM-5","itemData":{"DOI":"10.1002/sd.2281","author":[{"dropping-particle":"","family":"Kruijf","given":"Joanne Vinke-de","non-dropping-particle":"","parse-names":false,"suffix":""},{"dropping-particle":"","family":"Verbrugge","given":"Laura","non-dropping-particle":"","parse-names":false,"suffix":""},{"dropping-particle":"","family":"Schröter","given":"Barbara","non-dropping-particle":"","parse-names":false,"suffix":""},{"dropping-particle":"","family":"Fliervoet","given":"Jan","non-dropping-particle":"","parse-names":false,"suffix":""},{"dropping-particle":"","family":"Henze","given":"Jennifer","non-dropping-particle":"","parse-names":false,"suffix":""},{"dropping-particle":"","family":"Albert","given":"Christian","non-dropping-particle":"","parse-names":false,"suffix":""}],"container-title":"Sustainable Development","id":"ITEM-5","issue":"2","issued":{"date-parts":[["2022"]]},"page":"393-405","title":"Knowledge co-production and researcher roles in transdisciplinary environmental management projects","type":"article-journal","volume":"30"},"uris":["http://www.mendeley.com/documents/?uuid=1176cab8-7afa-49d2-b49e-808c2ad5ad43"]}],"mendeley":{"formattedCitation":"(Kruijf et al., 2022; Lawrence et al., 2022; Plummer et al., 2022; Sellberg et al., 2021; Rigolot, 2020)","plainTextFormattedCitation":"(Kruijf et al., 2022; Lawrence et al., 2022; Plummer et al., 2022; Sellberg et al., 2021; Rigolot, 2020)","previouslyFormattedCitation":"(Kruijf et al., 2022; Lawrence et al., 2022; Plummer et al., 2022; Sellberg et al., 2021; Rigolot, 2020)"},"properties":{"noteIndex":0},"schema":"https://github.com/citation-style-language/schema/raw/master/csl-citation.json"}</w:instrText>
      </w:r>
      <w:r w:rsidR="00E63BCC" w:rsidRPr="00E63BCC">
        <w:rPr>
          <w:rFonts w:cs="Calibri"/>
        </w:rPr>
        <w:fldChar w:fldCharType="separate"/>
      </w:r>
      <w:r w:rsidR="00E63BCC" w:rsidRPr="00E63BCC">
        <w:rPr>
          <w:rFonts w:cs="Calibri"/>
          <w:noProof/>
        </w:rPr>
        <w:t>(Kruijf et al., 2022; Lawrence et al., 2022; Plummer et al., 2022; Sellberg et al., 2021; Rigolot, 2020)</w:t>
      </w:r>
      <w:r w:rsidR="00E63BCC" w:rsidRPr="00E63BCC">
        <w:rPr>
          <w:rFonts w:cs="Calibri"/>
        </w:rPr>
        <w:fldChar w:fldCharType="end"/>
      </w:r>
      <w:r w:rsidR="00E63BCC">
        <w:rPr>
          <w:rFonts w:cs="Calibri"/>
        </w:rPr>
        <w:t>.</w:t>
      </w:r>
      <w:r w:rsidR="00902594">
        <w:rPr>
          <w:rFonts w:cs="Calibri"/>
        </w:rPr>
        <w:t xml:space="preserve"> A transdisciplinary approach was chosen due to the collaborative nature of the project, as SYFR were a project partner and were therefore actively involved in the design phase. </w:t>
      </w:r>
      <w:r w:rsidR="00E63BCC">
        <w:rPr>
          <w:rFonts w:cs="Calibri"/>
        </w:rPr>
        <w:t>Due to the transdisciplinary nature of the project</w:t>
      </w:r>
      <w:r w:rsidR="00902594">
        <w:rPr>
          <w:rFonts w:cs="Calibri"/>
        </w:rPr>
        <w:t>,</w:t>
      </w:r>
      <w:r w:rsidR="00E63BCC">
        <w:rPr>
          <w:rFonts w:cs="Calibri"/>
        </w:rPr>
        <w:t xml:space="preserve"> I used </w:t>
      </w:r>
      <w:r>
        <w:rPr>
          <w:rFonts w:cs="Calibri"/>
        </w:rPr>
        <w:t>two different theories</w:t>
      </w:r>
      <w:r w:rsidR="00E63BCC">
        <w:rPr>
          <w:rFonts w:cs="Calibri"/>
        </w:rPr>
        <w:t>,</w:t>
      </w:r>
      <w:r>
        <w:rPr>
          <w:rFonts w:cs="Calibri"/>
        </w:rPr>
        <w:t xml:space="preserve"> institutional and communication</w:t>
      </w:r>
      <w:r w:rsidR="00E63BCC">
        <w:rPr>
          <w:rFonts w:cs="Calibri"/>
        </w:rPr>
        <w:t>. Combining these two theories enabled me to examine</w:t>
      </w:r>
      <w:r w:rsidR="00902594">
        <w:rPr>
          <w:rFonts w:cs="Calibri"/>
        </w:rPr>
        <w:t xml:space="preserve"> how and why SYFR were communicating with the public. </w:t>
      </w:r>
    </w:p>
    <w:p w14:paraId="624BAF40" w14:textId="77777777" w:rsidR="00787F73" w:rsidRDefault="00787F73" w:rsidP="00866155">
      <w:pPr>
        <w:contextualSpacing/>
        <w:rPr>
          <w:rFonts w:cs="Calibri"/>
        </w:rPr>
      </w:pPr>
    </w:p>
    <w:p w14:paraId="0C8F1EEB" w14:textId="7D8F658B" w:rsidR="00787F73" w:rsidRDefault="00742FB7" w:rsidP="00866155">
      <w:pPr>
        <w:contextualSpacing/>
      </w:pPr>
      <w:r>
        <w:rPr>
          <w:rFonts w:cs="Calibri"/>
        </w:rPr>
        <w:t>To examine an organisation’s use of social media, there needs to be a clear understanding of the external and internal influences on an organisation</w:t>
      </w:r>
      <w:r w:rsidR="0017242F">
        <w:rPr>
          <w:rFonts w:cs="Calibri"/>
        </w:rPr>
        <w:t xml:space="preserve">. This understanding </w:t>
      </w:r>
      <w:r>
        <w:rPr>
          <w:rFonts w:cs="Calibri"/>
        </w:rPr>
        <w:t>can provide meaningful insights into why organisations act in certain ways. This can</w:t>
      </w:r>
      <w:r w:rsidR="0017242F">
        <w:rPr>
          <w:rFonts w:cs="Calibri"/>
        </w:rPr>
        <w:t xml:space="preserve"> therefore</w:t>
      </w:r>
      <w:r>
        <w:rPr>
          <w:rFonts w:cs="Calibri"/>
        </w:rPr>
        <w:t xml:space="preserve"> help people within those organisations to utilise the</w:t>
      </w:r>
      <w:r w:rsidR="0017242F">
        <w:rPr>
          <w:rFonts w:cs="Calibri"/>
        </w:rPr>
        <w:t>se</w:t>
      </w:r>
      <w:r>
        <w:rPr>
          <w:rFonts w:cs="Calibri"/>
        </w:rPr>
        <w:t xml:space="preserve"> influences or drivers to meet </w:t>
      </w:r>
      <w:r w:rsidR="0017242F">
        <w:rPr>
          <w:rFonts w:cs="Calibri"/>
        </w:rPr>
        <w:t>their goals</w:t>
      </w:r>
      <w:r>
        <w:rPr>
          <w:rFonts w:cs="Calibri"/>
        </w:rPr>
        <w:t>, such as supporting community resilience. To enhance understanding of this area this research uses an institutional theory lens.</w:t>
      </w:r>
    </w:p>
    <w:p w14:paraId="69A1C9BA" w14:textId="0137839B" w:rsidR="00787F73" w:rsidRDefault="00787F73" w:rsidP="00866155">
      <w:pPr>
        <w:tabs>
          <w:tab w:val="left" w:pos="2307"/>
        </w:tabs>
        <w:contextualSpacing/>
      </w:pPr>
    </w:p>
    <w:p w14:paraId="7EC4D2C9" w14:textId="652D5FC6" w:rsidR="00787F73" w:rsidRDefault="00742FB7" w:rsidP="005331E6">
      <w:pPr>
        <w:contextualSpacing/>
      </w:pPr>
      <w:r>
        <w:rPr>
          <w:rFonts w:cs="Calibri"/>
        </w:rPr>
        <w:t xml:space="preserve">Secondly, this project focused on whether social media </w:t>
      </w:r>
      <w:r>
        <w:rPr>
          <w:rFonts w:cs="Calibri"/>
          <w:i/>
          <w:iCs/>
        </w:rPr>
        <w:t>can</w:t>
      </w:r>
      <w:r>
        <w:rPr>
          <w:rFonts w:cs="Calibri"/>
        </w:rPr>
        <w:t xml:space="preserve"> be an effective tool to create and foster community disaster resilience. For this reason, this project </w:t>
      </w:r>
      <w:r w:rsidR="009727AC">
        <w:rPr>
          <w:rFonts w:cs="Calibri"/>
        </w:rPr>
        <w:t>used</w:t>
      </w:r>
      <w:r>
        <w:rPr>
          <w:rFonts w:cs="Calibri"/>
        </w:rPr>
        <w:t xml:space="preserve"> a second theory</w:t>
      </w:r>
      <w:r w:rsidR="00CB4FCA">
        <w:rPr>
          <w:rFonts w:cs="Calibri"/>
        </w:rPr>
        <w:t>:</w:t>
      </w:r>
      <w:r>
        <w:rPr>
          <w:rFonts w:cs="Calibri"/>
        </w:rPr>
        <w:t xml:space="preserve"> communication theory</w:t>
      </w:r>
      <w:r w:rsidR="00CB4FCA">
        <w:rPr>
          <w:rFonts w:cs="Calibri"/>
        </w:rPr>
        <w:t>. This theory was chosen</w:t>
      </w:r>
      <w:r>
        <w:rPr>
          <w:rFonts w:cs="Calibri"/>
        </w:rPr>
        <w:t xml:space="preserve"> to better understand the communication process between SYFR and its communities, and the role of risk communication and public information campaigns. </w:t>
      </w:r>
    </w:p>
    <w:p w14:paraId="5FD770A3" w14:textId="77777777" w:rsidR="00787F73" w:rsidRDefault="00787F73" w:rsidP="00866155">
      <w:pPr>
        <w:contextualSpacing/>
        <w:rPr>
          <w:rFonts w:cs="Calibri"/>
        </w:rPr>
      </w:pPr>
    </w:p>
    <w:p w14:paraId="670914B9" w14:textId="26461802" w:rsidR="00787F73" w:rsidRDefault="00742FB7" w:rsidP="00866155">
      <w:pPr>
        <w:contextualSpacing/>
        <w:rPr>
          <w:rFonts w:cs="Calibri"/>
        </w:rPr>
      </w:pPr>
      <w:r>
        <w:rPr>
          <w:rFonts w:cs="Calibri"/>
        </w:rPr>
        <w:t xml:space="preserve">After presenting the theoretical grounding to the project, this chapter examines the contextual framing for the project: disasters. This section provides a definition of disasters and examines the temporality of disasters, focusing on the </w:t>
      </w:r>
      <w:r w:rsidR="00921B36">
        <w:rPr>
          <w:rFonts w:cs="Calibri"/>
        </w:rPr>
        <w:t>disaster management cycle</w:t>
      </w:r>
      <w:r>
        <w:rPr>
          <w:rFonts w:cs="Calibri"/>
        </w:rPr>
        <w:t>. This leads into the conceptual context for this project</w:t>
      </w:r>
      <w:r w:rsidR="00EC1DEC">
        <w:rPr>
          <w:rFonts w:cs="Calibri"/>
        </w:rPr>
        <w:t>:</w:t>
      </w:r>
      <w:r>
        <w:rPr>
          <w:rFonts w:cs="Calibri"/>
        </w:rPr>
        <w:t xml:space="preserve"> community resilience</w:t>
      </w:r>
      <w:r w:rsidR="0017242F">
        <w:rPr>
          <w:rFonts w:cs="Calibri"/>
        </w:rPr>
        <w:t xml:space="preserve">. The community resilience section </w:t>
      </w:r>
      <w:r>
        <w:rPr>
          <w:rFonts w:cs="Calibri"/>
        </w:rPr>
        <w:t xml:space="preserve">provides definitions and explores how organisations can be involved in creating and developing resilience, as well as examining the neoliberal agenda’s relationship to community resilience. The next section explores social media, again providing definitions </w:t>
      </w:r>
      <w:r>
        <w:rPr>
          <w:rFonts w:cs="Calibri"/>
        </w:rPr>
        <w:lastRenderedPageBreak/>
        <w:t xml:space="preserve">of the key terms, but also examining how social media can be used by individuals and organisations, and some of the challenges of social media, such as the digital divide. This chapter concludes with the empirical focus of this thesis, the FRS, and examines the political context and some of pertinent white papers and parliamentary acts which influence how the FRS operates. </w:t>
      </w:r>
    </w:p>
    <w:p w14:paraId="626CF28B" w14:textId="77777777" w:rsidR="002968BF" w:rsidRDefault="002968BF" w:rsidP="00866155">
      <w:pPr>
        <w:contextualSpacing/>
        <w:rPr>
          <w:rFonts w:cs="Calibri"/>
        </w:rPr>
      </w:pPr>
    </w:p>
    <w:p w14:paraId="08A1A993" w14:textId="77777777" w:rsidR="00647368" w:rsidRDefault="00647368" w:rsidP="00647368">
      <w:pPr>
        <w:pStyle w:val="Normal0"/>
        <w:spacing w:line="360" w:lineRule="auto"/>
        <w:rPr>
          <w:rFonts w:ascii="Calibri" w:hAnsi="Calibri" w:cs="Calibri"/>
        </w:rPr>
      </w:pPr>
      <w:r w:rsidRPr="00A0151B">
        <w:rPr>
          <w:rFonts w:ascii="Calibri" w:hAnsi="Calibri" w:cs="Calibri"/>
        </w:rPr>
        <w:t xml:space="preserve">There are numerous ways to conduct literature reviews, such as systematic, semi-systematic, integrative, and narrative </w:t>
      </w:r>
      <w:r w:rsidRPr="00A0151B">
        <w:rPr>
          <w:rFonts w:ascii="Calibri" w:hAnsi="Calibri" w:cs="Calibri"/>
        </w:rPr>
        <w:fldChar w:fldCharType="begin" w:fldLock="1"/>
      </w:r>
      <w:r w:rsidR="00BB0539">
        <w:rPr>
          <w:rFonts w:ascii="Calibri" w:hAnsi="Calibri" w:cs="Calibri"/>
        </w:rPr>
        <w:instrText>ADDIN CSL_CITATION {"citationItems":[{"id":"ITEM-1","itemData":{"DOI":"10.1016/j.jbusres.2019.07.039","ISSN":"01482963","abstract":"Knowledge production within the field of business research is accelerating at a tremendous speed while at the same time remaining fragmented and interdisciplinary. This makes it hard to keep up with state-of-the-art and to be at the forefront of research, as well as to assess the collective evidence in a particular area of business research. This is why the literature review as a research method is more relevant than ever. Traditional literature reviews often lack thoroughness and rigor and are conducted ad hoc, rather than following a specific methodology. Therefore, questions can be raised about the quality and trustworthiness of these types of reviews. This paper discusses literature review as a methodology for conducting research and offers an overview of different types of reviews, as well as some guidelines to how to both conduct and evaluate a literature review paper. It also discusses common pitfalls and how to get literature reviews published.","author":[{"dropping-particle":"","family":"Snyder","given":"Hannah","non-dropping-particle":"","parse-names":false,"suffix":""}],"container-title":"Journal of Business Research","id":"ITEM-1","issue":"July","issued":{"date-parts":[["2019"]]},"page":"333-339","title":"Literature review as a research methodology: An overview and guidelines","type":"article-journal","volume":"104"},"uris":["http://www.mendeley.com/documents/?uuid=5e3fd6b7-a3c7-4f13-99c2-7398dc8d708a"]},{"id":"ITEM-2","itemData":{"DOI":"10.1111/1467-8551.00375","ISSN":"10453172","abstract":"Undertaking a review of the literature is an important part of any research project. The researcher both maps and assesses the relevant intellectual territory in order to specify a research question which will further develop the knowledge base. However, traditional 'narrative' reviews frequently lack thoroughness, and in many cases are not undertaken as genuine pieces of investigatory science. Consequently they can lack a means for making sense of what the collection of studies is saying. These reviews can be biased by the researcher and often lack rigour. Furthermore, the use of reviews of the available evidence to provide insights and guidance for intervention into operational needs of practitioners and policymakers has largely been of secondary importance. For practitioners, making sense of a mass of often-contradictory evidence has become progressively harder. The quality of evidence underpinning decision-making and action has been questioned, for inadequate or incomplete evidence seriously impedes policy formulation and implementation. In exploring ways in which evidence-informed management reviews might be achieved, the authors evaluate the process of systematic review used in the medical sciences. Over the last fifteen years, medical science has attempted to improve the review process by synthesizing research in a systematic, transparent, and reproducible manner with the twin aims of enhancing the knowledge base and informing policymaking and practice. This paper evaluates the extent to which the process of systematic review can be applied to the management field in order to produce a reliable knowledge stock and enhanced practice by developing context-sensitive research. The paper highlights the challenges in developing an appropriate methodology.","author":[{"dropping-particle":"","family":"Tranfield","given":"David","non-dropping-particle":"","parse-names":false,"suffix":""},{"dropping-particle":"","family":"Denyer","given":"David","non-dropping-particle":"","parse-names":false,"suffix":""},{"dropping-particle":"","family":"Smart","given":"Palminder","non-dropping-particle":"","parse-names":false,"suffix":""}],"container-title":"British Journal of Management","id":"ITEM-2","issue":"3","issued":{"date-parts":[["2003"]]},"page":"207-222","title":"Towards a Methodology for Developing Evidence-Informed Management Knowledge by Means of Systematic Review","type":"article-journal","volume":"14"},"uris":["http://www.mendeley.com/documents/?uuid=dfc4b0c4-f400-4bea-bcc6-b675d1bb19e0"]},{"id":"ITEM-3","itemData":{"DOI":"10.1037/1089-2680.1.3.311","ISSN":"10892680","abstract":"Narrative literature reviews serve a vital scientific function, but few resources help people learn to write them. As compared with empirical reports, literature reviews can tackle broader and more abstract questions, can engage in more post hoc theorizing without the danger of capitalizing on chance, can make a stronger case for a null-hypothesis conclusion, and can appreciate and use methodological diversity better. Also, literature reviews can draw any of 4 conclusions: The hypothesis is correct, it has not been conclusively established but is the currently best guess, it is false, or the evidence permits no conclusion. Common mistakes of authors of literature review manuscripts are described.","author":[{"dropping-particle":"","family":"Baumeister","given":"Roy F.","non-dropping-particle":"","parse-names":false,"suffix":""},{"dropping-particle":"","family":"Leary","given":"Mark R.","non-dropping-particle":"","parse-names":false,"suffix":""}],"container-title":"Review of General Psychology","id":"ITEM-3","issue":"3","issued":{"date-parts":[["1997"]]},"page":"311-320","title":"Writing narrative literature reviews","type":"article-journal","volume":"1"},"uris":["http://www.mendeley.com/documents/?uuid=1c5e3b6b-abab-4fb9-8dba-0504fb965d37"]}],"mendeley":{"formattedCitation":"(Snyder, 2019; Tranfield, Denyer, &amp; Smart, 2003; Baumeister &amp; Leary, 1997)","plainTextFormattedCitation":"(Snyder, 2019; Tranfield, Denyer, &amp; Smart, 2003; Baumeister &amp; Leary, 1997)","previouslyFormattedCitation":"(Snyder, 2019; Tranfield, Denyer, &amp; Smart, 2003; Baumeister &amp; Leary, 1997)"},"properties":{"noteIndex":0},"schema":"https://github.com/citation-style-language/schema/raw/master/csl-citation.json"}</w:instrText>
      </w:r>
      <w:r w:rsidRPr="00A0151B">
        <w:rPr>
          <w:rFonts w:ascii="Calibri" w:hAnsi="Calibri" w:cs="Calibri"/>
        </w:rPr>
        <w:fldChar w:fldCharType="separate"/>
      </w:r>
      <w:r w:rsidR="006E36C4" w:rsidRPr="006E36C4">
        <w:rPr>
          <w:rFonts w:ascii="Calibri" w:hAnsi="Calibri" w:cs="Calibri"/>
          <w:noProof/>
        </w:rPr>
        <w:t>(Snyder, 2019; Tranfield, Denyer, &amp; Smart, 2003; Baumeister &amp; Leary, 1997)</w:t>
      </w:r>
      <w:r w:rsidRPr="00A0151B">
        <w:rPr>
          <w:rFonts w:ascii="Calibri" w:hAnsi="Calibri" w:cs="Calibri"/>
        </w:rPr>
        <w:fldChar w:fldCharType="end"/>
      </w:r>
      <w:r w:rsidRPr="00A0151B">
        <w:rPr>
          <w:rFonts w:ascii="Calibri" w:hAnsi="Calibri" w:cs="Calibri"/>
        </w:rPr>
        <w:t>. For this research</w:t>
      </w:r>
      <w:r w:rsidR="00EC1DEC">
        <w:rPr>
          <w:rFonts w:ascii="Calibri" w:hAnsi="Calibri" w:cs="Calibri"/>
        </w:rPr>
        <w:t>,</w:t>
      </w:r>
      <w:r w:rsidRPr="00A0151B">
        <w:rPr>
          <w:rFonts w:ascii="Calibri" w:hAnsi="Calibri" w:cs="Calibri"/>
        </w:rPr>
        <w:t xml:space="preserve"> I chose to conduct a traditional narrative literature review. The narrative approach enabled an overview of the main concepts and definitions in each of the topics </w:t>
      </w:r>
      <w:r w:rsidRPr="00A0151B">
        <w:rPr>
          <w:rFonts w:ascii="Calibri" w:hAnsi="Calibri" w:cs="Calibri"/>
        </w:rPr>
        <w:fldChar w:fldCharType="begin" w:fldLock="1"/>
      </w:r>
      <w:r w:rsidRPr="00A0151B">
        <w:rPr>
          <w:rFonts w:ascii="Calibri" w:hAnsi="Calibri" w:cs="Calibri"/>
        </w:rPr>
        <w:instrText>ADDIN CSL_CITATION {"citationItems":[{"id":"ITEM-1","itemData":{"DOI":"10.1037/1089-2680.1.3.311","ISSN":"10892680","abstract":"Narrative literature reviews serve a vital scientific function, but few resources help people learn to write them. As compared with empirical reports, literature reviews can tackle broader and more abstract questions, can engage in more post hoc theorizing without the danger of capitalizing on chance, can make a stronger case for a null-hypothesis conclusion, and can appreciate and use methodological diversity better. Also, literature reviews can draw any of 4 conclusions: The hypothesis is correct, it has not been conclusively established but is the currently best guess, it is false, or the evidence permits no conclusion. Common mistakes of authors of literature review manuscripts are described.","author":[{"dropping-particle":"","family":"Baumeister","given":"Roy F.","non-dropping-particle":"","parse-names":false,"suffix":""},{"dropping-particle":"","family":"Leary","given":"Mark R.","non-dropping-particle":"","parse-names":false,"suffix":""}],"container-title":"Review of General Psychology","id":"ITEM-1","issue":"3","issued":{"date-parts":[["1997"]]},"page":"311-320","title":"Writing narrative literature reviews","type":"article-journal","volume":"1"},"uris":["http://www.mendeley.com/documents/?uuid=1c5e3b6b-abab-4fb9-8dba-0504fb965d37"]}],"mendeley":{"formattedCitation":"(Baumeister &amp; Leary, 1997)","plainTextFormattedCitation":"(Baumeister &amp; Leary, 1997)","previouslyFormattedCitation":"(Baumeister &amp; Leary, 1997)"},"properties":{"noteIndex":0},"schema":"https://github.com/citation-style-language/schema/raw/master/csl-citation.json"}</w:instrText>
      </w:r>
      <w:r w:rsidRPr="00A0151B">
        <w:rPr>
          <w:rFonts w:ascii="Calibri" w:hAnsi="Calibri" w:cs="Calibri"/>
        </w:rPr>
        <w:fldChar w:fldCharType="separate"/>
      </w:r>
      <w:r w:rsidRPr="00A0151B">
        <w:rPr>
          <w:rFonts w:ascii="Calibri" w:hAnsi="Calibri" w:cs="Calibri"/>
          <w:noProof/>
        </w:rPr>
        <w:t>(Baumeister &amp; Leary, 1997)</w:t>
      </w:r>
      <w:r w:rsidRPr="00A0151B">
        <w:rPr>
          <w:rFonts w:ascii="Calibri" w:hAnsi="Calibri" w:cs="Calibri"/>
        </w:rPr>
        <w:fldChar w:fldCharType="end"/>
      </w:r>
      <w:r w:rsidRPr="00A0151B">
        <w:rPr>
          <w:rFonts w:ascii="Calibri" w:hAnsi="Calibri" w:cs="Calibri"/>
        </w:rPr>
        <w:t>. Due to the interdisciplinary and transdisciplinary nature of this PhD</w:t>
      </w:r>
      <w:r w:rsidR="00EC1DEC">
        <w:rPr>
          <w:rFonts w:ascii="Calibri" w:hAnsi="Calibri" w:cs="Calibri"/>
        </w:rPr>
        <w:t>,</w:t>
      </w:r>
      <w:r w:rsidRPr="00A0151B">
        <w:rPr>
          <w:rFonts w:ascii="Calibri" w:hAnsi="Calibri" w:cs="Calibri"/>
        </w:rPr>
        <w:t xml:space="preserve"> there are numerous topics to focus on. Therefore, this thesis has adopted a scaffolding approach, providing an overview of each of the disciplines within the research, namely: disaste</w:t>
      </w:r>
      <w:r w:rsidR="00EC1DEC">
        <w:rPr>
          <w:rFonts w:ascii="Calibri" w:hAnsi="Calibri" w:cs="Calibri"/>
        </w:rPr>
        <w:t>r</w:t>
      </w:r>
      <w:r w:rsidRPr="00A0151B">
        <w:rPr>
          <w:rFonts w:ascii="Calibri" w:hAnsi="Calibri" w:cs="Calibri"/>
        </w:rPr>
        <w:t>s</w:t>
      </w:r>
      <w:r w:rsidR="00EC1DEC">
        <w:rPr>
          <w:rFonts w:ascii="Calibri" w:hAnsi="Calibri" w:cs="Calibri"/>
        </w:rPr>
        <w:t>;</w:t>
      </w:r>
      <w:r w:rsidRPr="00A0151B">
        <w:rPr>
          <w:rFonts w:ascii="Calibri" w:hAnsi="Calibri" w:cs="Calibri"/>
        </w:rPr>
        <w:t xml:space="preserve"> community resilience</w:t>
      </w:r>
      <w:r w:rsidR="00EC1DEC">
        <w:rPr>
          <w:rFonts w:ascii="Calibri" w:hAnsi="Calibri" w:cs="Calibri"/>
        </w:rPr>
        <w:t>;</w:t>
      </w:r>
      <w:r w:rsidRPr="00A0151B">
        <w:rPr>
          <w:rFonts w:ascii="Calibri" w:hAnsi="Calibri" w:cs="Calibri"/>
        </w:rPr>
        <w:t xml:space="preserve"> social media</w:t>
      </w:r>
      <w:r w:rsidR="00EC1DEC">
        <w:rPr>
          <w:rFonts w:ascii="Calibri" w:hAnsi="Calibri" w:cs="Calibri"/>
        </w:rPr>
        <w:t>;</w:t>
      </w:r>
      <w:r w:rsidRPr="00A0151B">
        <w:rPr>
          <w:rFonts w:ascii="Calibri" w:hAnsi="Calibri" w:cs="Calibri"/>
        </w:rPr>
        <w:t xml:space="preserve"> and the </w:t>
      </w:r>
      <w:r w:rsidR="0017242F">
        <w:rPr>
          <w:rFonts w:ascii="Calibri" w:hAnsi="Calibri" w:cs="Calibri"/>
        </w:rPr>
        <w:t>F</w:t>
      </w:r>
      <w:r w:rsidRPr="00A0151B">
        <w:rPr>
          <w:rFonts w:ascii="Calibri" w:hAnsi="Calibri" w:cs="Calibri"/>
        </w:rPr>
        <w:t xml:space="preserve">ire and </w:t>
      </w:r>
      <w:r w:rsidR="0017242F">
        <w:rPr>
          <w:rFonts w:ascii="Calibri" w:hAnsi="Calibri" w:cs="Calibri"/>
        </w:rPr>
        <w:t>R</w:t>
      </w:r>
      <w:r w:rsidRPr="00A0151B">
        <w:rPr>
          <w:rFonts w:ascii="Calibri" w:hAnsi="Calibri" w:cs="Calibri"/>
        </w:rPr>
        <w:t xml:space="preserve">escue </w:t>
      </w:r>
      <w:r w:rsidR="0017242F">
        <w:rPr>
          <w:rFonts w:ascii="Calibri" w:hAnsi="Calibri" w:cs="Calibri"/>
        </w:rPr>
        <w:t>S</w:t>
      </w:r>
      <w:r w:rsidRPr="00A0151B">
        <w:rPr>
          <w:rFonts w:ascii="Calibri" w:hAnsi="Calibri" w:cs="Calibri"/>
        </w:rPr>
        <w:t xml:space="preserve">ervice. As the reader progresses through the literature review the themes from each of the previous sections is continued enabling the research context to be built iteratively. </w:t>
      </w:r>
    </w:p>
    <w:p w14:paraId="3CF30F2B" w14:textId="77777777" w:rsidR="00647368" w:rsidRPr="00A0151B" w:rsidRDefault="00647368" w:rsidP="00A0151B">
      <w:pPr>
        <w:pStyle w:val="Normal0"/>
        <w:spacing w:line="360" w:lineRule="auto"/>
        <w:rPr>
          <w:rFonts w:cs="Calibri"/>
        </w:rPr>
      </w:pPr>
    </w:p>
    <w:p w14:paraId="5399C940" w14:textId="66DEE816" w:rsidR="00647368" w:rsidRPr="00A0151B" w:rsidRDefault="00647368" w:rsidP="00A0151B">
      <w:pPr>
        <w:pStyle w:val="Normal0"/>
        <w:spacing w:line="360" w:lineRule="auto"/>
        <w:rPr>
          <w:rFonts w:cs="Calibri"/>
        </w:rPr>
      </w:pPr>
      <w:r w:rsidRPr="00A0151B">
        <w:rPr>
          <w:rFonts w:ascii="Calibri" w:hAnsi="Calibri" w:cs="Calibri"/>
        </w:rPr>
        <w:t>Some</w:t>
      </w:r>
      <w:r w:rsidR="00B84810">
        <w:rPr>
          <w:rFonts w:ascii="Calibri" w:hAnsi="Calibri" w:cs="Calibri"/>
        </w:rPr>
        <w:t xml:space="preserve"> critics</w:t>
      </w:r>
      <w:r w:rsidRPr="00A0151B">
        <w:rPr>
          <w:rFonts w:ascii="Calibri" w:hAnsi="Calibri" w:cs="Calibri"/>
        </w:rPr>
        <w:t xml:space="preserve"> argue that due to the large and undefined literature base, narrative reviews can lack thoroughness which can raise concerns over the quality and trustworthiness of the review </w:t>
      </w:r>
      <w:r w:rsidRPr="00A0151B">
        <w:rPr>
          <w:rFonts w:ascii="Calibri" w:hAnsi="Calibri" w:cs="Calibri"/>
        </w:rPr>
        <w:fldChar w:fldCharType="begin" w:fldLock="1"/>
      </w:r>
      <w:r w:rsidR="00BB0539">
        <w:rPr>
          <w:rFonts w:ascii="Calibri" w:hAnsi="Calibri" w:cs="Calibri"/>
        </w:rPr>
        <w:instrText>ADDIN CSL_CITATION {"citationItems":[{"id":"ITEM-1","itemData":{"DOI":"10.1016/j.jbusres.2019.07.039","ISSN":"01482963","abstract":"Knowledge production within the field of business research is accelerating at a tremendous speed while at the same time remaining fragmented and interdisciplinary. This makes it hard to keep up with state-of-the-art and to be at the forefront of research, as well as to assess the collective evidence in a particular area of business research. This is why the literature review as a research method is more relevant than ever. Traditional literature reviews often lack thoroughness and rigor and are conducted ad hoc, rather than following a specific methodology. Therefore, questions can be raised about the quality and trustworthiness of these types of reviews. This paper discusses literature review as a methodology for conducting research and offers an overview of different types of reviews, as well as some guidelines to how to both conduct and evaluate a literature review paper. It also discusses common pitfalls and how to get literature reviews published.","author":[{"dropping-particle":"","family":"Snyder","given":"Hannah","non-dropping-particle":"","parse-names":false,"suffix":""}],"container-title":"Journal of Business Research","id":"ITEM-1","issue":"July","issued":{"date-parts":[["2019"]]},"page":"333-339","title":"Literature review as a research methodology: An overview and guidelines","type":"article-journal","volume":"104"},"uris":["http://www.mendeley.com/documents/?uuid=5e3fd6b7-a3c7-4f13-99c2-7398dc8d708a"]},{"id":"ITEM-2","itemData":{"DOI":"10.1111/1467-8551.00375","ISSN":"10453172","abstract":"Undertaking a review of the literature is an important part of any research project. The researcher both maps and assesses the relevant intellectual territory in order to specify a research question which will further develop the knowledge base. However, traditional 'narrative' reviews frequently lack thoroughness, and in many cases are not undertaken as genuine pieces of investigatory science. Consequently they can lack a means for making sense of what the collection of studies is saying. These reviews can be biased by the researcher and often lack rigour. Furthermore, the use of reviews of the available evidence to provide insights and guidance for intervention into operational needs of practitioners and policymakers has largely been of secondary importance. For practitioners, making sense of a mass of often-contradictory evidence has become progressively harder. The quality of evidence underpinning decision-making and action has been questioned, for inadequate or incomplete evidence seriously impedes policy formulation and implementation. In exploring ways in which evidence-informed management reviews might be achieved, the authors evaluate the process of systematic review used in the medical sciences. Over the last fifteen years, medical science has attempted to improve the review process by synthesizing research in a systematic, transparent, and reproducible manner with the twin aims of enhancing the knowledge base and informing policymaking and practice. This paper evaluates the extent to which the process of systematic review can be applied to the management field in order to produce a reliable knowledge stock and enhanced practice by developing context-sensitive research. The paper highlights the challenges in developing an appropriate methodology.","author":[{"dropping-particle":"","family":"Tranfield","given":"David","non-dropping-particle":"","parse-names":false,"suffix":""},{"dropping-particle":"","family":"Denyer","given":"David","non-dropping-particle":"","parse-names":false,"suffix":""},{"dropping-particle":"","family":"Smart","given":"Palminder","non-dropping-particle":"","parse-names":false,"suffix":""}],"container-title":"British Journal of Management","id":"ITEM-2","issue":"3","issued":{"date-parts":[["2003"]]},"page":"207-222","title":"Towards a Methodology for Developing Evidence-Informed Management Knowledge by Means of Systematic Review","type":"article-journal","volume":"14"},"uris":["http://www.mendeley.com/documents/?uuid=dfc4b0c4-f400-4bea-bcc6-b675d1bb19e0"]}],"mendeley":{"formattedCitation":"(Snyder, 2019; Tranfield, Denyer, &amp; Smart, 2003)","plainTextFormattedCitation":"(Snyder, 2019; Tranfield, Denyer, &amp; Smart, 2003)","previouslyFormattedCitation":"(Snyder, 2019; Tranfield, Denyer, &amp; Smart, 2003)"},"properties":{"noteIndex":0},"schema":"https://github.com/citation-style-language/schema/raw/master/csl-citation.json"}</w:instrText>
      </w:r>
      <w:r w:rsidRPr="00A0151B">
        <w:rPr>
          <w:rFonts w:ascii="Calibri" w:hAnsi="Calibri" w:cs="Calibri"/>
        </w:rPr>
        <w:fldChar w:fldCharType="separate"/>
      </w:r>
      <w:r w:rsidR="006E36C4" w:rsidRPr="006E36C4">
        <w:rPr>
          <w:rFonts w:ascii="Calibri" w:hAnsi="Calibri" w:cs="Calibri"/>
          <w:noProof/>
        </w:rPr>
        <w:t>(Snyder, 2019; Tranfield, Denyer, &amp; Smart, 2003)</w:t>
      </w:r>
      <w:r w:rsidRPr="00A0151B">
        <w:rPr>
          <w:rFonts w:ascii="Calibri" w:hAnsi="Calibri" w:cs="Calibri"/>
        </w:rPr>
        <w:fldChar w:fldCharType="end"/>
      </w:r>
      <w:r w:rsidRPr="00A0151B">
        <w:rPr>
          <w:rFonts w:ascii="Calibri" w:hAnsi="Calibri" w:cs="Calibri"/>
        </w:rPr>
        <w:t xml:space="preserve">. Some also argue that literature reviews should be replicable and that a strict method should be used to reduce researcher bias </w:t>
      </w:r>
      <w:r w:rsidRPr="00A0151B">
        <w:rPr>
          <w:rFonts w:ascii="Calibri" w:hAnsi="Calibri" w:cs="Calibri"/>
        </w:rPr>
        <w:fldChar w:fldCharType="begin" w:fldLock="1"/>
      </w:r>
      <w:r w:rsidR="00BB0539">
        <w:rPr>
          <w:rFonts w:ascii="Calibri" w:hAnsi="Calibri" w:cs="Calibri"/>
        </w:rPr>
        <w:instrText>ADDIN CSL_CITATION {"citationItems":[{"id":"ITEM-1","itemData":{"DOI":"10.1016/j.jbusres.2019.07.039","ISSN":"01482963","abstract":"Knowledge production within the field of business research is accelerating at a tremendous speed while at the same time remaining fragmented and interdisciplinary. This makes it hard to keep up with state-of-the-art and to be at the forefront of research, as well as to assess the collective evidence in a particular area of business research. This is why the literature review as a research method is more relevant than ever. Traditional literature reviews often lack thoroughness and rigor and are conducted ad hoc, rather than following a specific methodology. Therefore, questions can be raised about the quality and trustworthiness of these types of reviews. This paper discusses literature review as a methodology for conducting research and offers an overview of different types of reviews, as well as some guidelines to how to both conduct and evaluate a literature review paper. It also discusses common pitfalls and how to get literature reviews published.","author":[{"dropping-particle":"","family":"Snyder","given":"Hannah","non-dropping-particle":"","parse-names":false,"suffix":""}],"container-title":"Journal of Business Research","id":"ITEM-1","issue":"July","issued":{"date-parts":[["2019"]]},"page":"333-339","title":"Literature review as a research methodology: An overview and guidelines","type":"article-journal","volume":"104"},"uris":["http://www.mendeley.com/documents/?uuid=5e3fd6b7-a3c7-4f13-99c2-7398dc8d708a"]},{"id":"ITEM-2","itemData":{"DOI":"10.1111/1467-8551.00375","ISSN":"10453172","abstract":"Undertaking a review of the literature is an important part of any research project. The researcher both maps and assesses the relevant intellectual territory in order to specify a research question which will further develop the knowledge base. However, traditional 'narrative' reviews frequently lack thoroughness, and in many cases are not undertaken as genuine pieces of investigatory science. Consequently they can lack a means for making sense of what the collection of studies is saying. These reviews can be biased by the researcher and often lack rigour. Furthermore, the use of reviews of the available evidence to provide insights and guidance for intervention into operational needs of practitioners and policymakers has largely been of secondary importance. For practitioners, making sense of a mass of often-contradictory evidence has become progressively harder. The quality of evidence underpinning decision-making and action has been questioned, for inadequate or incomplete evidence seriously impedes policy formulation and implementation. In exploring ways in which evidence-informed management reviews might be achieved, the authors evaluate the process of systematic review used in the medical sciences. Over the last fifteen years, medical science has attempted to improve the review process by synthesizing research in a systematic, transparent, and reproducible manner with the twin aims of enhancing the knowledge base and informing policymaking and practice. This paper evaluates the extent to which the process of systematic review can be applied to the management field in order to produce a reliable knowledge stock and enhanced practice by developing context-sensitive research. The paper highlights the challenges in developing an appropriate methodology.","author":[{"dropping-particle":"","family":"Tranfield","given":"David","non-dropping-particle":"","parse-names":false,"suffix":""},{"dropping-particle":"","family":"Denyer","given":"David","non-dropping-particle":"","parse-names":false,"suffix":""},{"dropping-particle":"","family":"Smart","given":"Palminder","non-dropping-particle":"","parse-names":false,"suffix":""}],"container-title":"British Journal of Management","id":"ITEM-2","issue":"3","issued":{"date-parts":[["2003"]]},"page":"207-222","title":"Towards a Methodology for Developing Evidence-Informed Management Knowledge by Means of Systematic Review","type":"article-journal","volume":"14"},"uris":["http://www.mendeley.com/documents/?uuid=dfc4b0c4-f400-4bea-bcc6-b675d1bb19e0"]}],"mendeley":{"formattedCitation":"(Snyder, 2019; Tranfield, Denyer, &amp; Smart, 2003)","plainTextFormattedCitation":"(Snyder, 2019; Tranfield, Denyer, &amp; Smart, 2003)","previouslyFormattedCitation":"(Snyder, 2019; Tranfield, Denyer, &amp; Smart, 2003)"},"properties":{"noteIndex":0},"schema":"https://github.com/citation-style-language/schema/raw/master/csl-citation.json"}</w:instrText>
      </w:r>
      <w:r w:rsidRPr="00A0151B">
        <w:rPr>
          <w:rFonts w:ascii="Calibri" w:hAnsi="Calibri" w:cs="Calibri"/>
        </w:rPr>
        <w:fldChar w:fldCharType="separate"/>
      </w:r>
      <w:r w:rsidR="006E36C4" w:rsidRPr="006E36C4">
        <w:rPr>
          <w:rFonts w:ascii="Calibri" w:hAnsi="Calibri" w:cs="Calibri"/>
          <w:noProof/>
        </w:rPr>
        <w:t>(Snyder, 2019; Tranfield, Denyer, &amp; Smart, 2003)</w:t>
      </w:r>
      <w:r w:rsidRPr="00A0151B">
        <w:rPr>
          <w:rFonts w:ascii="Calibri" w:hAnsi="Calibri" w:cs="Calibri"/>
        </w:rPr>
        <w:fldChar w:fldCharType="end"/>
      </w:r>
      <w:r w:rsidRPr="00A0151B">
        <w:rPr>
          <w:rFonts w:ascii="Calibri" w:hAnsi="Calibri" w:cs="Calibri"/>
        </w:rPr>
        <w:t>. These critiques often compare narrative reviews to the strict parameters within a systematic literature review. However, this research is based on a topic which is rooted in social construction</w:t>
      </w:r>
      <w:r w:rsidR="00EC1DEC">
        <w:rPr>
          <w:rFonts w:ascii="Calibri" w:hAnsi="Calibri" w:cs="Calibri"/>
        </w:rPr>
        <w:t>,</w:t>
      </w:r>
      <w:r w:rsidRPr="00A0151B">
        <w:rPr>
          <w:rFonts w:ascii="Calibri" w:hAnsi="Calibri" w:cs="Calibri"/>
        </w:rPr>
        <w:t xml:space="preserve"> and is therefore using an interpretivist approach which </w:t>
      </w:r>
      <w:r w:rsidR="0017242F">
        <w:rPr>
          <w:rFonts w:ascii="Calibri" w:hAnsi="Calibri" w:cs="Calibri"/>
        </w:rPr>
        <w:t>holds</w:t>
      </w:r>
      <w:r w:rsidRPr="00A0151B">
        <w:rPr>
          <w:rFonts w:ascii="Calibri" w:hAnsi="Calibri" w:cs="Calibri"/>
        </w:rPr>
        <w:t xml:space="preserve"> the belief that multiple realities exist </w:t>
      </w:r>
      <w:r w:rsidRPr="00A0151B">
        <w:rPr>
          <w:rFonts w:ascii="Calibri" w:hAnsi="Calibri" w:cs="Calibri"/>
        </w:rPr>
        <w:fldChar w:fldCharType="begin" w:fldLock="1"/>
      </w:r>
      <w:r w:rsidR="00BB0539">
        <w:rPr>
          <w:rFonts w:ascii="Calibri" w:hAnsi="Calibri" w:cs="Calibri"/>
          <w:i/>
          <w:iCs/>
        </w:rPr>
        <w:instrText>ADDIN CSL_CITATION {"citationItems":[{"id":"ITEM-1","itemData":{"author":[{"dropping-particle":"","family":"Bechara","given":"John P","non-dropping-particle":"","parse-names":false,"suffix":""},{"dropping-particle":"","family":"Ven","given":"Andrew H","non-dropping-particle":"Van De","parse-names":false,"suffix":""}],"chapter-number":"2","container-title":"Engaged Scholarship: A Guide for Organizational and Social Research","editor":[{"dropping-particle":"","family":"Ven","given":"Andrew H","non-dropping-particle":"Van De","parse-names":false,"suffix":""}],"id":"ITEM-1","issued":{"date-parts":[["2007"]]},"page":"36-70","publisher":"Oxford University Press","publisher-place":"Oxford","title":"Philosophy of Science Underlying Engaged Scholarship*","type":"chapter"},"uris":["http://www.mendeley.com/documents/?uuid=67dec568-d096-43b0-85a7-08cf93a8eac0"]},{"id":"ITEM-2","itemData":{"ISBN":"0199689458","abstract":"Fifth edition. \"This best-selling introduction to research methods provides students and researchers with unrivalled coverage of both quantitative and qualitative methods, making it invaluable for anyone embarking on social research. Bridging the gap between theory and practice, Social Research Methods is packed full of engaging examples and practical tips to equip students with the tools and knowledge needed for them to complete their own research projects. In addition to providing practical advice, Bryman deftly explores the nature of social research and the wider issues impinging on it.\" -- Provided by publisher. The research process -- Quantitative research -- Qualitative research -- Mixed methods research and writing up.","author":[{"dropping-particle":"","family":"Bryman","given":"Alan.","non-dropping-particle":"","parse-names":false,"suffix":""}],"edition":"5th","id":"ITEM-2","issued":{"date-parts":[["2016"]]},"publisher":"Oxford University Press","publisher-place":"Oxford","title":"Social research methods","type":"book"},"uris":["http://www.mendeley.com/documents/?uuid=95b0a038-2e81-3fd8-bae3-09bc0ecf7a2c"]},{"id":"ITEM-3","itemData":{"DOI":"10.1111/cobi.12326","ISSN":"08888892","abstract":"Abstract: Natural scientists are increasingly interested in social research because they recognize that conservation problems are commonly social problems. Interpreting social research, however, requires at least a basic understanding of the philosophical principles and theoretical assumptions of the discipline, which are embedded in the design of social research. Natural scientists who engage in social science but are unfamiliar with these principles and assumptions can misinterpret their results. We developed a guide to assist natural scientists in understanding the philosophical basis of social science to support the meaningful interpretation of social research outcomes. The 3 fundamental elements of research are ontology, what exists in the human world that researchers can acquire knowledge about; epistemology, how knowledge is created; and philosophical perspective, the philosophical orientation of the researcher that guides her or his action. Many elements of the guide also apply to the natural sciences. Natural scientists can use the guide to assist them in interpreting social science research to determine how the ontological position of the researcher can influence the nature of the research; how the epistemological position can be used to support the legitimacy of different types of knowledge; and how philosophical perspective can shape the researcher’s choice of methods and affect interpretation, communication, and application of results. The use of this guide can also support and promote the effective integration of the natural and social sciences to generate more insightful and relevant conservation research outcomes.","author":[{"dropping-particle":"","family":"Moon","given":"Katie","non-dropping-particle":"","parse-names":false,"suffix":""},{"dropping-particle":"","family":"Blackman","given":"Deborah","non-dropping-particle":"","parse-names":false,"suffix":""}],"container-title":"Conservation Biology","id":"ITEM-3","issue":"5","issued":{"date-parts":[["2014","10","1"]]},"page":"1167-1177","title":"A Guide to Understanding Social Science Research for Natural Scientists","type":"article-journal","volume":"28"},"uris":["http://www.mendeley.com/documents/?uuid=6b40e2b1-1646-3904-ac30-5c410eb30472"]},{"id":"ITEM-4","itemData":{"DOI":"10.1080/09523367.2012.743996","ISBN":"9780273716860","ISSN":"09523367","abstract":"A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students","edition":"Eighth","id":"ITEM-4","issued":{"date-parts":[["2019"]]},"page":"128 - 170","publisher":"Pearson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 Bryman, 2016; Moon &amp; Blackman, 2014; Bechara &amp; Van De Ven, 2007)","plainTextFormattedCitation":"(Saunders, Lewis, &amp; Thornhill, 2019; Bryman, 2016; Moon &amp; Blackman, 2014; Bechara &amp; Van De Ven, 2007)","previouslyFormattedCitation":"(Saunders, Lewis, &amp; Thornhill, 2019; Bryman, 2016; Moon &amp; Blackman, 2014; Bechara &amp; Van De Ven, 2007)"},"properties":{"noteIndex":0},"schema":"https://github.com/citation-style-language/schema/raw/master/csl-citation.json"}</w:instrText>
      </w:r>
      <w:r w:rsidRPr="00A0151B">
        <w:rPr>
          <w:rFonts w:ascii="Calibri" w:hAnsi="Calibri" w:cs="Calibri"/>
          <w:i/>
          <w:iCs/>
        </w:rPr>
        <w:fldChar w:fldCharType="separate"/>
      </w:r>
      <w:r w:rsidR="006E36C4" w:rsidRPr="006E36C4">
        <w:rPr>
          <w:rFonts w:ascii="Calibri" w:hAnsi="Calibri" w:cs="Calibri"/>
          <w:iCs/>
          <w:noProof/>
        </w:rPr>
        <w:t>(Saunders, Lewis, &amp; Thornhill, 2019; Bryman, 2016; Moon &amp; Blackman, 2014; Bechara &amp; Van De Ven, 2007)</w:t>
      </w:r>
      <w:r w:rsidRPr="00A0151B">
        <w:rPr>
          <w:rFonts w:ascii="Calibri" w:hAnsi="Calibri" w:cs="Calibri"/>
        </w:rPr>
        <w:fldChar w:fldCharType="end"/>
      </w:r>
      <w:r w:rsidRPr="00A0151B">
        <w:rPr>
          <w:rFonts w:ascii="Calibri" w:hAnsi="Calibri" w:cs="Calibri"/>
        </w:rPr>
        <w:t xml:space="preserve">. Using an interpretivist approach acknowledges that every individual, due to their past lived experiences, will interpret information in different ways. Therefore, the contents of the literature review will inherently be my interpretation of the work conducted before this research. </w:t>
      </w:r>
    </w:p>
    <w:p w14:paraId="082CA8CA" w14:textId="6A13CB02" w:rsidR="005B6202" w:rsidRDefault="00647368" w:rsidP="0017242F">
      <w:pPr>
        <w:pStyle w:val="Normal0"/>
        <w:spacing w:line="360" w:lineRule="auto"/>
        <w:rPr>
          <w:rFonts w:ascii="Calibri" w:hAnsi="Calibri" w:cs="Calibri"/>
        </w:rPr>
      </w:pPr>
      <w:r w:rsidRPr="00A0151B">
        <w:rPr>
          <w:rFonts w:ascii="Calibri" w:hAnsi="Calibri" w:cs="Calibri"/>
        </w:rPr>
        <w:lastRenderedPageBreak/>
        <w:t xml:space="preserve">This approach is also supported by the use of an abductive approach to the research </w:t>
      </w:r>
      <w:r w:rsidRPr="00A0151B">
        <w:rPr>
          <w:rFonts w:ascii="Calibri" w:hAnsi="Calibri" w:cs="Calibri"/>
        </w:rPr>
        <w:fldChar w:fldCharType="begin" w:fldLock="1"/>
      </w:r>
      <w:r w:rsidR="00BB0539">
        <w:rPr>
          <w:rFonts w:ascii="Calibri" w:hAnsi="Calibri" w:cs="Calibri"/>
        </w:rPr>
        <w:instrText>ADDIN CSL_CITATION {"citationItems":[{"id":"ITEM-1","itemData":{"DOI":"10.1080/09523367.2012.743996","ISBN":"9780273716860","ISSN":"09523367","abstract":"A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students","edition":"Eighth","id":"ITEM-1","issued":{"date-parts":[["2019"]]},"page":"128 - 170","publisher":"Pearson Eduction Limited","publisher-place":"Harlow","title":"Understanding research philosophy and approaches to theory development","type":"chapter"},"uris":["http://www.mendeley.com/documents/?uuid=33ddb5a7-9d6f-4773-8236-6d048f22a52e"]},{"id":"ITEM-2","itemData":{"DOI":"10.46743/2160-3715/2022.5340","ISSN":"21603715","abstract":"Thematic analysis is an increasingly popular method for analysing qualitative data within the social sciences. Current guides for conducting thematic analysis promote the method’s broad flexibility across research designs, which has resulted in criticism that the method lacks the rigour and structure necessary for credible academic research. Recognizing the challenges faced by qualitative scholars, I developed and present an 8-step prescriptive approach specific to abductive methodologies incorporating many concepts from seminal works in thematic analysis, and importantly maintaining the balance of theorising with empirical data, which is the core of abductive research.","author":[{"dropping-particle":"","family":"Thompson","given":"Jamie","non-dropping-particle":"","parse-names":false,"suffix":""}],"container-title":"The Qualitative Report","id":"ITEM-2","issue":"5","issued":{"date-parts":[["2022"]]},"page":"1410-1421","title":"A Guide to Abductive Thematic Analysis","type":"article-journal","volume":"27"},"uris":["http://www.mendeley.com/documents/?uuid=17d3b0fb-c7ef-42c9-8b30-d2628c10807f"]}],"mendeley":{"formattedCitation":"(Thompson, 2022; Saunders, Lewis, &amp; Thornhill, 2019)","plainTextFormattedCitation":"(Thompson, 2022; Saunders, Lewis, &amp; Thornhill, 2019)","previouslyFormattedCitation":"(Thompson, 2022; Saunders, Lewis, &amp; Thornhill, 2019)"},"properties":{"noteIndex":0},"schema":"https://github.com/citation-style-language/schema/raw/master/csl-citation.json"}</w:instrText>
      </w:r>
      <w:r w:rsidRPr="00A0151B">
        <w:rPr>
          <w:rFonts w:ascii="Calibri" w:hAnsi="Calibri" w:cs="Calibri"/>
        </w:rPr>
        <w:fldChar w:fldCharType="separate"/>
      </w:r>
      <w:r w:rsidR="006E36C4" w:rsidRPr="006E36C4">
        <w:rPr>
          <w:rFonts w:ascii="Calibri" w:hAnsi="Calibri" w:cs="Calibri"/>
          <w:noProof/>
        </w:rPr>
        <w:t>(Thompson, 2022; Saunders, Lewis, &amp; Thornhill, 2019)</w:t>
      </w:r>
      <w:r w:rsidRPr="00A0151B">
        <w:rPr>
          <w:rFonts w:ascii="Calibri" w:hAnsi="Calibri" w:cs="Calibri"/>
        </w:rPr>
        <w:fldChar w:fldCharType="end"/>
      </w:r>
      <w:r w:rsidRPr="00A0151B">
        <w:rPr>
          <w:rFonts w:ascii="Calibri" w:hAnsi="Calibri" w:cs="Calibri"/>
        </w:rPr>
        <w:t xml:space="preserve"> as I moved iteratively between the data and literature. This approach enabled the inclusion of new ideas throughout the research, which was conducted over numerous years. This enabled the research to stay up-to-date with new findings within the discipline and to embody the abductive approach </w:t>
      </w:r>
      <w:r w:rsidRPr="00A0151B">
        <w:rPr>
          <w:rFonts w:ascii="Calibri" w:hAnsi="Calibri" w:cs="Calibri"/>
        </w:rPr>
        <w:fldChar w:fldCharType="begin" w:fldLock="1"/>
      </w:r>
      <w:r w:rsidR="00BB0539">
        <w:rPr>
          <w:rFonts w:ascii="Calibri" w:hAnsi="Calibri" w:cs="Calibri"/>
        </w:rPr>
        <w:instrText>ADDIN CSL_CITATION {"citationItems":[{"id":"ITEM-1","itemData":{"DOI":"10.1177/1839334921998541","ISSN":"18393349","abstract":"Co-design empowers people, giving them a voice in social marketing program design; however, approaches have mostly excluded expert knowledge. An abductive approach to co-design allows for inclusion of expert knowledge, providing theoretical guidance while simultaneously investigating user views and ideas extending understanding beyond known effective approaches. We use the seven-step co-design framework and outline how an abductive inference can be applied to co-design. Social cognitive theory constructs were integrated into the seven-step co-design process. The abductive approach to co-design was tested in two co-design sessions involving 40 participants. Findings demonstrate that theory can be successfully integrated into the seven-step co-design process through utilization of theory-mapped activity cards. This article provides guidance on how theory can be incorporated into ideation and insight generation. Limitations and future research recommendations are provided.","author":[{"dropping-particle":"","family":"Hurley","given":"Erin","non-dropping-particle":"","parse-names":false,"suffix":""},{"dropping-particle":"","family":"Dietrich","given":"Timo","non-dropping-particle":"","parse-names":false,"suffix":""},{"dropping-particle":"","family":"Rundle-Thiele","given":"Sharyn","non-dropping-particle":"","parse-names":false,"suffix":""}],"container-title":"Australasian Marketing Journal","id":"ITEM-1","issue":"1","issued":{"date-parts":[["2021"]]},"page":"66-77","title":"Integrating Theory in Co-design: An Abductive Approach","type":"article-journal","volume":"29"},"uris":["http://www.mendeley.com/documents/?uuid=2ddb94e4-c76f-4f9a-bea4-d86a9d8fb454"]},{"id":"ITEM-2","itemData":{"DOI":"10.46743/2160-3715/2022.5340","ISSN":"21603715","abstract":"Thematic analysis is an increasingly popular method for analysing qualitative data within the social sciences. Current guides for conducting thematic analysis promote the method’s broad flexibility across research designs, which has resulted in criticism that the method lacks the rigour and structure necessary for credible academic research. Recognizing the challenges faced by qualitative scholars, I developed and present an 8-step prescriptive approach specific to abductive methodologies incorporating many concepts from seminal works in thematic analysis, and importantly maintaining the balance of theorising with empirical data, which is the core of abductive research.","author":[{"dropping-particle":"","family":"Thompson","given":"Jamie","non-dropping-particle":"","parse-names":false,"suffix":""}],"container-title":"The Qualitative Report","id":"ITEM-2","issue":"5","issued":{"date-parts":[["2022"]]},"page":"1410-1421","title":"A Guide to Abductive Thematic Analysis","type":"article-journal","volume":"27"},"uris":["http://www.mendeley.com/documents/?uuid=17d3b0fb-c7ef-42c9-8b30-d2628c10807f"]},{"id":"ITEM-3","itemData":{"DOI":"10.1080/09523367.2012.743996","ISBN":"9780273716860","ISSN":"09523367","abstract":"A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students","edition":"Eighth","id":"ITEM-3","issued":{"date-parts":[["2019"]]},"page":"128 - 170","publisher":"Pearson Eduction Limited","publisher-place":"Harlow","title":"Understanding research philosophy and approaches to theory development","type":"chapter"},"uris":["http://www.mendeley.com/documents/?uuid=33ddb5a7-9d6f-4773-8236-6d048f22a52e"]}],"mendeley":{"formattedCitation":"(Thompson, 2022; Hurley, Dietrich, &amp; Rundle-Thiele, 2021; Saunders, Lewis, &amp; Thornhill, 2019)","plainTextFormattedCitation":"(Thompson, 2022; Hurley, Dietrich, &amp; Rundle-Thiele, 2021; Saunders, Lewis, &amp; Thornhill, 2019)","previouslyFormattedCitation":"(Thompson, 2022; Hurley, Dietrich, &amp; Rundle-Thiele, 2021; Saunders, Lewis, &amp; Thornhill, 2019)"},"properties":{"noteIndex":0},"schema":"https://github.com/citation-style-language/schema/raw/master/csl-citation.json"}</w:instrText>
      </w:r>
      <w:r w:rsidRPr="00A0151B">
        <w:rPr>
          <w:rFonts w:ascii="Calibri" w:hAnsi="Calibri" w:cs="Calibri"/>
        </w:rPr>
        <w:fldChar w:fldCharType="separate"/>
      </w:r>
      <w:r w:rsidR="006E36C4" w:rsidRPr="006E36C4">
        <w:rPr>
          <w:rFonts w:ascii="Calibri" w:hAnsi="Calibri" w:cs="Calibri"/>
          <w:noProof/>
        </w:rPr>
        <w:t>(Thompson, 2022; Hurley, Dietrich, &amp; Rundle-Thiele, 2021; Saunders, Lewis, &amp; Thornhill, 2019)</w:t>
      </w:r>
      <w:r w:rsidRPr="00A0151B">
        <w:rPr>
          <w:rFonts w:ascii="Calibri" w:hAnsi="Calibri" w:cs="Calibri"/>
        </w:rPr>
        <w:fldChar w:fldCharType="end"/>
      </w:r>
      <w:r w:rsidRPr="00A0151B">
        <w:rPr>
          <w:rFonts w:ascii="Calibri" w:hAnsi="Calibri" w:cs="Calibri"/>
        </w:rPr>
        <w:t xml:space="preserve">. </w:t>
      </w:r>
    </w:p>
    <w:p w14:paraId="10B36C2C" w14:textId="77777777" w:rsidR="0017242F" w:rsidRDefault="0017242F" w:rsidP="0017242F">
      <w:pPr>
        <w:pStyle w:val="Normal0"/>
        <w:spacing w:line="360" w:lineRule="auto"/>
        <w:rPr>
          <w:rFonts w:ascii="Calibri" w:hAnsi="Calibri" w:cs="Calibri"/>
        </w:rPr>
      </w:pPr>
    </w:p>
    <w:p w14:paraId="4E4992D9" w14:textId="27F455E2" w:rsidR="0017242F" w:rsidRPr="00A0151B" w:rsidRDefault="0017242F" w:rsidP="00A0151B">
      <w:pPr>
        <w:pStyle w:val="Normal0"/>
        <w:spacing w:line="360" w:lineRule="auto"/>
        <w:rPr>
          <w:rFonts w:cs="Calibri"/>
        </w:rPr>
      </w:pPr>
      <w:r w:rsidRPr="00A60104">
        <w:rPr>
          <w:rFonts w:ascii="Calibri" w:hAnsi="Calibri" w:cs="Calibri"/>
        </w:rPr>
        <w:t>This chapter provides the theoretical and conceptual grounding to the research and directly influenced how the data w</w:t>
      </w:r>
      <w:r w:rsidR="00B84810">
        <w:rPr>
          <w:rFonts w:ascii="Calibri" w:hAnsi="Calibri" w:cs="Calibri"/>
        </w:rPr>
        <w:t>ere</w:t>
      </w:r>
      <w:r w:rsidRPr="00A60104">
        <w:rPr>
          <w:rFonts w:ascii="Calibri" w:hAnsi="Calibri" w:cs="Calibri"/>
        </w:rPr>
        <w:t xml:space="preserve"> collected. Due to the themes of social construction, a qualitative data collection process was used and analysed using a thematic analysis. This will be discussed in more detail in Chapter 3.</w:t>
      </w:r>
    </w:p>
    <w:p w14:paraId="779377E1" w14:textId="77777777" w:rsidR="00787F73" w:rsidRDefault="00787F73" w:rsidP="00866155">
      <w:pPr>
        <w:contextualSpacing/>
        <w:rPr>
          <w:rFonts w:cs="Calibri"/>
        </w:rPr>
      </w:pPr>
    </w:p>
    <w:p w14:paraId="6F6AE5E7" w14:textId="77777777" w:rsidR="00787F73" w:rsidRDefault="00742FB7" w:rsidP="00A0151B">
      <w:pPr>
        <w:pStyle w:val="Heading2"/>
        <w:contextualSpacing/>
      </w:pPr>
      <w:bookmarkStart w:id="56" w:name="_Hlk94529649"/>
      <w:bookmarkStart w:id="57" w:name="_Toc98148283"/>
      <w:bookmarkStart w:id="58" w:name="_Toc153554300"/>
      <w:bookmarkStart w:id="59" w:name="_Toc93410783"/>
      <w:bookmarkStart w:id="60" w:name="_Toc138687409"/>
      <w:bookmarkStart w:id="61" w:name="_Toc67579722"/>
      <w:bookmarkStart w:id="62" w:name="_Toc139645558"/>
      <w:bookmarkStart w:id="63" w:name="_Toc62815571"/>
      <w:bookmarkStart w:id="64" w:name="_Toc93335975"/>
      <w:bookmarkStart w:id="65" w:name="_Toc158823541"/>
      <w:bookmarkStart w:id="66" w:name="_Toc139636603"/>
      <w:bookmarkStart w:id="67" w:name="_Toc193367181"/>
      <w:bookmarkEnd w:id="56"/>
      <w:r>
        <w:rPr>
          <w:rFonts w:ascii="Calibri" w:hAnsi="Calibri" w:cs="Calibri"/>
        </w:rPr>
        <w:t>2.1: Institutional Theory</w:t>
      </w:r>
      <w:bookmarkEnd w:id="57"/>
      <w:bookmarkEnd w:id="58"/>
      <w:bookmarkEnd w:id="59"/>
      <w:bookmarkEnd w:id="60"/>
      <w:bookmarkEnd w:id="61"/>
      <w:bookmarkEnd w:id="62"/>
      <w:bookmarkEnd w:id="63"/>
      <w:bookmarkEnd w:id="64"/>
      <w:bookmarkEnd w:id="65"/>
      <w:bookmarkEnd w:id="66"/>
      <w:bookmarkEnd w:id="67"/>
    </w:p>
    <w:p w14:paraId="7302AFCC" w14:textId="77777777" w:rsidR="00787F73" w:rsidRDefault="00742FB7" w:rsidP="00866155">
      <w:pPr>
        <w:pStyle w:val="Heading3"/>
        <w:contextualSpacing/>
      </w:pPr>
      <w:bookmarkStart w:id="68" w:name="_Toc138687411"/>
      <w:bookmarkStart w:id="69" w:name="_Toc67579724"/>
      <w:bookmarkStart w:id="70" w:name="_Hlk138861474"/>
      <w:bookmarkStart w:id="71" w:name="_Toc34408567"/>
      <w:bookmarkStart w:id="72" w:name="_Toc98148285"/>
      <w:bookmarkStart w:id="73" w:name="_Toc22633710"/>
      <w:bookmarkStart w:id="74" w:name="_Toc158823542"/>
      <w:bookmarkStart w:id="75" w:name="_Toc93335977"/>
      <w:bookmarkStart w:id="76" w:name="_Toc153554301"/>
      <w:bookmarkStart w:id="77" w:name="_Toc93410785"/>
      <w:bookmarkStart w:id="78" w:name="_Toc139645560"/>
      <w:bookmarkStart w:id="79" w:name="_Toc139636605"/>
      <w:bookmarkStart w:id="80" w:name="_Toc62815573"/>
      <w:bookmarkStart w:id="81" w:name="_Toc193367182"/>
      <w:r>
        <w:rPr>
          <w:rFonts w:ascii="Calibri" w:hAnsi="Calibri" w:cs="Calibri"/>
        </w:rPr>
        <w:t>2.1.2: What are Institutions?</w:t>
      </w:r>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491F2011" w14:textId="77777777" w:rsidR="00787F73" w:rsidRDefault="00742FB7" w:rsidP="00866155">
      <w:pPr>
        <w:contextualSpacing/>
      </w:pPr>
      <w:r>
        <w:rPr>
          <w:rFonts w:cs="Calibri"/>
        </w:rPr>
        <w:t xml:space="preserve">Institutions are defined as social structures that create social order through the establishment of rules, norms, and schema, which in turn influence behaviours, thoughts, and intentions of actors within the institution </w:t>
      </w:r>
      <w:r>
        <w:fldChar w:fldCharType="begin" w:fldLock="1"/>
      </w:r>
      <w:r>
        <w:rPr>
          <w:rFonts w:cs="Calibri"/>
        </w:rPr>
        <w:instrText>ADDIN CSL_CITATION {"citationItems":[{"id":"ITEM-1","itemData":{"DOI":"10.5465/amr.2015.0020","ISBN":"354068297X","ISSN":"03029743","PMID":"127021146","abstract":"In this article I argue that the quest to establish microfoundations for institutional theory is hindered by two assumptions on which it currently rests: that structure simply con-strains and enables action and that agency is mostly associated with reflexivity. I un-pack these two assumptions and propose alternative microfoundations on which (1) structure not only constrains and enables action but also actively orients it toward some possibilities over others, and (2) the pre-reflective dimension of agency is explicitly theorized. It thus becomes possible to bridge long-standing divides within institutional theory, opening up avenues for further developing its microfoundations.","author":[{"dropping-particle":"","family":"Cardinale","given":"Ivano","non-dropping-particle":"","parse-names":false,"suffix":""}],"container-title":"Academy of Management Review","id":"ITEM-1","issue":"1","issued":{"date-parts":[["2018"]]},"page":"132-155","title":"Beyond Constraining and Enabling: Toward New Microfoundations for Institutional Theory","type":"article-journal","volume":"43"},"uris":["http://www.mendeley.com/documents/?uuid=d9c484f7-3075-4731-8304-8986df5d71a1"]},{"id":"ITEM-2","itemData":{"DOI":"10.5465/amr.2014.0381","ISBN":"03637425","ISSN":"0363-7425","PMID":"100212120","abstract":"We conceptualize the roots of cognitive, linguistic, and communicative theories of institutions and outline the promise and potential of a stronger communication focus for institutional theory. In particular, we outline a theoretical approach that puts communication at the heart of theories of institutions, institutional maintenance, and change, and we label this approach communicative institutionalism. We then provide a brief introduction to the set of articles contained in the Special Topic Forum on Communication, Cognition, and Institutions and describe the innovative theorizing of these articles in the direction of communicative theories of institutions. Finally, we sketch a research agenda and further steps and possibilities for theory and research integrating communication and institutions. [ABSTRACT FROM AUTHOR]","author":[{"dropping-particle":"","family":"Cornelissen","given":"J. P.","non-dropping-particle":"","parse-names":false,"suffix":""},{"dropping-particle":"","family":"Durand","given":"R.","non-dropping-particle":"","parse-names":false,"suffix":""},{"dropping-particle":"","family":"Fiss","given":"P. C.","non-dropping-particle":"","parse-names":false,"suffix":""},{"dropping-particle":"","family":"Lammers","given":"J. C.","non-dropping-particle":"","parse-names":false,"suffix":""},{"dropping-particle":"","family":"Vaara","given":"E.","non-dropping-particle":"","parse-names":false,"suffix":""}],"container-title":"Academy of Management Review","id":"ITEM-2","issue":"1","issued":{"date-parts":[["2015"]]},"page":"10-27","title":"Putting Communication Front and Center in Institutional Theory and Analysis","type":"article-journal","volume":"40"},"uris":["http://www.mendeley.com/documents/?uuid=c972474e-09c4-4f20-b29d-3a9ef58858d9"]},{"id":"ITEM-3","itemData":{"author":[{"dropping-particle":"","family":"Scott","given":"W. R.","non-dropping-particle":"","parse-names":false,"suffix":""}],"chapter-number":"22","container-title":"Great Minds in Management: The Process of Theory Development","editor":[{"dropping-particle":"","family":"Smith","given":"Ken G.","non-dropping-particle":"","parse-names":false,"suffix":""},{"dropping-particle":"","family":"Hitt","given":"Michael A.","non-dropping-particle":"","parse-names":false,"suffix":""}],"id":"ITEM-3","issued":{"date-parts":[["2005"]]},"page":"460-484","publisher":"Oxford University Press","publisher-place":"Oxford","title":"Institutional theory: Contributing to a theoretical research program","type":"chapter"},"uris":["http://www.mendeley.com/documents/?uuid=8de1c0a6-4550-442d-8529-9841b65f3d92"]},{"id":"ITEM-4","itemData":{"ISBN":"1526415054","author":[{"dropping-particle":"","family":"Greenwood","given":"Royston","non-dropping-particle":"","parse-names":false,"suffix":""},{"dropping-particle":"","family":"Oliver","given":"Christine","non-dropping-particle":"","parse-names":false,"suffix":""},{"dropping-particle":"","family":"Sahlin","given":"Kerstin","non-dropping-particle":"","parse-names":false,"suffix":""},{"dropping-particle":"","family":"Suddaby","given":"Roy","non-dropping-particle":"","parse-names":false,"suffix":""}],"chapter-number":"1","container-title":"The Sage handbook of Organizational Institutionalism","editor":[{"dropping-particle":"","family":"Greenwood","given":"Royston","non-dropping-particle":"","parse-names":false,"suffix":""},{"dropping-particle":"","family":"Oliver","given":"Christine","non-dropping-particle":"","parse-names":false,"suffix":""},{"dropping-particle":"","family":"Lawrence","given":"Thomas B","non-dropping-particle":"","parse-names":false,"suffix":""},{"dropping-particle":"","family":"Meyer","given":"Renate E","non-dropping-particle":"","parse-names":false,"suffix":""}],"id":"ITEM-4","issued":{"date-parts":[["2008"]]},"page":"1 -34","publisher":"Sage","publisher-place":"London","title":"Introduction","type":"chapter"},"uris":["http://www.mendeley.com/documents/?uuid=3fed7a46-7a1f-43ad-aae4-af5880dadba6"]}],"mendeley":{"formattedCitation":"(Cardinale, 2018; Cornelissen et al., 2015; Greenwood et al., 2008; Scott, 2005)","plainTextFormattedCitation":"(Cardinale, 2018; Cornelissen et al., 2015; Greenwood et al., 2008; Scott, 2005)","previouslyFormattedCitation":"(Cardinale, 2018; Cornelissen et al., 2015; Greenwood et al., 2008; Scott, 2005)"},"properties":{"noteIndex":0},"schema":"https://github.com/citation-style-language/schema/raw/master/csl-citation.json"}</w:instrText>
      </w:r>
      <w:r>
        <w:rPr>
          <w:rFonts w:cs="Calibri"/>
        </w:rPr>
        <w:fldChar w:fldCharType="separate"/>
      </w:r>
      <w:r>
        <w:rPr>
          <w:rFonts w:cs="Calibri"/>
          <w:noProof/>
        </w:rPr>
        <w:t>(Cardinale, 2018; Cornelissen et al., 2015; Greenwood et al., 2008; Scott, 2005)</w:t>
      </w:r>
      <w:r>
        <w:rPr>
          <w:rFonts w:cs="Calibri"/>
        </w:rPr>
        <w:fldChar w:fldCharType="end"/>
      </w:r>
      <w:r>
        <w:rPr>
          <w:rFonts w:cs="Calibri"/>
        </w:rPr>
        <w:t xml:space="preserve">. These social behaviours appear at various levels within society, including seven macro societal institutions, such as the market, family, corporation, religion, professions, community, and state; to smaller meso and field level institutions, such as the FRS </w:t>
      </w:r>
      <w:r>
        <w:fldChar w:fldCharType="begin" w:fldLock="1"/>
      </w:r>
      <w:r w:rsidR="00D177B9">
        <w:rPr>
          <w:rFonts w:cs="Calibri"/>
        </w:rPr>
        <w:instrText>ADDIN CSL_CITATION {"citationItems":[{"id":"ITEM-1","itemData":{"DOI":"10.1111/joms.12070","ISBN":"7804923325","ISSN":"14676486","abstract":"In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Studies","id":"ITEM-1","issue":"7","issued":{"date-parts":[["2014"]]},"page":"1206-1220","title":"Rethinking institutions and organizations","type":"article-journal","volume":"51"},"uris":["http://www.mendeley.com/documents/?uuid=0af2a191-4e5d-48b8-8f8d-ce7200539d20"]},{"id":"ITEM-2","itemData":{"DOI":"10.1093/acprof","ISBN":"9780199682676","ISSN":"0873626X","PMID":"16683413","abstract":"This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-2","issued":{"date-parts":[["2012"]]},"publisher":"Oxford Acdemic","publisher-place":"Oxford","title":"The Institutional Logics Perspective: A New Approach to Culture, Structure and Process","type":"book"},"uris":["http://www.mendeley.com/documents/?uuid=7afe7588-cd0b-4a95-b78a-3214c1130169"]},{"id":"ITEM-3","itemData":{"DOI":"10.1007/s11186-008-9067-z","ISSN":"03042421","abstract":"I summarize seven general trends in the institutional analysis of organizations which I view as constructive and provide evidence of progress in the development of this perspective. I emphasize corrections in early theoretical limitations as well as improvements in the use of empirical indicators and an expansion of the types of organizations included and issues addressed by institutional theorists.","author":[{"dropping-particle":"","family":"Scott","given":"W. Richard","non-dropping-particle":"","parse-names":false,"suffix":""}],"container-title":"Theory and Society","id":"ITEM-3","issued":{"date-parts":[["2008"]]},"page":"427-442","title":"Approaching adulthood: The maturing of institutional theory","type":"article-journal","volume":"37"},"uris":["http://www.mendeley.com/documents/?uuid=c1be5aba-eef5-4103-a9c4-66512b0bd310"]},{"id":"ITEM-4","itemData":{"DOI":"10.1177/1476127015589981","author":[{"dropping-particle":"","family":"Reay","given":"Trish","non-dropping-particle":"","parse-names":false,"suffix":""},{"dropping-particle":"","family":"Jones","given":"Candace","non-dropping-particle":"","parse-names":false,"suffix":""}],"container-title":"Strategic Organization","id":"ITEM-4","issue":"4","issued":{"date-parts":[["2016"]]},"page":"441 - 454","title":"Qualitatively capturing institutional logics","type":"article-journal","volume":"14"},"uris":["http://www.mendeley.com/documents/?uuid=4878ad0c-874d-46a5-9871-26e4841eb77c"]},{"id":"ITEM-5","itemData":{"DOI":"10.1177/1476127015625040","author":[{"dropping-particle":"","family":"Ocasio","given":"William","non-dropping-particle":"","parse-names":false,"suffix":""},{"dropping-particle":"","family":"Radoynovska","given":"Nevena","non-dropping-particle":"","parse-names":false,"suffix":""}],"container-title":"Strategic Organization","id":"ITEM-5","issue":"4","issued":{"date-parts":[["2016"]]},"page":"287 - 309","title":"Strategy and commitments to institutional logics : Organizational heterogeneity in business models and governance","type":"article-journal","volume":"14"},"uris":["http://www.mendeley.com/documents/?uuid=eede86b6-3a39-4b52-acc9-94e8cc3fbd5e"]}],"mendeley":{"formattedCitation":"(Ocasio &amp; Radoynovska, 2016; Reay &amp; Jones, 2016; Greenwood, Hinings, &amp; Whetten, 2014; Thornton, Ocasio, &amp; Lounsbury, 2012; Scott, 2008a)","plainTextFormattedCitation":"(Ocasio &amp; Radoynovska, 2016; Reay &amp; Jones, 2016; Greenwood, Hinings, &amp; Whetten, 2014; Thornton, Ocasio, &amp; Lounsbury, 2012; Scott, 2008a)","previouslyFormattedCitation":"(Ocasio &amp; Radoynovska, 2016; Reay &amp; Jones, 2016; Greenwood, Hinings, &amp; Whetten, 2014; Thornton, Ocasio, &amp; Lounsbury, 2012; Scott, 2008a)"},"properties":{"noteIndex":0},"schema":"https://github.com/citation-style-language/schema/raw/master/csl-citation.json"}</w:instrText>
      </w:r>
      <w:r>
        <w:rPr>
          <w:rFonts w:cs="Calibri"/>
        </w:rPr>
        <w:fldChar w:fldCharType="separate"/>
      </w:r>
      <w:r w:rsidR="00E37B0E" w:rsidRPr="00E37B0E">
        <w:rPr>
          <w:rFonts w:cs="Calibri"/>
          <w:noProof/>
        </w:rPr>
        <w:t>(Ocasio &amp; Radoynovska, 2016; Reay &amp; Jones, 2016; Greenwood, Hinings, &amp; Whetten, 2014; Thornton, Ocasio, &amp; Lounsbury, 2012; Scott, 2008a)</w:t>
      </w:r>
      <w:r>
        <w:rPr>
          <w:rFonts w:cs="Calibri"/>
        </w:rPr>
        <w:fldChar w:fldCharType="end"/>
      </w:r>
      <w:r>
        <w:rPr>
          <w:rFonts w:cs="Calibri"/>
        </w:rPr>
        <w:t xml:space="preserve">. Macro institutions, such as the state, are dependent on local context; for instance, the state institution within a communist political context, such as China, will be different to a democratic political context, such as the UK </w:t>
      </w:r>
      <w:r>
        <w:fldChar w:fldCharType="begin" w:fldLock="1"/>
      </w:r>
      <w:r w:rsidR="00974B75">
        <w:rPr>
          <w:rFonts w:cs="Calibri"/>
        </w:rPr>
        <w:instrText>ADDIN CSL_CITATION {"citationItems":[{"id":"ITEM-1","itemData":{"author":[{"dropping-particle":"","family":"Jamali","given":"Dima","non-dropping-particle":"","parse-names":false,"suffix":""},{"dropping-particle":"","family":"Karam","given":"Charlotte","non-dropping-particle":"","parse-names":false,"suffix":""},{"dropping-particle":"","family":"Yin","given":"Juelin","non-dropping-particle":"","parse-names":false,"suffix":""},{"dropping-particle":"","family":"Soundararjan","given":"Vivek","non-dropping-particle":"","parse-names":false,"suffix":""}],"container-title":"Journal of World Business","id":"ITEM-1","issue":"3","issued":{"date-parts":[["2017"]]},"page":"343 - 359","title":"CSR logics in developing countries: Translation, adaptation and stalled development","type":"article-journal","volume":"52"},"uris":["http://www.mendeley.com/documents/?uuid=689aebbb-8a64-463a-b73c-fb455c7a3530"]}],"mendeley":{"formattedCitation":"(Jamali et al., 2017)","plainTextFormattedCitation":"(Jamali et al., 2017)","previouslyFormattedCitation":"(Jamali et al., 2017)"},"properties":{"noteIndex":0},"schema":"https://github.com/citation-style-language/schema/raw/master/csl-citation.json"}</w:instrText>
      </w:r>
      <w:r>
        <w:rPr>
          <w:rFonts w:cs="Calibri"/>
        </w:rPr>
        <w:fldChar w:fldCharType="separate"/>
      </w:r>
      <w:r>
        <w:rPr>
          <w:rFonts w:cs="Calibri"/>
          <w:noProof/>
        </w:rPr>
        <w:t>(Jamali et al., 2017)</w:t>
      </w:r>
      <w:r>
        <w:rPr>
          <w:rFonts w:cs="Calibri"/>
        </w:rPr>
        <w:fldChar w:fldCharType="end"/>
      </w:r>
      <w:r>
        <w:rPr>
          <w:rFonts w:cs="Calibri"/>
        </w:rPr>
        <w:t>. This places significance on understanding the context of the institution(s) being examined, which will be discussed in this chapter.</w:t>
      </w:r>
    </w:p>
    <w:p w14:paraId="2147F1DD" w14:textId="77777777" w:rsidR="00F47FBA" w:rsidRDefault="00F47FBA" w:rsidP="00866155">
      <w:pPr>
        <w:rPr>
          <w:rFonts w:cs="Calibri"/>
        </w:rPr>
      </w:pPr>
    </w:p>
    <w:p w14:paraId="65836109" w14:textId="577C7FF1" w:rsidR="007F1B53" w:rsidRDefault="00742FB7" w:rsidP="007F1B53">
      <w:pPr>
        <w:contextualSpacing/>
        <w:rPr>
          <w:rFonts w:cs="Calibri"/>
        </w:rPr>
      </w:pPr>
      <w:r>
        <w:rPr>
          <w:rFonts w:cs="Calibri"/>
        </w:rPr>
        <w:t xml:space="preserve">Like many theories, institutional theory has developed and changed over time; this led to the evolution of new institutionalism in the 1970s by John Meyer, and Brian Rowan </w:t>
      </w:r>
      <w:r>
        <w:lastRenderedPageBreak/>
        <w:fldChar w:fldCharType="begin" w:fldLock="1"/>
      </w:r>
      <w:r w:rsidR="00E07E4D">
        <w:rPr>
          <w:rFonts w:cs="Calibri"/>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Phenomena","type":"article-journal","volume":"47"},"uris":["http://www.mendeley.com/documents/?uuid=3561369e-31b0-40ce-940d-739bd34cab24"]},{"id":"ITEM-2","itemData":{"DOI":"10.1177/0170840607088151","ISBN":"0170-8406","ISSN":"01708406","PMID":"31323064","abstract":"More so than other types of social actors, the professions in modern society have assumed leading roles in the creation and tending of institutions. They are the preeminent institutional agents of our time. Different professions work in various ways: some attempt to create general cultural-cognitive frameworks; others to devise normative pre- scriptions to guide behavior; and still others to exercise coercive authority. Also, indi- vidual professionals assume varying roles within their professional community: some concentrate on devising and testing general principles, others transport these ideas to varying communities; and still others work to apply the principles to individual cases. Professions themselves adhere to an institutional model, but this model has undergone important changes over time.","author":[{"dropping-particle":"","family":"Scott","given":"W. Richard","non-dropping-particle":"","parse-names":false,"suffix":""}],"container-title":"Organization Studies","id":"ITEM-2","issue":"2","issued":{"date-parts":[["2008"]]},"page":"219-238","title":"Lords of the dance: Professionals as institutional agents","type":"article-journal","volume":"29"},"uris":["http://www.mendeley.com/documents/?uuid=08afe149-5ce2-4fa3-a5be-8ece63af6202"]},{"id":"ITEM-3","itemData":{"author":[{"dropping-particle":"","family":"Thornton","given":"Patricia H.","non-dropping-particle":"","parse-names":false,"suffix":""},{"dropping-particle":"","family":"Ocasio","given":"William","non-dropping-particle":"","parse-names":false,"suffix":""}],"chapter-number":"3","container-title":"The Sage Handbook of Organizational Institutionalism","editor":[{"dropping-particle":"","family":"Greenwood","given":"Royston","non-dropping-particle":"","parse-names":false,"suffix":""},{"dropping-particle":"","family":"Oliver","given":"Christine","non-dropping-particle":"","parse-names":false,"suffix":""},{"dropping-particle":"","family":"Sahlin","given":"Kerstin","non-dropping-particle":"","parse-names":false,"suffix":""},{"dropping-particle":"","family":"Suddaby","given":"Roy","non-dropping-particle":"","parse-names":false,"suffix":""}],"id":"ITEM-3","issued":{"date-parts":[["2008"]]},"page":"99 - 129","publisher":"Sage","publisher-place":"London","title":"Institutional Logics","type":"chapter"},"uris":["http://www.mendeley.com/documents/?uuid=681a540b-b207-4191-9969-2e3a3a56108e"]},{"id":"ITEM-4","itemData":{"DOI":"10.1111/joms.12070","ISBN":"7804923325","ISSN":"14676486","abstract":"In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Studies","id":"ITEM-4","issue":"7","issued":{"date-parts":[["2014"]]},"page":"1206-1220","title":"Rethinking institutions and organizations","type":"article-journal","volume":"51"},"uris":["http://www.mendeley.com/documents/?uuid=0af2a191-4e5d-48b8-8f8d-ce7200539d20"]},{"id":"ITEM-5","itemData":{"DOI":"10.1111/soc4.12269","ISSN":"17519020","abstract":"The institutional logics perspective holds the promise of delivering where neo-institutionalist theory has disappointed - the ability to address key societal problems such as inequality, social discrimination, and economic insecurity - a promise that, as of yet, has been unrealized. In this review, I provide an overview of the body of work within the institutional logics perspective that addresses the co-existence of multiple institutional logics influencing identities, values, cognitive frameworks, and practices - institutional pluralism. I demonstrate how pluralism diverges from conventional neo-institutionalist theory in its view of institutional fields as heterogeneous spaces. I then review the implications for organizations and social actors responding to multiple logics in the institutional environment. In the discussion section, I argue that the study of pluralism, in acknowledging human agency, politics, and collective mobilization, opens the door for creative resolutions to societal problems hitherto overlooked in neo-institutional theory. Despite the promise, I address key research areas that remain unresolved or under-addressed in the institutional pluralism perspective.","author":[{"dropping-particle":"","family":"Yu","given":"Kyoung Hee","non-dropping-particle":"","parse-names":false,"suffix":""}],"container-title":"Sociology Compass","id":"ITEM-5","issue":"6","issued":{"date-parts":[["2015"]]},"page":"464-476","title":"Institutional Pluralism, Organizations, and Actors: A Review","type":"article-journal","volume":"9"},"uris":["http://www.mendeley.com/documents/?uuid=058e9d2a-fe79-4bc1-a00a-cbe69c5b928d"]},{"id":"ITEM-6","itemData":{"abstract":"Many formal organizational structures arise as reflections of ratio- nalized institutional rules. The elaboration of such rules in modern states and societies accounts in part for the expansion and increased complexity of formal organizational structures. Institutional rules function as myths which organizations incorporate, gaining legitimacy, resources, stability, and enhanced survival prospects. Organizations whose structures become isomorphic with the myths of the institu- tional environment-in contrast with those primarily structured by the demands of technical production and exchange-decrease internal coordination and control in order to maintain legitimacy. Structures are decoupled from each other and from ongoing activities. In place of coordination, inspection, and evaluation, a logic of confidence and good faith is employed.","author":[{"dropping-particle":"","family":"Meyer","given":"John W","non-dropping-particle":"","parse-names":false,"suffix":""},{"dropping-particle":"","family":"Rowan","given":"Brian","non-dropping-particle":"","parse-names":false,"suffix":""}],"container-title":"The American Journal of Sociology","id":"ITEM-6","issue":"2","issued":{"date-parts":[["1977"]]},"page":"340-363","title":"Institutionalized Organizations: Formal Structure as Myth and Ceremony","type":"article-journal","volume":"83"},"uris":["http://www.mendeley.com/documents/?uuid=3a1f5293-82b0-4845-a457-254bfdf86f5e"]}],"mendeley":{"formattedCitation":"(Lounsbury et al., 2021; Yu, 2015; Greenwood, Hinings, &amp; Whetten, 2014; Scott, 2008b; Thornton &amp; Ocasio, 2008; Meyer &amp; Rowan, 1977)","plainTextFormattedCitation":"(Lounsbury et al., 2021; Yu, 2015; Greenwood, Hinings, &amp; Whetten, 2014; Scott, 2008b; Thornton &amp; Ocasio, 2008; Meyer &amp; Rowan, 1977)","previouslyFormattedCitation":"(Lounsbury et al., 2021; Yu, 2015; Greenwood, Hinings, &amp; Whetten, 2014; Scott, 2008b; Thornton &amp; Ocasio, 2008; Meyer &amp; Rowan, 1977)"},"properties":{"noteIndex":0},"schema":"https://github.com/citation-style-language/schema/raw/master/csl-citation.json"}</w:instrText>
      </w:r>
      <w:r>
        <w:rPr>
          <w:rFonts w:cs="Calibri"/>
        </w:rPr>
        <w:fldChar w:fldCharType="separate"/>
      </w:r>
      <w:r>
        <w:rPr>
          <w:rFonts w:cs="Calibri"/>
          <w:noProof/>
        </w:rPr>
        <w:t>(Lounsbury et al., 2021; Yu, 2015; Greenwood, Hinings, &amp; Whetten, 2014; Scott, 2008b; Thornton &amp; Ocasio, 2008; Meyer &amp; Rowan, 1977)</w:t>
      </w:r>
      <w:r>
        <w:rPr>
          <w:rFonts w:cs="Calibri"/>
        </w:rPr>
        <w:fldChar w:fldCharType="end"/>
      </w:r>
      <w:r>
        <w:rPr>
          <w:rFonts w:cs="Calibri"/>
        </w:rPr>
        <w:t xml:space="preserve">, which this thesis uses as its analytical lens. New institutionalism </w:t>
      </w:r>
      <w:r w:rsidR="00CE6E1E">
        <w:rPr>
          <w:rFonts w:cs="Calibri"/>
        </w:rPr>
        <w:t>was seen as an answer to the critiques of institutional theory, such as its focus on stability, the challenges of measurement, limited understanding of individual agency, challenges of endogeneity</w:t>
      </w:r>
      <w:r w:rsidR="007F1B53">
        <w:rPr>
          <w:rFonts w:cs="Calibri"/>
        </w:rPr>
        <w:t>, and neglect of micro-level processes</w:t>
      </w:r>
      <w:r w:rsidR="00CE6E1E">
        <w:rPr>
          <w:rFonts w:cs="Calibri"/>
        </w:rPr>
        <w:t xml:space="preserve"> </w:t>
      </w:r>
      <w:r w:rsidR="00CE6E1E">
        <w:rPr>
          <w:rFonts w:cs="Calibri"/>
        </w:rPr>
        <w:fldChar w:fldCharType="begin" w:fldLock="1"/>
      </w:r>
      <w:r w:rsidR="00113678">
        <w:rPr>
          <w:rFonts w:cs="Calibri"/>
        </w:rPr>
        <w:instrText>ADDIN CSL_CITATION {"citationItems":[{"id":"ITEM-1","itemData":{"author":[{"dropping-particle":"","family":"Peters","given":"B Guy","non-dropping-particle":"","parse-names":false,"suffix":""}],"container-title":"Political Science Series","id":"ITEM-1","issued":{"date-parts":[["2000"]]},"title":"Institutional Theory: Problems and Prospects 69 Reihe Politikwissenschaft Political Science Series","type":"article-journal"},"uris":["http://www.mendeley.com/documents/?uuid=f2a2e54c-fc54-44c5-a4d2-379b87edb3ca"]},{"id":"ITEM-2","itemData":{"abstract":"To compare and contrast institutional theories used in or- ganizational analysis, the theoretical frameworks and ar- guments of leading contributors to institutional theory are reviewed and recent empirical studies using institutional arguments are examined. Both approaches reveal consid- erable variation in the types of concepts and arguments employed, and it is argued that further improvement and growth in institutional theory is dependent upon analysts dealing more explicitly with these differences. In addition, the relation between institutions and interests is explored to show that institutional features of organizational envi- ronments shape both the goals and means of actors. At- tention is called to the two primary types of actors shaping institutional environments in modern societies- the state and professional bodies-and to the way in which their interests and mode of action shape institu- tional patterns and mechanisms.","author":[{"dropping-particle":"","family":"Scott","given":"W Richard","non-dropping-particle":"","parse-names":false,"suffix":""}],"container-title":"Administrative Science Quarterly","id":"ITEM-2","issue":"4","issued":{"date-parts":[["1987"]]},"page":"493-511","title":"The Adolescence of Institutional Theory","type":"article-journal","volume":"32"},"uris":["http://www.mendeley.com/documents/?uuid=37d3c9ed-07b7-411f-adb3-1b1804691329"]},{"id":"ITEM-3","itemData":{"DOI":"10.4135/9781849200387.n11","abstract":"None","author":[{"dropping-particle":"","family":"Powell","given":"Walter W.","non-dropping-particle":"","parse-names":false,"suffix":""},{"dropping-particle":"","family":"Colyvas","given":"Jeannette A.","non-dropping-particle":"","parse-names":false,"suffix":""}],"chapter-number":"10","container-title":"The SAGE Handbook of Organizational Institutionalism","editor":[{"dropping-particle":"","family":"Greenwood","given":"Royston","non-dropping-particle":"","parse-names":false,"suffix":""},{"dropping-particle":"","family":"Oliver","given":"Christine","non-dropping-particle":"","parse-names":false,"suffix":""},{"dropping-particle":"","family":"Sahlin","given":"Kerstin","non-dropping-particle":"","parse-names":false,"suffix":""},{"dropping-particle":"","family":"Suddaby","given":"Roy","non-dropping-particle":"","parse-names":false,"suffix":""}],"id":"ITEM-3","issued":{"date-parts":[["2012"]]},"page":"276-298","publisher":"Sage Publications","title":"Microfoundations of Institutional Theory","type":"chapter"},"uris":["http://www.mendeley.com/documents/?uuid=2b7c3bac-210e-4890-836d-7de2ec1c76e8"]}],"mendeley":{"formattedCitation":"(Powell &amp; Colyvas, 2012; Peters, 2000; Scott, 1987)","plainTextFormattedCitation":"(Powell &amp; Colyvas, 2012; Peters, 2000; Scott, 1987)","previouslyFormattedCitation":"(Powell &amp; Colyvas, 2012; Peters, 2000; Scott, 1987)"},"properties":{"noteIndex":0},"schema":"https://github.com/citation-style-language/schema/raw/master/csl-citation.json"}</w:instrText>
      </w:r>
      <w:r w:rsidR="00CE6E1E">
        <w:rPr>
          <w:rFonts w:cs="Calibri"/>
        </w:rPr>
        <w:fldChar w:fldCharType="separate"/>
      </w:r>
      <w:r w:rsidR="007F1B53" w:rsidRPr="007F1B53">
        <w:rPr>
          <w:rFonts w:cs="Calibri"/>
          <w:noProof/>
        </w:rPr>
        <w:t>(Powell &amp; Colyvas, 2012; Peters, 2000; Scott, 1987)</w:t>
      </w:r>
      <w:r w:rsidR="00CE6E1E">
        <w:rPr>
          <w:rFonts w:cs="Calibri"/>
        </w:rPr>
        <w:fldChar w:fldCharType="end"/>
      </w:r>
      <w:r w:rsidR="007F1B53">
        <w:rPr>
          <w:rFonts w:cs="Calibri"/>
        </w:rPr>
        <w:t xml:space="preserve">. This led to a greater conceptualisation of </w:t>
      </w:r>
      <w:r w:rsidR="00323A57">
        <w:rPr>
          <w:rFonts w:cs="Calibri"/>
        </w:rPr>
        <w:t>institutions</w:t>
      </w:r>
      <w:r w:rsidR="007F1B53">
        <w:rPr>
          <w:rFonts w:cs="Calibri"/>
        </w:rPr>
        <w:t xml:space="preserve">, including the three pillars. Scott suggested that within institutions there are three main conceptual elements or </w:t>
      </w:r>
      <w:r w:rsidR="007F1B53">
        <w:rPr>
          <w:rFonts w:cs="Calibri"/>
          <w:i/>
          <w:iCs/>
        </w:rPr>
        <w:t>pillars</w:t>
      </w:r>
      <w:r w:rsidR="007F1B53">
        <w:rPr>
          <w:rFonts w:cs="Calibri"/>
        </w:rPr>
        <w:t xml:space="preserve">: these are </w:t>
      </w:r>
      <w:r w:rsidR="007F1B53">
        <w:rPr>
          <w:rFonts w:cs="Calibri"/>
          <w:i/>
          <w:iCs/>
        </w:rPr>
        <w:t>regulative</w:t>
      </w:r>
      <w:r w:rsidR="007F1B53">
        <w:rPr>
          <w:rFonts w:cs="Calibri"/>
        </w:rPr>
        <w:t xml:space="preserve">, with the focus on rules and policies within the institution; </w:t>
      </w:r>
      <w:r w:rsidR="007F1B53">
        <w:rPr>
          <w:rFonts w:cs="Calibri"/>
          <w:i/>
          <w:iCs/>
        </w:rPr>
        <w:t>normative</w:t>
      </w:r>
      <w:r w:rsidR="007F1B53">
        <w:rPr>
          <w:rFonts w:cs="Calibri"/>
        </w:rPr>
        <w:t xml:space="preserve">, suggesting the obligation and prescriptive behaviour that is expected within the institution; and </w:t>
      </w:r>
      <w:r w:rsidR="007F1B53">
        <w:rPr>
          <w:rFonts w:cs="Calibri"/>
          <w:i/>
          <w:iCs/>
        </w:rPr>
        <w:t>cultural cognitive</w:t>
      </w:r>
      <w:r w:rsidR="007F1B53">
        <w:rPr>
          <w:rFonts w:cs="Calibri"/>
        </w:rPr>
        <w:t xml:space="preserve">, highlighting that the shared behaviour is part of constructing a social reality within the institution </w:t>
      </w:r>
      <w:r w:rsidR="007F1B53">
        <w:fldChar w:fldCharType="begin" w:fldLock="1"/>
      </w:r>
      <w:r w:rsidR="007F1B53">
        <w:rPr>
          <w:rFonts w:cs="Calibri"/>
        </w:rPr>
        <w:instrText>ADDIN CSL_CITATION {"citationItems":[{"id":"ITEM-1","itemData":{"DOI":"10.1108/S0277-2833(2010)0000021006","ISBN":"0000021008","ISSN":"02772833","abstract":"Social science attention to the distinctive role played by the professions\\nin modern society dates, at least, from the 1930s, beginning with\\nthe pioneering research of Carr-Saunders and Wilson (1933) and the\\ntheorizing of Parsons (1939). A considerable body of work was produced\\nwell into the 1960s, most of which embraced what was subsequently\\ntermed a functionalist approach. It was argued that in return for\\nemploying their specialized knowledge in the client's interest, professionals\\nwere ceded the right to set standards of training and practice and\\nto exercise autonomy of decision making in their spheres of competence\\n(e.g., Goode, 1957; Goss, 1961; Greenwood, 1957; Hughes, 1958b).\\nConsiderable effort was expended in differentiating between more-\\nand less-fully developed types of professions (e.g., Etzioni, 1969;\\nScott, 1965), as well as identifying the stages and strategies by\\nwhich professions acquired their distinctive features and status\\n(e.g., Abbott, 1988; Freidson, 1986; Wilensky, 1964).","author":[{"dropping-particle":"","family":"Scott","given":"W. Richard","non-dropping-particle":"","parse-names":false,"suffix":""}],"container-title":"Institutions and Entrepreneurship (Research in the Sociology of Work, Vol. 21)","editor":[{"dropping-particle":"","family":"Wesley D. Sine","given":"Robert J. David","non-dropping-particle":"","parse-names":false,"suffix":""}],"id":"ITEM-1","issued":{"date-parts":[["2010"]]},"page":"27-49","publisher":"Emerald Group Publishing Limited","publisher-place":"Leeds","title":"Entrepreneurs and professionals: The mediating role of institutions","type":"chapter"},"uris":["http://www.mendeley.com/documents/?uuid=8748eab4-c587-451c-8f5e-723bdb377cea"]},{"id":"ITEM-2","itemData":{"DOI":"10.1111/joms.12070","ISBN":"7804923325","ISSN":"14676486","abstract":"In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Studies","id":"ITEM-2","issue":"7","issued":{"date-parts":[["2014"]]},"page":"1206-1220","title":"Rethinking institutions and organizations","type":"article-journal","volume":"51"},"uris":["http://www.mendeley.com/documents/?uuid=0af2a191-4e5d-48b8-8f8d-ce7200539d20"]},{"id":"ITEM-3","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Practice","id":"ITEM-3","issue":"3","issued":{"date-parts":[["2010"]]},"page":"421-440","title":"Institutional theory and entrepreneurship: Where are we now and where do we need to move in the future?","type":"article-journal","volume":"34"},"uris":["http://www.mendeley.com/documents/?uuid=e36ff41e-f87e-4ac2-ad15-cf1983b501ae"]},{"id":"ITEM-4","itemData":{"DOI":"10.1177/0170840607088151","ISBN":"0170-8406","ISSN":"01708406","PMID":"31323064","abstract":"More so than other types of social actors, the professions in modern society have assumed leading roles in the creation and tending of institutions. They are the preeminent institutional agents of our time. Different professions work in various ways: some attempt to create general cultural-cognitive frameworks; others to devise normative pre- scriptions to guide behavior; and still others to exercise coercive authority. Also, indi- vidual professionals assume varying roles within their professional community: some concentrate on devising and testing general principles, others transport these ideas to varying communities; and still others work to apply the principles to individual cases. Professions themselves adhere to an institutional model, but this model has undergone important changes over time.","author":[{"dropping-particle":"","family":"Scott","given":"W. Richard","non-dropping-particle":"","parse-names":false,"suffix":""}],"container-title":"Organization Studies","id":"ITEM-4","issue":"2","issued":{"date-parts":[["2008"]]},"page":"219-238","title":"Lords of the dance: Professionals as institutional agents","type":"article-journal","volume":"29"},"uris":["http://www.mendeley.com/documents/?uuid=08afe149-5ce2-4fa3-a5be-8ece63af6202"]},{"id":"ITEM-5","itemData":{"author":[{"dropping-particle":"","family":"Scott","given":"W. R.","non-dropping-particle":"","parse-names":false,"suffix":""}],"chapter-number":"22","container-title":"Great Minds in Management: The Process of Theory Development","editor":[{"dropping-particle":"","family":"Smith","given":"Ken G.","non-dropping-particle":"","parse-names":false,"suffix":""},{"dropping-particle":"","family":"Hitt","given":"Michael A.","non-dropping-particle":"","parse-names":false,"suffix":""}],"id":"ITEM-5","issued":{"date-parts":[["2005"]]},"page":"460-484","publisher":"Oxford University Press","publisher-place":"Oxford","title":"Institutional theory: Contributing to a theoretical research program","type":"chapter"},"uris":["http://www.mendeley.com/documents/?uuid=8de1c0a6-4550-442d-8529-9841b65f3d92"]}],"mendeley":{"formattedCitation":"(Greenwood, Hinings, &amp; Whetten, 2014; Bruton, Ahlstrom, &amp; Li, 2010; Scott, 2005, 2008b, 2010a)","plainTextFormattedCitation":"(Greenwood, Hinings, &amp; Whetten, 2014; Bruton, Ahlstrom, &amp; Li, 2010; Scott, 2005, 2008b, 2010a)","previouslyFormattedCitation":"(Greenwood, Hinings, &amp; Whetten, 2014; Bruton, Ahlstrom, &amp; Li, 2010; Scott, 2005, 2008b, 2010a)"},"properties":{"noteIndex":0},"schema":"https://github.com/citation-style-language/schema/raw/master/csl-citation.json"}</w:instrText>
      </w:r>
      <w:r w:rsidR="007F1B53">
        <w:rPr>
          <w:rFonts w:cs="Calibri"/>
        </w:rPr>
        <w:fldChar w:fldCharType="separate"/>
      </w:r>
      <w:r w:rsidR="007F1B53">
        <w:rPr>
          <w:rFonts w:cs="Calibri"/>
          <w:noProof/>
        </w:rPr>
        <w:t>(Greenwood, Hinings, &amp; Whetten, 2014; Bruton, Ahlstrom, &amp; Li, 2010; Scott, 2005, 2008b, 2010a)</w:t>
      </w:r>
      <w:r w:rsidR="007F1B53">
        <w:rPr>
          <w:rFonts w:cs="Calibri"/>
        </w:rPr>
        <w:fldChar w:fldCharType="end"/>
      </w:r>
      <w:r w:rsidR="007F1B53">
        <w:rPr>
          <w:rFonts w:cs="Calibri"/>
        </w:rPr>
        <w:t xml:space="preserve">. These three pillars provide a conceptual framing of the </w:t>
      </w:r>
      <w:r w:rsidR="007F1B53">
        <w:rPr>
          <w:rFonts w:cs="Calibri"/>
          <w:i/>
          <w:iCs/>
        </w:rPr>
        <w:t>institution</w:t>
      </w:r>
      <w:r w:rsidR="007F1B53">
        <w:rPr>
          <w:rFonts w:cs="Calibri"/>
        </w:rPr>
        <w:t xml:space="preserve">, enabling a better understanding of how institutions are created and maintained. </w:t>
      </w:r>
    </w:p>
    <w:p w14:paraId="16DAA15D" w14:textId="77777777" w:rsidR="007F1B53" w:rsidRDefault="007F1B53" w:rsidP="007F1B53">
      <w:pPr>
        <w:contextualSpacing/>
      </w:pPr>
    </w:p>
    <w:p w14:paraId="62CD6820" w14:textId="75E9DFB7" w:rsidR="00113678" w:rsidRDefault="007F1B53" w:rsidP="00434456">
      <w:pPr>
        <w:rPr>
          <w:rFonts w:cs="Calibri"/>
        </w:rPr>
      </w:pPr>
      <w:r>
        <w:rPr>
          <w:rFonts w:cs="Calibri"/>
        </w:rPr>
        <w:t xml:space="preserve">These developments </w:t>
      </w:r>
      <w:r w:rsidR="00742FB7">
        <w:rPr>
          <w:rFonts w:cs="Calibri"/>
        </w:rPr>
        <w:t>moved institutional theory from a focus on strategic actors to a greater understanding of how organisations are situated within a wider institutional context</w:t>
      </w:r>
      <w:r w:rsidR="00CB4FCA">
        <w:rPr>
          <w:rFonts w:cs="Calibri"/>
        </w:rPr>
        <w:t>.</w:t>
      </w:r>
      <w:r w:rsidR="00742FB7">
        <w:rPr>
          <w:rFonts w:cs="Calibri"/>
        </w:rPr>
        <w:t xml:space="preserve"> </w:t>
      </w:r>
      <w:r w:rsidR="00CB4FCA">
        <w:rPr>
          <w:rFonts w:cs="Calibri"/>
        </w:rPr>
        <w:t xml:space="preserve">This shift revealed </w:t>
      </w:r>
      <w:r w:rsidR="00742FB7">
        <w:rPr>
          <w:rFonts w:cs="Calibri"/>
        </w:rPr>
        <w:t xml:space="preserve">how this influences actions and decisions </w:t>
      </w:r>
      <w:r w:rsidR="00742FB7">
        <w:fldChar w:fldCharType="begin" w:fldLock="1"/>
      </w:r>
      <w:r w:rsidR="00742FB7">
        <w:rPr>
          <w:rFonts w:cs="Calibri"/>
        </w:rPr>
        <w:instrText>ADDIN CSL_CITATION {"citationItems":[{"id":"ITEM-1","itemData":{"DOI":"10.5465/amr.2015.0020","ISBN":"354068297X","ISSN":"03029743","PMID":"127021146","abstract":"In this article I argue that the quest to establish microfoundations for institutional theory is hindered by two assumptions on which it currently rests: that structure simply con-strains and enables action and that agency is mostly associated with reflexivity. I un-pack these two assumptions and propose alternative microfoundations on which (1) structure not only constrains and enables action but also actively orients it toward some possibilities over others, and (2) the pre-reflective dimension of agency is explicitly theorized. It thus becomes possible to bridge long-standing divides within institutional theory, opening up avenues for further developing its microfoundations.","author":[{"dropping-particle":"","family":"Cardinale","given":"Ivano","non-dropping-particle":"","parse-names":false,"suffix":""}],"container-title":"Academy of Management Review","id":"ITEM-1","issue":"1","issued":{"date-parts":[["2018"]]},"page":"132-155","title":"Beyond Constraining and Enabling: Toward New Microfoundations for Institutional Theory","type":"article-journal","volume":"43"},"uris":["http://www.mendeley.com/documents/?uuid=d9c484f7-3075-4731-8304-8986df5d71a1"]},{"id":"ITEM-2","itemData":{"DOI":"10.1111/joms.12070","ISBN":"7804923325","ISSN":"14676486","abstract":"In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Studies","id":"ITEM-2","issue":"7","issued":{"date-parts":[["2014"]]},"page":"1206-1220","title":"Rethinking institutions and organizations","type":"article-journal","volume":"51"},"uris":["http://www.mendeley.com/documents/?uuid=0af2a191-4e5d-48b8-8f8d-ce7200539d20"]}],"mendeley":{"formattedCitation":"(Cardinale, 2018; Greenwood, Hinings, &amp; Whetten, 2014)","plainTextFormattedCitation":"(Cardinale, 2018; Greenwood, Hinings, &amp; Whetten, 2014)","previouslyFormattedCitation":"(Cardinale, 2018; Greenwood, Hinings, &amp; Whetten, 2014)"},"properties":{"noteIndex":0},"schema":"https://github.com/citation-style-language/schema/raw/master/csl-citation.json"}</w:instrText>
      </w:r>
      <w:r w:rsidR="00742FB7">
        <w:rPr>
          <w:rFonts w:cs="Calibri"/>
        </w:rPr>
        <w:fldChar w:fldCharType="separate"/>
      </w:r>
      <w:r w:rsidR="00742FB7">
        <w:rPr>
          <w:rFonts w:cs="Calibri"/>
          <w:noProof/>
        </w:rPr>
        <w:t>(Cardinale, 2018; Greenwood, Hinings, &amp; Whetten, 2014)</w:t>
      </w:r>
      <w:r w:rsidR="00742FB7">
        <w:rPr>
          <w:rFonts w:cs="Calibri"/>
        </w:rPr>
        <w:fldChar w:fldCharType="end"/>
      </w:r>
      <w:r w:rsidR="00742FB7">
        <w:rPr>
          <w:rFonts w:cs="Calibri"/>
        </w:rPr>
        <w:t xml:space="preserve">, as well as the capacity of organisations and individuals to reflect on their institutional environment </w:t>
      </w:r>
      <w:r w:rsidR="00742FB7">
        <w:fldChar w:fldCharType="begin" w:fldLock="1"/>
      </w:r>
      <w:r w:rsidR="00742FB7">
        <w:rPr>
          <w:rFonts w:cs="Calibri"/>
        </w:rPr>
        <w:instrText>ADDIN CSL_CITATION {"citationItems":[{"id":"ITEM-1","itemData":{"DOI":"10.1111/soc4.12269","ISSN":"17519020","abstract":"The institutional logics perspective holds the promise of delivering where neo-institutionalist theory has disappointed - the ability to address key societal problems such as inequality, social discrimination, and economic insecurity - a promise that, as of yet, has been unrealized. In this review, I provide an overview of the body of work within the institutional logics perspective that addresses the co-existence of multiple institutional logics influencing identities, values, cognitive frameworks, and practices - institutional pluralism. I demonstrate how pluralism diverges from conventional neo-institutionalist theory in its view of institutional fields as heterogeneous spaces. I then review the implications for organizations and social actors responding to multiple logics in the institutional environment. In the discussion section, I argue that the study of pluralism, in acknowledging human agency, politics, and collective mobilization, opens the door for creative resolutions to societal problems hitherto overlooked in neo-institutional theory. Despite the promise, I address key research areas that remain unresolved or under-addressed in the institutional pluralism perspective.","author":[{"dropping-particle":"","family":"Yu","given":"Kyoung Hee","non-dropping-particle":"","parse-names":false,"suffix":""}],"container-title":"Sociology Compass","id":"ITEM-1","issue":"6","issued":{"date-parts":[["2015"]]},"page":"464-476","title":"Institutional Pluralism, Organizations, and Actors: A Review","type":"article-journal","volume":"9"},"uris":["http://www.mendeley.com/documents/?uuid=058e9d2a-fe79-4bc1-a00a-cbe69c5b928d"]}],"mendeley":{"formattedCitation":"(Yu, 2015)","plainTextFormattedCitation":"(Yu, 2015)","previouslyFormattedCitation":"(Yu, 2015)"},"properties":{"noteIndex":0},"schema":"https://github.com/citation-style-language/schema/raw/master/csl-citation.json"}</w:instrText>
      </w:r>
      <w:r w:rsidR="00742FB7">
        <w:rPr>
          <w:rFonts w:cs="Calibri"/>
        </w:rPr>
        <w:fldChar w:fldCharType="separate"/>
      </w:r>
      <w:r w:rsidR="00742FB7">
        <w:rPr>
          <w:rFonts w:cs="Calibri"/>
          <w:noProof/>
        </w:rPr>
        <w:t>(Yu, 2015)</w:t>
      </w:r>
      <w:r w:rsidR="00742FB7">
        <w:rPr>
          <w:rFonts w:cs="Calibri"/>
        </w:rPr>
        <w:fldChar w:fldCharType="end"/>
      </w:r>
      <w:r w:rsidR="00742FB7">
        <w:rPr>
          <w:rFonts w:cs="Calibri"/>
        </w:rPr>
        <w:t xml:space="preserve">. </w:t>
      </w:r>
      <w:r w:rsidR="00F47FBA">
        <w:rPr>
          <w:rFonts w:cs="Calibri"/>
        </w:rPr>
        <w:t xml:space="preserve">This enabled institutional theory to examine the lived experiences within the institutions </w:t>
      </w:r>
      <w:r w:rsidR="00F47FBA">
        <w:rPr>
          <w:rFonts w:cs="Calibri"/>
        </w:rPr>
        <w:fldChar w:fldCharType="begin" w:fldLock="1"/>
      </w:r>
      <w:r w:rsidR="00F47FBA">
        <w:rPr>
          <w:rFonts w:cs="Calibri"/>
        </w:rPr>
        <w:instrText>ADDIN CSL_CITATION {"citationItems":[{"id":"ITEM-1","itemData":{"DOI":"10.1108/S0733-558X201600048A005","author":[{"dropping-particle":"","family":"Zilber","given":"Tammar B","non-dropping-particle":"","parse-names":false,"suffix":""}],"chapter-number":"5","container-title":"How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-1","issued":{"date-parts":[["2016"]]},"page":"137-155","publisher":"Emerald Group Publishing Limited","title":"How Institutional Logics Matter: A Bottom-Up Exploration","type":"chapter","volume":"48"},"uris":["http://www.mendeley.com/documents/?uuid=e4988de7-6965-4bc8-bedf-8392ba1d8d8c"]}],"mendeley":{"formattedCitation":"(Zilber, 2016)","plainTextFormattedCitation":"(Zilber, 2016)","previouslyFormattedCitation":"(Zilber, 2016)"},"properties":{"noteIndex":0},"schema":"https://github.com/citation-style-language/schema/raw/master/csl-citation.json"}</w:instrText>
      </w:r>
      <w:r w:rsidR="00F47FBA">
        <w:rPr>
          <w:rFonts w:cs="Calibri"/>
        </w:rPr>
        <w:fldChar w:fldCharType="separate"/>
      </w:r>
      <w:r w:rsidR="00F47FBA" w:rsidRPr="00F47FBA">
        <w:rPr>
          <w:rFonts w:cs="Calibri"/>
          <w:noProof/>
        </w:rPr>
        <w:t>(Zilber, 2016)</w:t>
      </w:r>
      <w:r w:rsidR="00F47FBA">
        <w:rPr>
          <w:rFonts w:cs="Calibri"/>
        </w:rPr>
        <w:fldChar w:fldCharType="end"/>
      </w:r>
      <w:r w:rsidR="00F47FBA">
        <w:rPr>
          <w:rFonts w:cs="Calibri"/>
        </w:rPr>
        <w:t xml:space="preserve">. </w:t>
      </w:r>
    </w:p>
    <w:p w14:paraId="34C4FA94" w14:textId="77777777" w:rsidR="00113678" w:rsidRDefault="00113678" w:rsidP="00434456">
      <w:pPr>
        <w:rPr>
          <w:rFonts w:cs="Calibri"/>
        </w:rPr>
      </w:pPr>
    </w:p>
    <w:p w14:paraId="60166175" w14:textId="00B9A269" w:rsidR="00434456" w:rsidRDefault="00113678" w:rsidP="00434456">
      <w:r>
        <w:t>While new institutionalism aimed to solve some of the challenges of institutional theory, others critiqued new institutionalism</w:t>
      </w:r>
      <w:r w:rsidR="00B84810">
        <w:t>,</w:t>
      </w:r>
      <w:r w:rsidR="008E3689">
        <w:t xml:space="preserve"> suggesting there is a loose theoretical framework, ideological weaknesses</w:t>
      </w:r>
      <w:r w:rsidR="009D59F4">
        <w:t>, a blending of the pillars,</w:t>
      </w:r>
      <w:r w:rsidR="008E3689">
        <w:t xml:space="preserve"> and that</w:t>
      </w:r>
      <w:r w:rsidR="009D59F4">
        <w:t xml:space="preserve"> it</w:t>
      </w:r>
      <w:r w:rsidR="008E3689">
        <w:t xml:space="preserve"> </w:t>
      </w:r>
      <w:r w:rsidR="00434456">
        <w:rPr>
          <w:rFonts w:cs="Calibri"/>
        </w:rPr>
        <w:t>does not provide a focus on the individuals within the institution</w:t>
      </w:r>
      <w:r w:rsidR="009D59F4">
        <w:rPr>
          <w:rFonts w:cs="Calibri"/>
        </w:rPr>
        <w:t>,</w:t>
      </w:r>
      <w:r w:rsidR="00434456">
        <w:rPr>
          <w:rFonts w:cs="Calibri"/>
        </w:rPr>
        <w:t xml:space="preserve"> or enable a critique of the power relations within the institution </w:t>
      </w:r>
      <w:r w:rsidR="00434456">
        <w:rPr>
          <w:rFonts w:cs="Calibri"/>
        </w:rPr>
        <w:fldChar w:fldCharType="begin" w:fldLock="1"/>
      </w:r>
      <w:r w:rsidR="00CB61FC">
        <w:rPr>
          <w:rFonts w:cs="Calibri"/>
        </w:rPr>
        <w:instrText>ADDIN CSL_CITATION {"citationItems":[{"id":"ITEM-1","itemData":{"DOI":"10.1108/S0733-558X201600048A005","author":[{"dropping-particle":"","family":"Zilber","given":"Tammar B","non-dropping-particle":"","parse-names":false,"suffix":""}],"chapter-number":"5","container-title":"How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-1","issued":{"date-parts":[["2016"]]},"page":"137-155","publisher":"Emerald Group Publishing Limited","title":"How Institutional Logics Matter: A Bottom-Up Exploration","type":"chapter","volume":"48"},"uris":["http://www.mendeley.com/documents/?uuid=e4988de7-6965-4bc8-bedf-8392ba1d8d8c"]},{"id":"ITEM-2","itemData":{"DOI":"10.1177/2631787719887975","ISSN":"26317877","abstract":"Institutional theory’s claim to be critical rings hollow. Not only does the theory lack an emancipatory agenda but most institutional studies privilege agentic power over hegemonic. Even when engaging with ‘grand challenges’ institutional theorists are inclined to overlook larger structures of domination in favour of focusing on smaller, more manageable issues. As a result, institutional theorists run the risk of becoming complicit in the reification and legitimation of structures of domination. A process of self-critique must be initiated in order to recognize the role institutional theory is playing in this process.","author":[{"dropping-particle":"","family":"Munir","given":"Kamal A.","non-dropping-particle":"","parse-names":false,"suffix":""}],"container-title":"Organization Theory","id":"ITEM-2","issue":"1","issued":{"date-parts":[["2019"]]},"page":"1-10","title":"Challenging Institutional Theory’s Critical Credentials","type":"article-journal","volume":"1"},"uris":["http://www.mendeley.com/documents/?uuid=e761a5a2-f15a-470b-9617-5a1a0637fe86"]},{"id":"ITEM-3","itemData":{"author":[{"dropping-particle":"","family":"Hira","given":"Anil","non-dropping-particle":"","parse-names":false,"suffix":""},{"dropping-particle":"","family":"Hira","given":"Ron","non-dropping-particle":"","parse-names":false,"suffix":""}],"container-title":"The American Journal of Economics and Sociology","id":"ITEM-3","issue":"2","issued":{"date-parts":[["2000"]]},"page":"267-282","title":"The New Institutionalism : Contradictory Notions of Change","type":"article-journal","volume":"59"},"uris":["http://www.mendeley.com/documents/?uuid=77218e8a-ebad-4b66-a1a8-bb7e113e313e"]},{"id":"ITEM-4","itemData":{"author":[{"dropping-particle":"","family":"Thornton","given":"Patricia H.","non-dropping-particle":"","parse-names":false,"suffix":""},{"dropping-particle":"","family":"Ocasio","given":"William","non-dropping-particle":"","parse-names":false,"suffix":""}],"chapter-number":"3","container-title":"The Sage Handbook of Organizational Institutionalism","editor":[{"dropping-particle":"","family":"Greenwood","given":"Royston","non-dropping-particle":"","parse-names":false,"suffix":""},{"dropping-particle":"","family":"Oliver","given":"Christine","non-dropping-particle":"","parse-names":false,"suffix":""},{"dropping-particle":"","family":"Sahlin","given":"Kerstin","non-dropping-particle":"","parse-names":false,"suffix":""},{"dropping-particle":"","family":"Suddaby","given":"Roy","non-dropping-particle":"","parse-names":false,"suffix":""}],"id":"ITEM-4","issued":{"date-parts":[["2008"]]},"page":"99 - 129","publisher":"Sage","publisher-place":"London","title":"Institutional Logics","type":"chapter"},"uris":["http://www.mendeley.com/documents/?uuid=681a540b-b207-4191-9969-2e3a3a56108e"]},{"id":"ITEM-5","itemData":{"DOI":"10.1080/03585522.1991.10408199","ISSN":"17502837","author":[{"dropping-particle":"","family":"Gunnarsson","given":"Christer","non-dropping-particle":"","parse-names":false,"suffix":""}],"container-title":"Scandinavian Economic History Review","id":"ITEM-5","issue":"1","issued":{"date-parts":[["1991"]]},"page":"43-67","title":"What is new and what is institutional in the new institutional economics?: An essay on old and new institutionalism and the role of the state in developing countries","type":"article-journal","volume":"39"},"uris":["http://www.mendeley.com/documents/?uuid=231a84dc-3dce-493f-8e87-4832a5195056"]}],"mendeley":{"formattedCitation":"(Munir, 2019; Zilber, 2016; Thornton &amp; Ocasio, 2008; Hira &amp; Hira, 2000; Gunnarsson, 1991)","plainTextFormattedCitation":"(Munir, 2019; Zilber, 2016; Thornton &amp; Ocasio, 2008; Hira &amp; Hira, 2000; Gunnarsson, 1991)","previouslyFormattedCitation":"(Munir, 2019; Zilber, 2016; Thornton &amp; Ocasio, 2008; Hira &amp; Hira, 2000; Gunnarsson, 1991)"},"properties":{"noteIndex":0},"schema":"https://github.com/citation-style-language/schema/raw/master/csl-citation.json"}</w:instrText>
      </w:r>
      <w:r w:rsidR="00434456">
        <w:rPr>
          <w:rFonts w:cs="Calibri"/>
        </w:rPr>
        <w:fldChar w:fldCharType="separate"/>
      </w:r>
      <w:r w:rsidR="008E3689" w:rsidRPr="008E3689">
        <w:rPr>
          <w:rFonts w:cs="Calibri"/>
          <w:noProof/>
        </w:rPr>
        <w:t>(Munir, 2019; Zilber, 2016; Thornton &amp; Ocasio, 2008; Hira &amp; Hira, 2000; Gunnarsson, 1991)</w:t>
      </w:r>
      <w:r w:rsidR="00434456">
        <w:rPr>
          <w:rFonts w:cs="Calibri"/>
        </w:rPr>
        <w:fldChar w:fldCharType="end"/>
      </w:r>
      <w:r w:rsidR="00434456">
        <w:rPr>
          <w:rFonts w:cs="Calibri"/>
        </w:rPr>
        <w:t xml:space="preserve">. New institutionalism does not </w:t>
      </w:r>
      <w:r w:rsidR="00434456">
        <w:t xml:space="preserve">fully incorporate an emancipatory agenda, namely acknowledging and examining larger structures which may negatively influence the people working and living within them </w:t>
      </w:r>
      <w:r w:rsidR="00434456">
        <w:fldChar w:fldCharType="begin" w:fldLock="1"/>
      </w:r>
      <w:r w:rsidR="00434456">
        <w:instrText>ADDIN CSL_CITATION {"citationItems":[{"id":"ITEM-1","itemData":{"DOI":"10.1177/2631787719887975","ISSN":"26317877","abstract":"Institutional theory’s claim to be critical rings hollow. Not only does the theory lack an emancipatory agenda but most institutional studies privilege agentic power over hegemonic. Even when engaging with ‘grand challenges’ institutional theorists are inclined to overlook larger structures of domination in favour of focusing on smaller, more manageable issues. As a result, institutional theorists run the risk of becoming complicit in the reification and legitimation of structures of domination. A process of self-critique must be initiated in order to recognize the role institutional theory is playing in this process.","author":[{"dropping-particle":"","family":"Munir","given":"Kamal A.","non-dropping-particle":"","parse-names":false,"suffix":""}],"container-title":"Organization Theory","id":"ITEM-1","issue":"1","issued":{"date-parts":[["2019"]]},"page":"1-10","title":"Challenging Institutional Theory’s Critical Credentials","type":"article-journal","volume":"1"},"uris":["http://www.mendeley.com/documents/?uuid=e761a5a2-f15a-470b-9617-5a1a0637fe86"]}],"mendeley":{"formattedCitation":"(Munir, 2019)","plainTextFormattedCitation":"(Munir, 2019)","previouslyFormattedCitation":"(Munir, 2019)"},"properties":{"noteIndex":0},"schema":"https://github.com/citation-style-language/schema/raw/master/csl-citation.json"}</w:instrText>
      </w:r>
      <w:r w:rsidR="00434456">
        <w:fldChar w:fldCharType="separate"/>
      </w:r>
      <w:r w:rsidR="00434456" w:rsidRPr="00941150">
        <w:rPr>
          <w:noProof/>
        </w:rPr>
        <w:t>(Munir, 2019)</w:t>
      </w:r>
      <w:r w:rsidR="00434456">
        <w:fldChar w:fldCharType="end"/>
      </w:r>
      <w:r w:rsidR="00434456">
        <w:t xml:space="preserve">. However, due to the </w:t>
      </w:r>
      <w:r w:rsidR="00434456">
        <w:lastRenderedPageBreak/>
        <w:t>engaged scholarship approach of this project, this project does acknowledge and examine some of the larger structures, such as a</w:t>
      </w:r>
      <w:r w:rsidR="0017242F">
        <w:t xml:space="preserve"> growing</w:t>
      </w:r>
      <w:r w:rsidR="00434456">
        <w:t xml:space="preserve"> neoliberal agenda.</w:t>
      </w:r>
    </w:p>
    <w:p w14:paraId="55A5ABDB" w14:textId="77777777" w:rsidR="00434456" w:rsidRDefault="00434456" w:rsidP="00F47FBA">
      <w:pPr>
        <w:rPr>
          <w:rFonts w:cs="Calibri"/>
        </w:rPr>
      </w:pPr>
    </w:p>
    <w:p w14:paraId="4FBECF0B" w14:textId="77777777" w:rsidR="00897630" w:rsidRDefault="00742FB7" w:rsidP="00F47FBA">
      <w:pPr>
        <w:rPr>
          <w:rFonts w:cs="Calibri"/>
        </w:rPr>
      </w:pPr>
      <w:r>
        <w:rPr>
          <w:rFonts w:cs="Calibri"/>
        </w:rPr>
        <w:t xml:space="preserve">This shift </w:t>
      </w:r>
      <w:r w:rsidR="00434456">
        <w:rPr>
          <w:rFonts w:cs="Calibri"/>
        </w:rPr>
        <w:t xml:space="preserve">to new institutionalism </w:t>
      </w:r>
      <w:r>
        <w:rPr>
          <w:rFonts w:cs="Calibri"/>
        </w:rPr>
        <w:t xml:space="preserve">placed a greater focus on legitimacy within the institution, the concept of institutional fields, individual and group agency within institutions, institutional work, and institutional logics </w:t>
      </w:r>
      <w:r>
        <w:fldChar w:fldCharType="begin" w:fldLock="1"/>
      </w:r>
      <w:r w:rsidR="00974B75">
        <w:rPr>
          <w:rFonts w:cs="Calibri"/>
        </w:rPr>
        <w:instrText>ADDIN CSL_CITATION {"citationItems":[{"id":"ITEM-1","itemData":{"DOI":"10.1111/joms.12070","ISBN":"7804923325","ISSN":"14676486","abstract":"In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Studies","id":"ITEM-1","issue":"7","issued":{"date-parts":[["2014"]]},"page":"1206-1220","title":"Rethinking institutions and organizations","type":"article-journal","volume":"51"},"uris":["http://www.mendeley.com/documents/?uuid=0af2a191-4e5d-48b8-8f8d-ce7200539d20"]},{"id":"ITEM-2","itemData":{"DOI":"10.1111/j.1467-9299.2012.02105.x","ISBN":"00014273","ISSN":"0170-8406","PMID":"18837629","abstract":"Over recent decades, a number of managerial reform initiatives in continental Europe have aimed at moving away from the traditional Weberian model of public administration. Such shifting bases of legitimacy are brought about by changes in the institutional logics in place, which not only provide frames of reference but also social identities and vocabularies of motive for the actors in the field. In this article, we approach the expanding research on public service motivation (PSM) by employing an institutional prism. Based on an executive survey in a continental European context, we examine the assumption that high PSM is associated with the traditional ethos and social identity in the public sector. What we find is that a Weberian legalistic-bureaucratic logic supports neither a high attraction to policy-making nor a high level of compassion. A managerial orientation, on the other hand, entails significantly higher scores on these two dimensions, as well as on overall PSM.","author":[{"dropping-particle":"","family":"Dacin","given":"M Tina","non-dropping-particle":"","parse-names":false,"suffix":""},{"dropping-particle":"","family":"Goodstein","given":"Jerry","non-dropping-particle":"","parse-names":false,"suffix":""},{"dropping-particle":"","family":"Scott","given":"W Richard","non-dropping-particle":"","parse-names":false,"suffix":""}],"container-title":"The Academy of Management Journal","id":"ITEM-2","issue":"1","issued":{"date-parts":[["2002"]]},"page":"45-56","title":"Institutional Theory and Institutional Change: Introduction to the Special Research Forum","type":"article-journal","volume":"45"},"uris":["http://www.mendeley.com/documents/?uuid=ce784237-38a8-4089-a19f-9157aeaf33bb"]},{"id":"ITEM-3","itemData":{"author":[{"dropping-particle":"","family":"Scott","given":"W. R.","non-dropping-particle":"","parse-names":false,"suffix":""}],"chapter-number":"22","container-title":"Great Minds in Management: The Process of Theory Development","editor":[{"dropping-particle":"","family":"Smith","given":"Ken G.","non-dropping-particle":"","parse-names":false,"suffix":""},{"dropping-particle":"","family":"Hitt","given":"Michael A.","non-dropping-particle":"","parse-names":false,"suffix":""}],"id":"ITEM-3","issued":{"date-parts":[["2005"]]},"page":"460-484","publisher":"Oxford University Press","publisher-place":"Oxford","title":"Institutional theory: Contributing to a theoretical research program","type":"chapter"},"uris":["http://www.mendeley.com/documents/?uuid=8de1c0a6-4550-442d-8529-9841b65f3d92"]}],"mendeley":{"formattedCitation":"(Greenwood, Hinings, &amp; Whetten, 2014; Scott, 2005; Dacin, Goodstein, &amp; Scott, 2002)","plainTextFormattedCitation":"(Greenwood, Hinings, &amp; Whetten, 2014; Scott, 2005; Dacin, Goodstein, &amp; Scott, 2002)","previouslyFormattedCitation":"(Greenwood, Hinings, &amp; Whetten, 2014; Scott, 2005; Dacin, Goodstein, &amp; Scott, 2002)"},"properties":{"noteIndex":0},"schema":"https://github.com/citation-style-language/schema/raw/master/csl-citation.json"}</w:instrText>
      </w:r>
      <w:r>
        <w:rPr>
          <w:rFonts w:cs="Calibri"/>
        </w:rPr>
        <w:fldChar w:fldCharType="separate"/>
      </w:r>
      <w:r>
        <w:rPr>
          <w:rFonts w:cs="Calibri"/>
          <w:noProof/>
        </w:rPr>
        <w:t>(Greenwood, Hinings, &amp; Whetten, 2014; Scott, 2005; Dacin, Goodstein, &amp; Scott, 2002)</w:t>
      </w:r>
      <w:r>
        <w:rPr>
          <w:rFonts w:cs="Calibri"/>
        </w:rPr>
        <w:fldChar w:fldCharType="end"/>
      </w:r>
      <w:r>
        <w:rPr>
          <w:rFonts w:cs="Calibri"/>
        </w:rPr>
        <w:t xml:space="preserve">. </w:t>
      </w:r>
    </w:p>
    <w:p w14:paraId="6619B4B5" w14:textId="77777777" w:rsidR="00694A02" w:rsidRDefault="00694A02" w:rsidP="00F47FBA">
      <w:pPr>
        <w:rPr>
          <w:rFonts w:cs="Calibri"/>
        </w:rPr>
      </w:pPr>
    </w:p>
    <w:p w14:paraId="03366A2F" w14:textId="173E56DA" w:rsidR="00787F73" w:rsidRDefault="00742FB7" w:rsidP="00866155">
      <w:r>
        <w:rPr>
          <w:rFonts w:cs="Calibri"/>
        </w:rPr>
        <w:t>This project used a new institutional theory approach due to its focus on the role of the individual</w:t>
      </w:r>
      <w:r w:rsidR="00694A02">
        <w:rPr>
          <w:rFonts w:cs="Calibri"/>
        </w:rPr>
        <w:t xml:space="preserve">; it </w:t>
      </w:r>
      <w:r>
        <w:rPr>
          <w:rFonts w:cs="Calibri"/>
        </w:rPr>
        <w:t xml:space="preserve">provides a greater nuance of analysis when examining communities and the different experiences within a community. New institutionalism has continually been developed since Meyer and Rowan’s paper in 1977 which focused on isomorphism, to now include additional concepts and lenses with which to view and analyse institutions, such as the institutional logics perspective </w:t>
      </w:r>
      <w:r>
        <w:fldChar w:fldCharType="begin" w:fldLock="1"/>
      </w:r>
      <w:r>
        <w:rPr>
          <w:rFonts w:cs="Calibri"/>
        </w:rPr>
        <w:instrText>ADDIN CSL_CITATION {"citationItems":[{"id":"ITEM-1","itemData":{"DOI":"10.1111/soc4.12269","ISSN":"17519020","abstract":"The institutional logics perspective holds the promise of delivering where neo-institutionalist theory has disappointed - the ability to address key societal problems such as inequality, social discrimination, and economic insecurity - a promise that, as of yet, has been unrealized. In this review, I provide an overview of the body of work within the institutional logics perspective that addresses the co-existence of multiple institutional logics influencing identities, values, cognitive frameworks, and practices - institutional pluralism. I demonstrate how pluralism diverges from conventional neo-institutionalist theory in its view of institutional fields as heterogeneous spaces. I then review the implications for organizations and social actors responding to multiple logics in the institutional environment. In the discussion section, I argue that the study of pluralism, in acknowledging human agency, politics, and collective mobilization, opens the door for creative resolutions to societal problems hitherto overlooked in neo-institutional theory. Despite the promise, I address key research areas that remain unresolved or under-addressed in the institutional pluralism perspective.","author":[{"dropping-particle":"","family":"Yu","given":"Kyoung Hee","non-dropping-particle":"","parse-names":false,"suffix":""}],"container-title":"Sociology Compass","id":"ITEM-1","issue":"6","issued":{"date-parts":[["2015"]]},"page":"464-476","title":"Institutional Pluralism, Organizations, and Actors: A Review","type":"article-journal","volume":"9"},"uris":["http://www.mendeley.com/documents/?uuid=058e9d2a-fe79-4bc1-a00a-cbe69c5b928d"]}],"mendeley":{"formattedCitation":"(Yu, 2015)","plainTextFormattedCitation":"(Yu, 2015)","previouslyFormattedCitation":"(Yu, 2015)"},"properties":{"noteIndex":0},"schema":"https://github.com/citation-style-language/schema/raw/master/csl-citation.json"}</w:instrText>
      </w:r>
      <w:r>
        <w:rPr>
          <w:rFonts w:cs="Calibri"/>
        </w:rPr>
        <w:fldChar w:fldCharType="separate"/>
      </w:r>
      <w:r>
        <w:rPr>
          <w:rFonts w:cs="Calibri"/>
          <w:noProof/>
        </w:rPr>
        <w:t>(Yu, 2015)</w:t>
      </w:r>
      <w:r>
        <w:rPr>
          <w:rFonts w:cs="Calibri"/>
        </w:rPr>
        <w:fldChar w:fldCharType="end"/>
      </w:r>
      <w:r>
        <w:rPr>
          <w:rFonts w:cs="Calibri"/>
        </w:rPr>
        <w:t>. This thesis focused on the institutional logics approach, which is used to examine how institutions are communicated and maintained, and how they influence organisations, such as SYFR.</w:t>
      </w:r>
    </w:p>
    <w:p w14:paraId="59944C2A" w14:textId="77777777" w:rsidR="00787F73" w:rsidRDefault="00787F73" w:rsidP="00866155">
      <w:pPr>
        <w:contextualSpacing/>
        <w:rPr>
          <w:rFonts w:cs="Calibri"/>
        </w:rPr>
      </w:pPr>
    </w:p>
    <w:p w14:paraId="293ABEDA" w14:textId="77777777" w:rsidR="00787F73" w:rsidRDefault="00742FB7" w:rsidP="00866155">
      <w:pPr>
        <w:pStyle w:val="Heading3"/>
        <w:contextualSpacing/>
      </w:pPr>
      <w:bookmarkStart w:id="82" w:name="_Toc158823543"/>
      <w:bookmarkStart w:id="83" w:name="_Toc98148287"/>
      <w:bookmarkStart w:id="84" w:name="_Toc523750419"/>
      <w:bookmarkStart w:id="85" w:name="_Toc67579726"/>
      <w:bookmarkStart w:id="86" w:name="_Toc139636606"/>
      <w:bookmarkStart w:id="87" w:name="_Toc153554302"/>
      <w:bookmarkStart w:id="88" w:name="_Toc93410787"/>
      <w:bookmarkStart w:id="89" w:name="_Toc62815575"/>
      <w:bookmarkStart w:id="90" w:name="_Toc10621101"/>
      <w:bookmarkStart w:id="91" w:name="_Toc22633712"/>
      <w:bookmarkStart w:id="92" w:name="_Toc523850280"/>
      <w:bookmarkStart w:id="93" w:name="_Toc138687413"/>
      <w:bookmarkStart w:id="94" w:name="_Toc139645561"/>
      <w:bookmarkStart w:id="95" w:name="_Toc34408569"/>
      <w:bookmarkStart w:id="96" w:name="_Toc93335979"/>
      <w:bookmarkStart w:id="97" w:name="_Toc193367183"/>
      <w:r>
        <w:rPr>
          <w:rFonts w:ascii="Calibri" w:hAnsi="Calibri" w:cs="Calibri"/>
        </w:rPr>
        <w:t>2.1.3: Institutional logics perspective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4DB888A3" w14:textId="77777777" w:rsidR="00787F73" w:rsidRDefault="00742FB7" w:rsidP="00866155">
      <w:pPr>
        <w:pStyle w:val="Heading4"/>
        <w:spacing w:line="360" w:lineRule="auto"/>
        <w:contextualSpacing/>
      </w:pPr>
      <w:bookmarkStart w:id="98" w:name="_Toc67579727"/>
      <w:bookmarkStart w:id="99" w:name="_Toc139636607"/>
      <w:bookmarkStart w:id="100" w:name="_Toc98148288"/>
      <w:bookmarkStart w:id="101" w:name="_Toc139645562"/>
      <w:bookmarkStart w:id="102" w:name="_Toc93410788"/>
      <w:r>
        <w:rPr>
          <w:rFonts w:ascii="Calibri" w:hAnsi="Calibri" w:cs="Calibri"/>
        </w:rPr>
        <w:t>What are logics?</w:t>
      </w:r>
      <w:bookmarkEnd w:id="98"/>
      <w:bookmarkEnd w:id="99"/>
      <w:bookmarkEnd w:id="100"/>
      <w:bookmarkEnd w:id="101"/>
      <w:bookmarkEnd w:id="102"/>
    </w:p>
    <w:p w14:paraId="3B5EAE15" w14:textId="4D96AA15" w:rsidR="00787F73" w:rsidRDefault="00742FB7" w:rsidP="00866155">
      <w:pPr>
        <w:contextualSpacing/>
      </w:pPr>
      <w:r>
        <w:rPr>
          <w:rFonts w:cs="Calibri"/>
        </w:rPr>
        <w:t xml:space="preserve">The institutional logics perspective is used to understand the interrelations of individuals, organisations and institutions within a wider cultural and social system </w:t>
      </w:r>
      <w:r>
        <w:fldChar w:fldCharType="begin" w:fldLock="1"/>
      </w:r>
      <w:r w:rsidR="00E37B0E">
        <w:rPr>
          <w:rFonts w:cs="Calibri"/>
        </w:rPr>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Process","type":"book"},"uris":["http://www.mendeley.com/documents/?uuid=7afe7588-cd0b-4a95-b78a-3214c1130169"]},{"id":"ITEM-2","itemData":{"DOI":"10.1177/0170840607088151","ISBN":"0170-8406","ISSN":"01708406","PMID":"31323064","abstract":"More so than other types of social actors, the professions in modern society have assumed leading roles in the creation and tending of institutions. They are the preeminent institutional agents of our time. Different professions work in various ways: some attempt to create general cultural-cognitive frameworks; others to devise normative pre- scriptions to guide behavior; and still others to exercise coercive authority. Also, indi- vidual professionals assume varying roles within their professional community: some concentrate on devising and testing general principles, others transport these ideas to varying communities; and still others work to apply the principles to individual cases. Professions themselves adhere to an institutional model, but this model has undergone important changes over time.","author":[{"dropping-particle":"","family":"Scott","given":"W. Richard","non-dropping-particle":"","parse-names":false,"suffix":""}],"container-title":"Organization Studies","id":"ITEM-2","issue":"2","issued":{"date-parts":[["2008"]]},"page":"219-238","title":"Lords of the dance: Professionals as institutional agents","type":"article-journal","volume":"29"},"uris":["http://www.mendeley.com/documents/?uuid=08afe149-5ce2-4fa3-a5be-8ece63af6202"]},{"id":"ITEM-3","itemData":{"DOI":"10.1111/joms.12070","ISBN":"7804923325","ISSN":"14676486","abstract":"In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Studies","id":"ITEM-3","issue":"7","issued":{"date-parts":[["2014"]]},"page":"1206-1220","title":"Rethinking institutions and organizations","type":"article-journal","volume":"51"},"uris":["http://www.mendeley.com/documents/?uuid=0af2a191-4e5d-48b8-8f8d-ce7200539d20"]},{"id":"ITEM-4","itemData":{"author":[{"dropping-particle":"","family":"Ocasio","given":"William","non-dropping-particle":"","parse-names":false,"suffix":""},{"dropping-particle":"","family":"Loewenstein","given":"Jeffrey","non-dropping-particle":"","parse-names":false,"suffix":""},{"dropping-particle":"","family":"Nigam","given":"Amit","non-dropping-particle":"","parse-names":false,"suffix":""}],"container-title":"Academy of Management Review","id":"ITEM-4","issue":"1","issued":{"date-parts":[["2015"]]},"page":"28-48","title":"How streams of communication reproduce and change institutional logics: The role of categories","type":"article-journal","volume":"40"},"uris":["http://www.mendeley.com/documents/?uuid=b593d1e5-cced-44cb-a400-5da1449d375a"]},{"id":"ITEM-5","itemData":{"author":[{"dropping-particle":"","family":"Friedland","given":"Roger","non-dropping-particle":"","parse-names":false,"suffix":""},{"dropping-particle":"","family":"Alford","given":"Robert R","non-dropping-particle":"","parse-names":false,"suffix":""}],"chapter-number":"10","container-title":"The New Institutionalism in Organisational Analysis","editor":[{"dropping-particle":"","family":"Powell","given":"Walter W","non-dropping-particle":"","parse-names":false,"suffix":""},{"dropping-particle":"","family":"DiMaggio","given":"Paul J","non-dropping-particle":"","parse-names":false,"suffix":""}],"id":"ITEM-5","issued":{"date-parts":[["1991"]]},"page":"232-263","publisher":"University of Chicago Press","publisher-place":"Chicago","title":"Bringing Society Back In: Symbols, Practices, and Institutional Contradictions","type":"chapter"},"uris":["http://www.mendeley.com/documents/?uuid=e3d6a6b7-7be9-473a-8cdf-d64cbb6bd75b"]}],"mendeley":{"formattedCitation":"(Ocasio, Loewenstein, &amp; Nigam, 2015; Greenwood, Hinings, &amp; Whetten, 2014; Thornton, Ocasio, &amp; Lounsbury, 2012; Scott, 2008b; Friedland &amp; Alford, 1991)","plainTextFormattedCitation":"(Ocasio, Loewenstein, &amp; Nigam, 2015; Greenwood, Hinings, &amp; Whetten, 2014; Thornton, Ocasio, &amp; Lounsbury, 2012; Scott, 2008b; Friedland &amp; Alford, 1991)","previouslyFormattedCitation":"(Ocasio, Loewenstein, &amp; Nigam, 2015; Greenwood, Hinings, &amp; Whetten, 2014; Thornton, Ocasio, &amp; Lounsbury, 2012; Scott, 2008b; Friedland &amp; Alford, 1991)"},"properties":{"noteIndex":0},"schema":"https://github.com/citation-style-language/schema/raw/master/csl-citation.json"}</w:instrText>
      </w:r>
      <w:r>
        <w:rPr>
          <w:rFonts w:cs="Calibri"/>
        </w:rPr>
        <w:fldChar w:fldCharType="separate"/>
      </w:r>
      <w:r w:rsidR="007C12EC" w:rsidRPr="007C12EC">
        <w:rPr>
          <w:rFonts w:cs="Calibri"/>
          <w:noProof/>
        </w:rPr>
        <w:t>(Ocasio, Loewenstein, &amp; Nigam, 2015; Greenwood, Hinings, &amp; Whetten, 2014; Thornton, Ocasio, &amp; Lounsbury, 2012; Scott, 2008b; Friedland &amp; Alford, 1991)</w:t>
      </w:r>
      <w:r>
        <w:rPr>
          <w:rFonts w:cs="Calibri"/>
        </w:rPr>
        <w:fldChar w:fldCharType="end"/>
      </w:r>
      <w:r>
        <w:rPr>
          <w:rFonts w:cs="Calibri"/>
        </w:rPr>
        <w:t xml:space="preserve">, and more widely it provides a meta-analysis of why organisations and institutions are the way they are </w:t>
      </w:r>
      <w:r>
        <w:fldChar w:fldCharType="begin" w:fldLock="1"/>
      </w:r>
      <w:r w:rsidR="00974B75">
        <w:rPr>
          <w:rFonts w:cs="Calibri"/>
        </w:rPr>
        <w:instrText>ADDIN CSL_CITATION {"citationItems":[{"id":"ITEM-1","itemData":{"DOI":"10.1080/01559982.2022.2133339","ISSN":"14676303","abstract":"This paper explores the United Kingdom’s (UK) attempt to reconcile fiscal reporting logics through its Clear Line of Sight Alignment Project (CLOS). Drawing on archival data, together with semi-structured interviews with representatives involved in the implementation of CLOS, the findings indicate that what started as a means of resolving the tensions between logics, CLOS has exacerbated some existing ones and exposed others. This is largely due to the influence of the professional logic, primarily the UK’s adherence to International Financial Reporting Standards which prevents fiscal reporting being fully aligned. Furthermore, our research illustrates how the UK government has resisted elements of both the professional and national logics to create a system designed to rationalise the fiscal reporting maze. The findings also show that operationally CLOS has (to an extent) aligned the timing, coverage and classification of the fiscal reporting process to present the flow of expenditure from budgeted to approved, to outturn, thereby contributing to the wider agenda of improving the planning, management and control of public expenditure. Given continued calls to align global fiscal reporting practices, this paper informs public policy makers of the (potential) linkages between systems, the obstacles that can be encountered and the incentives for adopting it.","author":[{"dropping-particle":"","family":"Stewart","given":"Elaine","non-dropping-particle":"","parse-names":false,"suffix":""},{"dropping-particle":"","family":"Connolly","given":"Ciaran","non-dropping-particle":"","parse-names":false,"suffix":""}],"container-title":"Accounting Forum","id":"ITEM-1","issued":{"date-parts":[["2022"]]},"page":"1 - 25","title":"UK public sector fiscal reporting: clear and contradictory","type":"article-journal"},"uris":["http://www.mendeley.com/documents/?uuid=758876e3-36e8-471d-8d3d-3461df951b35"]}],"mendeley":{"formattedCitation":"(Stewart &amp; Connolly, 2022)","plainTextFormattedCitation":"(Stewart &amp; Connolly, 2022)","previouslyFormattedCitation":"(Stewart &amp; Connolly, 2022)"},"properties":{"noteIndex":0},"schema":"https://github.com/citation-style-language/schema/raw/master/csl-citation.json"}</w:instrText>
      </w:r>
      <w:r>
        <w:rPr>
          <w:rFonts w:cs="Calibri"/>
        </w:rPr>
        <w:fldChar w:fldCharType="separate"/>
      </w:r>
      <w:r>
        <w:rPr>
          <w:rFonts w:cs="Calibri"/>
          <w:noProof/>
          <w:lang w:eastAsia="en-US"/>
        </w:rPr>
        <w:t>(Stewart &amp; Connolly, 2022)</w:t>
      </w:r>
      <w:r>
        <w:rPr>
          <w:rFonts w:cs="Calibri"/>
        </w:rPr>
        <w:fldChar w:fldCharType="end"/>
      </w:r>
      <w:r>
        <w:rPr>
          <w:rFonts w:cs="Calibri"/>
        </w:rPr>
        <w:t xml:space="preserve">. Using institutional logics enables one to view the influence of the institution on a series of practices, assumptions, values and beliefs which individuals and organisations use in their daily lives, activities and strategic choices </w:t>
      </w:r>
      <w:r>
        <w:fldChar w:fldCharType="begin" w:fldLock="1"/>
      </w:r>
      <w:r w:rsidR="00D177B9">
        <w:rPr>
          <w:rFonts w:cs="Calibri"/>
        </w:rPr>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Process","type":"book"},"uris":["http://www.mendeley.com/documents/?uuid=7afe7588-cd0b-4a95-b78a-3214c1130169"]},{"id":"ITEM-2","itemData":{"DOI":"10.1177/017084069701800204","ISBN":"01708406","ISSN":"0170-8406","PMID":"9707225788","abstract":"The focus of this paper is to examine the responses to institutional isomorph ism in one area of the public sector — universities. As an example, one particu lar organizational practice is examined — performance appraisal — and its implications for one group of professionals — academics. In doing so, some of the sources of variation in responses to institutional pressures are illustrated and the strategies of resistance actors engage in to resist such pressures. It is suggested that the concept of institutional logic is an important element in influencing responses to isomorphism, providing a repertoire of beliefs with which to contest concepts of legitimacy.","author":[{"dropping-particle":"","family":"Townley","given":"Barbara","non-dropping-particle":"","parse-names":false,"suffix":""}],"container-title":"Organization Studies","id":"ITEM-2","issue":"2","issued":{"date-parts":[["1997"]]},"page":"261-285","title":"Logic of Performance Appraisal","type":"article-journal","volume":"18"},"uris":["http://www.mendeley.com/documents/?uuid=3956e178-7c7b-4649-90dd-0750fde9fde0"]},{"id":"ITEM-3","itemData":{"DOI":"10.1108/S0733-558X201600048A001","author":[{"dropping-particle":"","family":"Glaser","given":"Vern L","non-dropping-particle":"","parse-names":false,"suffix":""},{"dropping-particle":"","family":"Fast","given":"Nathanael J","non-dropping-particle":"","parse-names":false,"suffix":""},{"dropping-particle":"","family":"Harmon","given":"Derek J","non-dropping-particle":"","parse-names":false,"suffix":""},{"dropping-particle":"","family":"Green","given":"Sandy E","non-dropping-particle":"","parse-names":false,"suffix":""}],"chapter-number":"2","container-title":"How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-3","issued":{"date-parts":[["2016"]]},"page":"35-70","publisher":"Emerald Group Publishing Limited","title":"Institutional Frame Switching: How Institutional Logics Shape Individual Action","type":"chapter","volume":"48A"},"uris":["http://www.mendeley.com/documents/?uuid=8ac9f37b-5be1-4297-bd70-0abc13a22de3"]},{"id":"ITEM-4","itemData":{"DOI":"10.1177/1476127015625040","author":[{"dropping-particle":"","family":"Ocasio","given":"William","non-dropping-particle":"","parse-names":false,"suffix":""},{"dropping-particle":"","family":"Radoynovska","given":"Nevena","non-dropping-particle":"","parse-names":false,"suffix":""}],"container-title":"Strategic Organization","id":"ITEM-4","issue":"4","issued":{"date-parts":[["2016"]]},"page":"287 - 309","title":"Strategy and commitments to institutional logics : Organizational heterogeneity in business models and governance","type":"article-journal","volume":"14"},"uris":["http://www.mendeley.com/documents/?uuid=eede86b6-3a39-4b52-acc9-94e8cc3fbd5e"]}],"mendeley":{"formattedCitation":"(Glaser et al., 2016; Ocasio &amp; Radoynovska, 2016; Thornton, Ocasio, &amp; Lounsbury, 2012; Townley, 1997)","plainTextFormattedCitation":"(Glaser et al., 2016; Ocasio &amp; Radoynovska, 2016; Thornton, Ocasio, &amp; Lounsbury, 2012; Townley, 1997)","previouslyFormattedCitation":"(Glaser et al., 2016; Ocasio &amp; Radoynovska, 2016; Thornton, Ocasio, &amp; Lounsbury, 2012; Townley, 1997)"},"properties":{"noteIndex":0},"schema":"https://github.com/citation-style-language/schema/raw/master/csl-citation.json"}</w:instrText>
      </w:r>
      <w:r>
        <w:rPr>
          <w:rFonts w:cs="Calibri"/>
        </w:rPr>
        <w:fldChar w:fldCharType="separate"/>
      </w:r>
      <w:r w:rsidR="00E37B0E" w:rsidRPr="00E37B0E">
        <w:rPr>
          <w:rFonts w:cs="Calibri"/>
          <w:noProof/>
        </w:rPr>
        <w:t>(Glaser et al., 2016; Ocasio &amp; Radoynovska, 2016; Thornton, Ocasio, &amp; Lounsbury, 2012; Townley, 1997)</w:t>
      </w:r>
      <w:r>
        <w:rPr>
          <w:rFonts w:cs="Calibri"/>
        </w:rPr>
        <w:fldChar w:fldCharType="end"/>
      </w:r>
      <w:r>
        <w:rPr>
          <w:rFonts w:cs="Calibri"/>
        </w:rPr>
        <w:t xml:space="preserve">. Simply, institutional logics enables one to examine the impacts of an institution on an organisation. Within this research, the institutional logics lens </w:t>
      </w:r>
      <w:r w:rsidR="00673A6F">
        <w:rPr>
          <w:rFonts w:cs="Calibri"/>
        </w:rPr>
        <w:t xml:space="preserve">was </w:t>
      </w:r>
      <w:r>
        <w:rPr>
          <w:rFonts w:cs="Calibri"/>
        </w:rPr>
        <w:t xml:space="preserve">used to examine how SYFR are </w:t>
      </w:r>
      <w:r>
        <w:rPr>
          <w:rFonts w:cs="Calibri"/>
        </w:rPr>
        <w:lastRenderedPageBreak/>
        <w:t xml:space="preserve">influenced by different institutions which is the focus of research question two: </w:t>
      </w:r>
      <w:r>
        <w:rPr>
          <w:rFonts w:cs="Calibri"/>
          <w:i/>
          <w:iCs/>
        </w:rPr>
        <w:t>what influences and shapes SYFR’s communication strategy?</w:t>
      </w:r>
    </w:p>
    <w:p w14:paraId="3A491F71" w14:textId="77777777" w:rsidR="00787F73" w:rsidRDefault="00787F73" w:rsidP="00866155">
      <w:pPr>
        <w:contextualSpacing/>
        <w:rPr>
          <w:rFonts w:cs="Calibri"/>
        </w:rPr>
      </w:pPr>
    </w:p>
    <w:p w14:paraId="2247F44A" w14:textId="77777777" w:rsidR="00787F73" w:rsidRDefault="00742FB7" w:rsidP="00EC665C">
      <w:pPr>
        <w:contextualSpacing/>
        <w:rPr>
          <w:rFonts w:cs="Calibri"/>
        </w:rPr>
      </w:pPr>
      <w:r>
        <w:rPr>
          <w:rFonts w:cs="Calibri"/>
        </w:rPr>
        <w:t xml:space="preserve">Institutional logics enable researchers to examine the impact of societal and field level institutions on the lived experiences of people working within organisations. The institutional logics literature has examined a variety of organisations, such as health care organisations </w:t>
      </w:r>
      <w:r>
        <w:fldChar w:fldCharType="begin" w:fldLock="1"/>
      </w:r>
      <w:r w:rsidR="00974B75">
        <w:rPr>
          <w:rFonts w:cs="Calibri"/>
        </w:rPr>
        <w:instrText>ADDIN CSL_CITATION {"citationItems":[{"id":"ITEM-1","itemData":{"DOI":"10.1017/dmp.2022.13","ISSN":"1938744X","PMID":"35264273","abstract":"Objective: Health-Care Coalitions (HCCs) provide an important emergency response safety net function across the United States in preparedness and responses to disasters. A key challenge is the variation in the maturity and operational readiness of HCCs. The purpose of this study was to identify key tenets that define high-functioning HCCs and help mature HCCs into a higher-functioning state of operations. Methods: This was a qualitative study based on grounded theory methodology using semi-structured interviews for data collection and thematic analysis. Participants were stakeholders (n = 39) of HCCs from across the United States at local, state, and federal levels. Results: Through an institutional logics lens, the 3 key attributes for high functioning-HCCs were identified as (1) having an established and growing partnership, (2) being value-driven culture, and (3) being response ready. In addition, 3 logics were deemed essential for guiding HCCs: sources of governance, sources of partner engagement, and sources of sustainability. Participant responses describe the importance of these attributes and logics in influencing decision-making processes, supporting a community's resilience during a disaster, and fostering robust relationships among community partners. Conclusions: Addressing these attributes and logics in planning and management of HCCs can help establish the foundation for partner collaborations and high-functioning HCCs.","author":[{"dropping-particle":"","family":"Koch","given":"Angelica E.","non-dropping-particle":"","parse-names":false,"suffix":""},{"dropping-particle":"","family":"Bohn","given":"Joseph","non-dropping-particle":"","parse-names":false,"suffix":""},{"dropping-particle":"","family":"Corvin","given":"Jaime A.","non-dropping-particle":"","parse-names":false,"suffix":""},{"dropping-particle":"","family":"Seaberg","given":"Judy","non-dropping-particle":"","parse-names":false,"suffix":""}],"container-title":"Disaster Medicine and Public Health Preparedness","id":"ITEM-1","issued":{"date-parts":[["2023"]]},"page":"1-9","title":"Maturing Into High-Functioning Health-Care Coalitions: A Qualitative Nationwide Study of Emergency Preparedness and Response Leadership","type":"article-journal","volume":"17"},"uris":["http://www.mendeley.com/documents/?uuid=c2e589ee-ab47-4549-a347-2173120895df"]},{"id":"ITEM-2","itemData":{"DOI":"10.1177/0170840615604503","ISSN":"17413044","abstract":"Our study examines how interdependent actors in a professionalized context interpret the co-occurrence of a professional logic and a policy-driven logic. The empirical setting comprises two hospitals in the English National Health Service. Two issues stand out. First, our study shows that any logic is variegated and ambiguous, so policymakers and organizational managers cannot assume that they are easily blended. Second, it shows how nurse consultants exhibit agency in blending these two logics in pursuit of positional gain in professional and managerial organization. They can do so because of their ambiguous status level: in comparison to doctors, their status as nurses is low; within the nursing profession their status is high. Theoretically, by focusing upon interpretation of multiple institutional logics at the micro level, our study renders visible the agency of interpreting actors, interdependency of actors, their interpretation of institutional logics, situational context, and the effect of, and upon, social position of actors.","author":[{"dropping-particle":"","family":"Currie","given":"Graeme","non-dropping-particle":"","parse-names":false,"suffix":""},{"dropping-particle":"","family":"Spyridonidis","given":"Dimitrios","non-dropping-particle":"","parse-names":false,"suffix":""}],"container-title":"Organization Studies","id":"ITEM-2","issue":"1","issued":{"date-parts":[["2016"]]},"page":"77-97","title":"Interpretation of Multiple Institutional Logics on the Ground: Actors’ Position, their Agency and Situational Constraints in Professionalized Contexts","type":"article-journal","volume":"37"},"uris":["http://www.mendeley.com/documents/?uuid=be657142-d26b-4dc5-bf61-aff1e8d069fa"]},{"id":"ITEM-3","itemData":{"DOI":"10.1111/faam.12372","ISSN":"14680408","abstract":"Performance management in the public sector is both multifaceted and convoluted. This is particularly pertinent in hospitals, which are complex institutional organizations. Our paper explores the key drivers compelling Irish public acute-care hospitals to monitor their performance. The context of our study is located against the unique historical backdrop of the Irish health service, whose evolution over time reflects religious control, underfunding by the State and reliance on a decentralized structure up until the early 2000s. This study was conducted during 2009–2010, in the aftermath of the financial crisis of 2008–2009. Interviews were conducted with members of the hospital executive management team, comprising clinical and nonclinical senior managers, using the framework of Kelly et al. (2015) to explore and analyze respondent perspectives. We propose that a combination of key forces, emanating from new public management, the institutional environment, and its constituent elements spurs hospitals to monitor their performance. The confluence of these forces reveals a perceived change in the institutional logic underpinning hospital performance management. This change involved the substitution of autonomous clinical decision-making for a more team-based managerial logic whereby clinicians engaged as part of a multidisciplinary executive unit and accepted responsibility for hospital performance. This paper contributes to the literature on performance management in public services and, more specifically, builds on and addresses the paucity of research on Irish acute-care hospitals.","author":[{"dropping-particle":"","family":"Kelly","given":"Rosemarie","non-dropping-particle":"","parse-names":false,"suffix":""},{"dropping-particle":"","family":"O'Donohoe","given":"Sheila","non-dropping-particle":"","parse-names":false,"suffix":""},{"dropping-particle":"","family":"Doyle","given":"Gerardine","non-dropping-particle":"","parse-names":false,"suffix":""}],"container-title":"Financial Accountability and Management","id":"ITEM-3","issue":"3","issued":{"date-parts":[["2023"]]},"page":"616-635","title":"Key forces compelling the monitoring of hospital performance: An exploratory study","type":"article-journal","volume":"39"},"uris":["http://www.mendeley.com/documents/?uuid=d556bee7-b05d-424d-aa6f-2efc32db61d4"]}],"mendeley":{"formattedCitation":"(Kelly, O’Donohoe, &amp; Doyle, 2023; Koch et al., 2023; Currie &amp; Spyridonidis, 2016)","plainTextFormattedCitation":"(Kelly, O’Donohoe, &amp; Doyle, 2023; Koch et al., 2023; Currie &amp; Spyridonidis, 2016)","previouslyFormattedCitation":"(Kelly, O’Donohoe, &amp; Doyle, 2023; Koch et al., 2023; Currie &amp; Spyridonidis, 2016)"},"properties":{"noteIndex":0},"schema":"https://github.com/citation-style-language/schema/raw/master/csl-citation.json"}</w:instrText>
      </w:r>
      <w:r>
        <w:rPr>
          <w:rFonts w:cs="Calibri"/>
        </w:rPr>
        <w:fldChar w:fldCharType="separate"/>
      </w:r>
      <w:r>
        <w:rPr>
          <w:rFonts w:cs="Calibri"/>
          <w:noProof/>
        </w:rPr>
        <w:t>(Kelly, O’Donohoe, &amp; Doyle, 2023; Koch et al., 2023; Currie &amp; Spyridonidis, 2016)</w:t>
      </w:r>
      <w:r>
        <w:rPr>
          <w:rFonts w:cs="Calibri"/>
        </w:rPr>
        <w:fldChar w:fldCharType="end"/>
      </w:r>
      <w:r>
        <w:rPr>
          <w:rFonts w:cs="Calibri"/>
        </w:rPr>
        <w:t xml:space="preserve">, governmental and public sector organisations </w:t>
      </w:r>
      <w:r>
        <w:fldChar w:fldCharType="begin" w:fldLock="1"/>
      </w:r>
      <w:r w:rsidR="00974B75">
        <w:rPr>
          <w:rFonts w:cs="Calibri"/>
        </w:rPr>
        <w:instrText>ADDIN CSL_CITATION {"citationItems":[{"id":"ITEM-1","itemData":{"DOI":"10.1080/01559982.2022.2133339","ISSN":"14676303","abstract":"This paper explores the United Kingdom’s (UK) attempt to reconcile fiscal reporting logics through its Clear Line of Sight Alignment Project (CLOS). Drawing on archival data, together with semi-structured interviews with representatives involved in the implementation of CLOS, the findings indicate that what started as a means of resolving the tensions between logics, CLOS has exacerbated some existing ones and exposed others. This is largely due to the influence of the professional logic, primarily the UK’s adherence to International Financial Reporting Standards which prevents fiscal reporting being fully aligned. Furthermore, our research illustrates how the UK government has resisted elements of both the professional and national logics to create a system designed to rationalise the fiscal reporting maze. The findings also show that operationally CLOS has (to an extent) aligned the timing, coverage and classification of the fiscal reporting process to present the flow of expenditure from budgeted to approved, to outturn, thereby contributing to the wider agenda of improving the planning, management and control of public expenditure. Given continued calls to align global fiscal reporting practices, this paper informs public policy makers of the (potential) linkages between systems, the obstacles that can be encountered and the incentives for adopting it.","author":[{"dropping-particle":"","family":"Stewart","given":"Elaine","non-dropping-particle":"","parse-names":false,"suffix":""},{"dropping-particle":"","family":"Connolly","given":"Ciaran","non-dropping-particle":"","parse-names":false,"suffix":""}],"container-title":"Accounting Forum","id":"ITEM-1","issued":{"date-parts":[["2022"]]},"page":"1 - 25","title":"UK public sector fiscal reporting: clear and contradictory","type":"article-journal"},"uris":["http://www.mendeley.com/documents/?uuid=758876e3-36e8-471d-8d3d-3461df951b35"]},{"id":"ITEM-2","itemData":{"DOI":"10.1016/j.jaging.2021.100952","ISSN":"08904065","PMID":"34425987","abstract":"European local authorities increasingly use social media to present services and activities organized for citizens living in the particular area. Previous studies found that authority-managed social media visually depicted older adults as being active, sociable, happy, and physically capable, reflecting the normative “third age” representation. Yet few studies to date have examined how local authorities produce the photos of older adults for social media posting. Drawing on semi-structured interviews with communication officers in a Swedish municipality, the purpose of this study is to investigate the production process for social media photos of older adults within local authorities from an institutional logics perspective. The analysis illustrates that communication officers strive to create a good image of the municipality and its services, follow municipal policy and EU law on data protection, seek photos through particular sources, adjust to and develop photographic standards of good photos, and endeavor to promote social media engagement in the photos. These motives and work practices of communication officers contribute to the visual representations of older adults as engaging in municipal services, being socially active, and staying physically capable. The analysis also indicates that both social media and bureaucratic logics encourage officers to produce photos of older adults that highlight the bright side of later life. The findings contribute to previous studies on online representations of older adults generated by local authorities, by showing how the third age representation may come about in practice, and which logics may influence officers to generate such representation. Furthermore, the knowledge provided could be used as a basis for assessment and improvement on authorities' production for social media photos of older adults, which in turn contributes to more diverse and thoughtful representations of older adults and later life in authority-managed social media.","author":[{"dropping-particle":"","family":"Xu","given":"Wenqian","non-dropping-particle":"","parse-names":false,"suffix":""},{"dropping-particle":"","family":"Taghizadeh Larsson","given":"Annika","non-dropping-particle":"","parse-names":false,"suffix":""}],"container-title":"Journal of Aging Studies","id":"ITEM-2","issued":{"date-parts":[["2021"]]},"page":"1 - 11","title":"Communication officers in local authorities meeting social media: On the production of social media photos of older adults","type":"article-journal","volume":"58"},"uris":["http://www.mendeley.com/documents/?uuid=f57bd4e4-c651-431d-b4c2-8a0250ed77b5"]},{"id":"ITEM-3","itemData":{"DOI":"10.1080/10967494.2019.1588811","ISSN":"10967494","abstract":"While the claim that Public Service Motivation (PSM) has a positive effect on ethical judgment is well-established in the literature, this link is less clear for external sources of motivation. Little is known about how these two types of motivation can be influenced to boost ethical judgment. This article addresses these two shortcomings, studying the effects of PSM and external motivation on the judgment of unethical actions, and the process of assumption of institutional logics by individuals with more basic needs satisfaction. The empirical analysis applies full structural equation modeling, testing the hypotheses on a sample of 574 case managers working on a program that integrates health and social services in Catalonia (Spain). The results illustrate the distinct relation of PSM and external motivations with the judgment of unethical acts. They also indicate that the satisfaction of basic psychological needs indirectly reduces the acceptance of unethical acts. However, this indirect effect only happens through PSM. These findings have important implications for academic research and for the prevention of the development of mild judgments of unethical behavior in the workplace.","author":[{"dropping-particle":"","family":"Ripoll","given":"Guillem","non-dropping-particle":"","parse-names":false,"suffix":""},{"dropping-particle":"","family":"Ballart","given":"Xavier","non-dropping-particle":"","parse-names":false,"suffix":""}],"container-title":"International Public Management Journal","id":"ITEM-3","issue":"5","issued":{"date-parts":[["2020"]]},"page":"631-649","title":"Judging unethical behavior: the different effects of external and public service motivation","type":"article-journal","volume":"23"},"uris":["http://www.mendeley.com/documents/?uuid=359e9cd9-bdc9-4a15-bfe2-e57287d6e47b"]},{"id":"ITEM-4","itemData":{"DOI":"10.1016/j.bar.2020.100919","ISSN":"10958347","abstract":"This paper reports on a field study of how a range of inter-institutional and inter-organisational forces shape the evolving rhetoric and practice of multiple accountabilities in public services. Drawing on the institutional logics perspective, we carried out a qualitative field study in the Australian Commonwealth Public Service involving semi-structured interviews, two focus group discussions, and the examination of internal accounting, management reports, and government archival records. The findings suggest that emphasis on conventional instrumental mechanisms and reporting tools, such as budgeting and accrual-based reporting, support managerial (instrumental) accountability through compliance logics. We conclude that an emphasis on public (relational) accountability through public dialogue is central to the public sector accountability debate, and that more attention needs to be paid to the question of how to balance the dual logics (instrumental and relational) in public services. The findings provide practical insights for public sector managers, policymakers and governments responsible for designing and implementing reforms, accounting tools, and accountability practices.","author":[{"dropping-particle":"","family":"Rana","given":"Tarek","non-dropping-particle":"","parse-names":false,"suffix":""},{"dropping-particle":"","family":"Hoque","given":"Zahirul","non-dropping-particle":"","parse-names":false,"suffix":""}],"container-title":"British Accounting Review","id":"ITEM-4","issue":"4","issued":{"date-parts":[["2020"]]},"page":"1 - 14","title":"Institutionalising multiple accountability logics in public services: Insights from Australia","type":"article-journal","volume":"52"},"uris":["http://www.mendeley.com/documents/?uuid=c6f50d5e-e239-45f1-b4da-a8edaad8be8b"]},{"id":"ITEM-5","itemData":{"DOI":"10.1016/j.apgeog.2021.102578","ISSN":"01436228","abstract":"In this paper, we engage with the ‘good disaster governance’ imperative and we attempt to empirically capture the (socio-)institutional dimensions and dynamics producing, reproducing or responding to social-ecological change and disasters. Viewing the disaster situation as a project of collective endeavour, we propose a conceptual framing of institutions building on disaster and development studies, governance of social-ecological systems, adaptive institutions research, and sociological institutionalist scholarship. We apply our analytical framework to Christchurch (New Zealand), Groningen (The Netherlands) and the island of Rhodes (Greece) through a relational comparative approach that builds on previous analyses and in-depth interviews with stakeholders. The three case-studies face diverse types of disasters that we conceptually approach around moments of ‘abrupt change’. For Christchurch, the abrupt change refers to the earthquake of February 2011. For Groningen, it is a ‘big’ earthquake with a magnitude of 3.6 in 2012, and for Rhodes the intense water shortages or ‘water crisis’ in July 2017. The results reveal commonalities among the case studies around the crucial role institutions play in creating or exacerbating disasters; technical and structural challenges hindering institutions' adaptiveness; and institutional logics with lock-in effects leading to maladaptation. Our framing and discussion elucidate under-examined and under-theorized aspects of the ‘adaptive governance’ and ‘adaptive institutions’ concepts, and provides the basis for a socio-ecologically and socio-institutionally nuanced analytical approach to the pragmatics of disaster governance.","author":[{"dropping-particle":"","family":"Skrimizea","given":"Eirini","non-dropping-particle":"","parse-names":false,"suffix":""},{"dropping-particle":"","family":"Bakema","given":"Melanie","non-dropping-particle":"","parse-names":false,"suffix":""},{"dropping-particle":"","family":"McCann","given":"Philip","non-dropping-particle":"","parse-names":false,"suffix":""},{"dropping-particle":"","family":"Parra","given":"Constanza","non-dropping-particle":"","parse-names":false,"suffix":""}],"container-title":"Applied Geography","id":"ITEM-5","issued":{"date-parts":[["2021"]]},"page":"1-10","title":"Disaster governance and institutional dynamics in times of social-ecological change: Insights from New Zealand, the Netherlands and Greece","type":"article-journal","volume":"136"},"uris":["http://www.mendeley.com/documents/?uuid=e3a97332-6d98-441f-a452-0ecdf9079fac"]}],"mendeley":{"formattedCitation":"(Stewart &amp; Connolly, 2022; Skrimizea et al., 2021; Xu &amp; Taghizadeh Larsson, 2021; Rana &amp; Hoque, 2020; Ripoll &amp; Ballart, 2020)","plainTextFormattedCitation":"(Stewart &amp; Connolly, 2022; Skrimizea et al., 2021; Xu &amp; Taghizadeh Larsson, 2021; Rana &amp; Hoque, 2020; Ripoll &amp; Ballart, 2020)","previouslyFormattedCitation":"(Stewart &amp; Connolly, 2022; Skrimizea et al., 2021; Xu &amp; Taghizadeh Larsson, 2021; Rana &amp; Hoque, 2020; Ripoll &amp; Ballart, 2020)"},"properties":{"noteIndex":0},"schema":"https://github.com/citation-style-language/schema/raw/master/csl-citation.json"}</w:instrText>
      </w:r>
      <w:r>
        <w:rPr>
          <w:rFonts w:cs="Calibri"/>
        </w:rPr>
        <w:fldChar w:fldCharType="separate"/>
      </w:r>
      <w:r>
        <w:rPr>
          <w:rFonts w:cs="Calibri"/>
          <w:noProof/>
        </w:rPr>
        <w:t>(Stewart &amp; Connolly, 2022; Skrimizea et al., 2021; Xu &amp; Taghizadeh Larsson, 2021; Rana &amp; Hoque, 2020; Ripoll &amp; Ballart, 2020)</w:t>
      </w:r>
      <w:r>
        <w:rPr>
          <w:rFonts w:cs="Calibri"/>
        </w:rPr>
        <w:fldChar w:fldCharType="end"/>
      </w:r>
      <w:r>
        <w:rPr>
          <w:rFonts w:cs="Calibri"/>
        </w:rPr>
        <w:t xml:space="preserve">, higher education organisations </w:t>
      </w:r>
      <w:r>
        <w:fldChar w:fldCharType="begin" w:fldLock="1"/>
      </w:r>
      <w:r>
        <w:rPr>
          <w:rFonts w:cs="Calibri"/>
        </w:rPr>
        <w:instrText>ADDIN CSL_CITATION {"citationItems":[{"id":"ITEM-1","itemData":{"DOI":"10.1080/03075079.2021.1946032","ISSN":"1470174X","abstract":"While institutional logics theory has increasingly been applied in higher education research, especially in the past five years, agreement is lacking on how to approach institutional logics analysis. This results in proliferating institutional logics in higher education studies and often confuses newcomers to the field as to how to use institutional logics in their empirical research. As a response to this situation, our study outlines the state-of-the-art application of institutional logics in higher education studies through scrutinising 59 articles that apply institutional logics in organisation studies in the field of higher education. Specifically, we ask the following research questions: What approaches to institutional logics analysis are used in higher education studies? What institutional logics are identified/applied in higher education studies? What challenges are evident in applying institutional logics in higher education studies? How does the use of institutional logics in higher education research contribute to institutional logics theory? The most profound outcomes of our literature analysis are: First, we construct a novel typology of approaches to institutional logics analysis that is positioned on two-dimensions: the reasoning applied (deductive vs. inductive), and the level at which the logic is examined (societal vs. field/local); Second, we create an exhaustive list of institutional logics (over 50) applied and identified in these studies; Third, we discover major challenges in using institutional logics in higher education research. Finally, we clearly define societal-level and field-level logics and suggest a rationalisation of institutional logics approaches in order to fully utilise the explanatory power of institutional logics.","author":[{"dropping-particle":"","family":"Cai","given":"Yuzhuo","non-dropping-particle":"","parse-names":false,"suffix":""},{"dropping-particle":"","family":"Mountford","given":"Nicola","non-dropping-particle":"","parse-names":false,"suffix":""}],"container-title":"Studies in Higher Education","id":"ITEM-1","issue":"8","issued":{"date-parts":[["2022"]]},"page":"1627-1651","title":"Institutional logics analysis in higher education research","type":"article-journal","volume":"47"},"uris":["http://www.mendeley.com/documents/?uuid=b02524ae-b3f4-409c-8ba0-8ba3e0859742"]}],"mendeley":{"formattedCitation":"(Cai &amp; Mountford, 2022)","plainTextFormattedCitation":"(Cai &amp; Mountford, 2022)","previouslyFormattedCitation":"(Cai &amp; Mountford, 2022)"},"properties":{"noteIndex":0},"schema":"https://github.com/citation-style-language/schema/raw/master/csl-citation.json"}</w:instrText>
      </w:r>
      <w:r>
        <w:rPr>
          <w:rFonts w:cs="Calibri"/>
        </w:rPr>
        <w:fldChar w:fldCharType="separate"/>
      </w:r>
      <w:r>
        <w:rPr>
          <w:rFonts w:cs="Calibri"/>
          <w:noProof/>
        </w:rPr>
        <w:t>(Cai &amp; Mountford, 2022)</w:t>
      </w:r>
      <w:r>
        <w:rPr>
          <w:rFonts w:cs="Calibri"/>
        </w:rPr>
        <w:fldChar w:fldCharType="end"/>
      </w:r>
      <w:r>
        <w:rPr>
          <w:rFonts w:cs="Calibri"/>
        </w:rPr>
        <w:t xml:space="preserve">, businesses, social enterprises, and private organisations </w:t>
      </w:r>
      <w:r>
        <w:fldChar w:fldCharType="begin" w:fldLock="1"/>
      </w:r>
      <w:r w:rsidR="00974B75">
        <w:rPr>
          <w:rFonts w:cs="Calibri"/>
        </w:rPr>
        <w:instrText>ADDIN CSL_CITATION {"citationItems":[{"id":"ITEM-1","itemData":{"DOI":"10.1016/j.aos.2022.101336","ISSN":"03613682","abstract":"This paper is located within the research problematic of multiple logics with reference to professional service firms (PSFs), and in particular audit firms. Within this multi-logic (“hybrid”) and complex organization, we are specifically concerned with the impacts of new institutional logics that reflect social and political movements - in this case diversity legislation - and how these new logics are absorbed and managed within the organizations’ structures and practices. Based upon a study of large and medium sized audit firms in the UK, we consider the organizational responses to the demands for improved diversity among firm members, especially the senior elite, in the context of the passing of the Equality Act, 2010, and subsequent legislation which both consolidated and extended UK laws on discrimination. Our study indicates how such organizational sites have value for demonstrating how the conflict between logics shifts its terms of reference. While most of the conflict between logics of commercialism and professionalism has been successfully managed through mechanisms of hybridization, we bring to the fore how the struggles between ideas about merit and diversity in professional evaluation processes and practices are more intractable. Our work contributes to an understanding of both the dependencies (blending) and co-existences (separation) that can exist between diversity, commercial and professional logics of practice in multi-logic organizations. We further highlight the role of identity scripts that shape how individuals situationally demarcate their identities as they struggle with the demands for diversity that challenge dominant logics.","author":[{"dropping-particle":"","family":"Anderson-Gough","given":"Fiona","non-dropping-particle":"","parse-names":false,"suffix":""},{"dropping-particle":"","family":"Edgley","given":"Carla","non-dropping-particle":"","parse-names":false,"suffix":""},{"dropping-particle":"","family":"Robson","given":"Keith","non-dropping-particle":"","parse-names":false,"suffix":""},{"dropping-particle":"","family":"Sharma","given":"Nina","non-dropping-particle":"","parse-names":false,"suffix":""}],"container-title":"Accounting, Organizations and Society","id":"ITEM-1","issued":{"date-parts":[["2022"]]},"page":"1-21","publisher":"The Authors","title":"Organizational responses to multiple logics: Diversity, identity and the professional service firm","type":"article-journal","volume":"103"},"uris":["http://www.mendeley.com/documents/?uuid=fa3c624d-bc21-4550-9481-bd7c9bf1f730"]},{"id":"ITEM-2","itemData":{"DOI":"http://dx.doi.org/10.1108/09564230910978511","ISBN":"0263557001030","ISSN":"0264-0473","PMID":"42012058","abstract":"Purpose – The institutional work literature has paid little attention to cognition and interests in the creation, maintenance, and disruption of institutions. The purpose of this paper is to explore the construct of interests as it relates to institutional work projects. The authors frame interests as recognitions situated within broader institutional meaning systems, with a specific focus on interest plurality. Design/methodology/approach – The authors conducted an 18-month ethnography exploring institutional work projects within a rural chamber of commerce. The authors aimed to understand how projects contributed to community survival on a micro-level and institutional change on a macro-level. Rural chambers of commerce represent a unique example of emergent public-private partnerships, challenging traditional commercial logics of chambers of commerce. The research design included qualitative data collection, coding, and analysis of field notes, interviews, and archival sources. Findings – Purposive action was grounded in the community inhabited by the rural chamber of commerce and not the institution itself. Recognized interests enabled nontraditional workers – public employees with newly founded and legitimate roles within the chamber – to pursue community- focussed projects. Change across the institution of chambers of commerce occurred because of the separated and aggregate projects spanning across rural communities. Originality/value – Recognized interests are a social, plural, and malleable phenomenon supporting situated agency and the co-creation activities embodied in institutional work projects. The authors contribute to the institutional work literature by introducing the idea of interest plurality and illustrating how the work of rural chambers of commerce captures contemporary forms of community organizing. Keywords Institutional work, Ethnography, Interests, Organizational change, Chamber of commerce, Plurality Paper type Research paper","author":[{"dropping-particle":"","family":"Crawford","given":"Brett","non-dropping-particle":"","parse-names":false,"suffix":""},{"dropping-particle":"","family":"Branch","given":"John","non-dropping-particle":"","parse-names":false,"suffix":""}],"container-title":"Journal of Organizational Ethnography","id":"ITEM-2","issue":"1","issued":{"date-parts":[["2015"]]},"page":"98 - 116","title":"Interest plurality and institutional work: An ethnography of rural community organizing","type":"article-journal","volume":"4"},"uris":["http://www.mendeley.com/documents/?uuid=85adcd74-d347-48ed-907b-5c36d6c9670a"]},{"id":"ITEM-3","itemData":{"author":[{"dropping-particle":"","family":"Pache","given":"Anne-Claire","non-dropping-particle":"","parse-names":false,"suffix":""},{"dropping-particle":"","family":"Santos","given":"Felipe","non-dropping-particle":"","parse-names":false,"suffix":""}],"container-title":"The Academy of Managemet Journal","id":"ITEM-3","issue":"4","issued":{"date-parts":[["2013"]]},"page":"972-1001","title":"Inside The Hybrid Organization : Selective Coupling As A Response To Competing Institutional Logics","type":"article-journal","volume":"56"},"uris":["http://www.mendeley.com/documents/?uuid=2e9a152c-c143-4778-b0d2-0a92e4d375f0"]},{"id":"ITEM-4","itemData":{"DOI":"10.1080/1461670X.2015.1052537","ISSN":"14699699","abstract":"This study analyzes the emergence, development, and stasis of the news fact-checking website through the institutional perspectives of population ecology and institutional logics. The population ecology approach suggests that like other new media forms, fact-checking sites will mimic one another in pursuit of legitimacy, and this will encourage formation of media “populations,” and tendencies to buffer the external environment and stabilize. Over time, these sites will respond more to other sites within the population itself than to changes in the immediate environment. However, the institutional logics approach accommodates conflict and agency, suggesting that entities pursue complex strategies to retain legitimacy when faced with conflicts within the wider institutional environment. The fact-checking site is a product of such a strategy, as it straddles both traditional journalism and digital network logics. Findings show evidence of a budding fact-checking site population, increasing legitimacy, and increased isomorphism. Yet findings also reveal fragmentation and diversity in recent years, suggesting that institutionalization processes are complex and uneven. Findings suggest a need to understand that media entities are shaped by both their exogenous environment and their endogenous “population,” a collective of similar entities. Future research should explore the conditions that lead to one or the other being more consequential.","author":[{"dropping-particle":"","family":"Lowrey","given":"Wilson","non-dropping-particle":"","parse-names":false,"suffix":""}],"container-title":"Journalism Studies","id":"ITEM-4","issue":"3","issued":{"date-parts":[["2017"]]},"page":"376-394","title":"The Emergence and Development of News Fact-checking Sites: Institutional logics and population ecology","type":"article-journal","volume":"18"},"uris":["http://www.mendeley.com/documents/?uuid=e8fb5c0e-d852-402f-8b44-c91e49684340"]}],"mendeley":{"formattedCitation":"(Anderson-Gough et al., 2022; Lowrey, 2017; Crawford &amp; Branch, 2015; Pache &amp; Santos, 2013)","plainTextFormattedCitation":"(Anderson-Gough et al., 2022; Lowrey, 2017; Crawford &amp; Branch, 2015; Pache &amp; Santos, 2013)","previouslyFormattedCitation":"(Anderson-Gough et al., 2022; Lowrey, 2017; Crawford &amp; Branch, 2015; Pache &amp; Santos, 2013)"},"properties":{"noteIndex":0},"schema":"https://github.com/citation-style-language/schema/raw/master/csl-citation.json"}</w:instrText>
      </w:r>
      <w:r>
        <w:rPr>
          <w:rFonts w:cs="Calibri"/>
        </w:rPr>
        <w:fldChar w:fldCharType="separate"/>
      </w:r>
      <w:r>
        <w:rPr>
          <w:rFonts w:cs="Calibri"/>
          <w:noProof/>
        </w:rPr>
        <w:t>(Anderson-Gough et al., 2022; Lowrey, 2017; Crawford &amp; Branch, 2015; Pache &amp; Santos, 2013)</w:t>
      </w:r>
      <w:r>
        <w:rPr>
          <w:rFonts w:cs="Calibri"/>
        </w:rPr>
        <w:fldChar w:fldCharType="end"/>
      </w:r>
      <w:r>
        <w:rPr>
          <w:rFonts w:cs="Calibri"/>
        </w:rPr>
        <w:t xml:space="preserve">, to more community based foci such as community logics during toxic waste outputs </w:t>
      </w:r>
      <w:r>
        <w:fldChar w:fldCharType="begin" w:fldLock="1"/>
      </w:r>
      <w:r>
        <w:rPr>
          <w:rFonts w:cs="Calibri"/>
        </w:rPr>
        <w:instrText>ADDIN CSL_CITATION {"citationItems":[{"id":"ITEM-1","itemData":{"DOI":"10.1287/orsc.2014.0959","ISSN":"15265455","abstract":"Although many recent studies have emphasized the multiplicity of institutional logics and the competition among them, how some institutional logics become prioritized over others in shaping organizational decisions is undertheorized. Drawing on panel data of 118 industrial facilities across 34 communities in Texas and Louisiana, we show that the saliency of different kinds of community logics significantly affects environmental practices—specifically, toxic waste emissions—of facilities in a community. Our results show that community logics not only have direct effects but also have indirect effects by filtering organizational reactions to broader field-level institutional logics. We theorize how community logics can amplify or dampen the influence of broader field-level logics and discuss the implications for the study of institutional complexity, social movements, and values in the configuration of institutional logics.","author":[{"dropping-particle":"","family":"Lee","given":"Min Dong Paul","non-dropping-particle":"","parse-names":false,"suffix":""},{"dropping-particle":"","family":"Lounsbury","given":"Michael","non-dropping-particle":"","parse-names":false,"suffix":""}],"container-title":"Organization Science","id":"ITEM-1","issue":"3","issued":{"date-parts":[["2015"]]},"page":"847-866","title":"Filtering institutional logics: Community logic variation and differential responses to the institutional complexity of toxic waste","type":"article-journal","volume":"26"},"uris":["http://www.mendeley.com/documents/?uuid=6fffd1e7-139b-41ab-8559-e3c3555001c2"]}],"mendeley":{"formattedCitation":"(Lee &amp; Lounsbury, 2015)","manualFormatting":"(Lee &amp; Lounsbury, 2015)","plainTextFormattedCitation":"(Lee &amp; Lounsbury, 2015)","previouslyFormattedCitation":"(Lee &amp; Lounsbury, 2015)"},"properties":{"noteIndex":0},"schema":"https://github.com/citation-style-language/schema/raw/master/csl-citation.json"}</w:instrText>
      </w:r>
      <w:r>
        <w:rPr>
          <w:rFonts w:cs="Calibri"/>
        </w:rPr>
        <w:fldChar w:fldCharType="separate"/>
      </w:r>
      <w:r>
        <w:rPr>
          <w:rFonts w:cs="Calibri"/>
          <w:noProof/>
        </w:rPr>
        <w:t>(Lee &amp; Lounsbury, 2015)</w:t>
      </w:r>
      <w:r>
        <w:rPr>
          <w:rFonts w:cs="Calibri"/>
        </w:rPr>
        <w:fldChar w:fldCharType="end"/>
      </w:r>
      <w:r>
        <w:rPr>
          <w:rFonts w:cs="Calibri"/>
        </w:rPr>
        <w:t xml:space="preserve">. Thus far, the literature has not examined the role of institutions on the communication of FRSs in the UK, which is a </w:t>
      </w:r>
      <w:r w:rsidR="00835F7C">
        <w:rPr>
          <w:rFonts w:cs="Calibri"/>
        </w:rPr>
        <w:t xml:space="preserve">gap in the literature, and therefore a </w:t>
      </w:r>
      <w:r>
        <w:rPr>
          <w:rFonts w:cs="Calibri"/>
        </w:rPr>
        <w:t xml:space="preserve">contribution that this thesis has made to the institutional theory literature and is the focus of research question two. </w:t>
      </w:r>
    </w:p>
    <w:p w14:paraId="3D73843D" w14:textId="77777777" w:rsidR="00065235" w:rsidRDefault="00065235" w:rsidP="00866155">
      <w:pPr>
        <w:contextualSpacing/>
        <w:rPr>
          <w:rFonts w:cs="Calibri"/>
        </w:rPr>
      </w:pPr>
    </w:p>
    <w:p w14:paraId="13A4EB55" w14:textId="77777777" w:rsidR="009A2943" w:rsidRDefault="00D93F57" w:rsidP="009A2943">
      <w:pPr>
        <w:contextualSpacing/>
        <w:rPr>
          <w:rFonts w:cs="Calibri"/>
        </w:rPr>
      </w:pPr>
      <w:r>
        <w:rPr>
          <w:rFonts w:cs="Calibri"/>
        </w:rPr>
        <w:t>While institutional logics do enable a greater sense of the individuals experience within the institution, there are critiques of this approach. Using logics places the focus on the individual experience and their role within the institution</w:t>
      </w:r>
      <w:r w:rsidR="00A11811">
        <w:rPr>
          <w:rFonts w:cs="Calibri"/>
        </w:rPr>
        <w:t xml:space="preserve">, which analyses </w:t>
      </w:r>
      <w:r w:rsidR="00065235">
        <w:rPr>
          <w:rFonts w:cs="Calibri"/>
        </w:rPr>
        <w:t>agentic power rather than focusing on wider hegemonic powers. This critique is closely linked to the growing body of literature on decolonial theories and the importance of understanding historic and systemic power structures</w:t>
      </w:r>
      <w:r>
        <w:rPr>
          <w:rFonts w:cs="Calibri"/>
        </w:rPr>
        <w:t xml:space="preserve">, namely that individual are often constrained by the historical hegemonic powers </w:t>
      </w:r>
      <w:r w:rsidR="00065235">
        <w:rPr>
          <w:rFonts w:cs="Calibri"/>
        </w:rPr>
        <w:fldChar w:fldCharType="begin" w:fldLock="1"/>
      </w:r>
      <w:r w:rsidR="009A2943">
        <w:rPr>
          <w:rFonts w:cs="Calibri"/>
        </w:rPr>
        <w:instrText>ADDIN CSL_CITATION {"citationItems":[{"id":"ITEM-1","itemData":{"DOI":"10.1177/2631787719887975","ISSN":"26317877","abstract":"Institutional theory’s claim to be critical rings hollow. Not only does the theory lack an emancipatory agenda but most institutional studies privilege agentic power over hegemonic. Even when engaging with ‘grand challenges’ institutional theorists are inclined to overlook larger structures of domination in favour of focusing on smaller, more manageable issues. As a result, institutional theorists run the risk of becoming complicit in the reification and legitimation of structures of domination. A process of self-critique must be initiated in order to recognize the role institutional theory is playing in this process.","author":[{"dropping-particle":"","family":"Munir","given":"Kamal A.","non-dropping-particle":"","parse-names":false,"suffix":""}],"container-title":"Organization Theory","id":"ITEM-1","issue":"1","issued":{"date-parts":[["2019"]]},"page":"1-10","title":"Challenging Institutional Theory’s Critical Credentials","type":"article-journal","volume":"1"},"uris":["http://www.mendeley.com/documents/?uuid=e761a5a2-f15a-470b-9617-5a1a0637fe86"]},{"id":"ITEM-2","itemData":{"DOI":"10.1080/09581596.2018.1541228","ISSN":"14693682","author":[{"dropping-particle":"","family":"Ninomiya","given":"Melody E. Morton","non-dropping-particle":"","parse-names":false,"suffix":""},{"dropping-particle":"","family":"Hurley","given":"Natasha","non-dropping-particle":"","parse-names":false,"suffix":""},{"dropping-particle":"","family":"Penashue","given":"Jack","non-dropping-particle":"","parse-names":false,"suffix":""}],"container-title":"Critical Public Health","id":"ITEM-2","issue":"2","issued":{"date-parts":[["2018"]]},"page":"1- 12","title":"A decolonizing method of inquiry: using institutional ethnography to facilitate community-based research and knowledge translation","type":"article-journal","volume":"30"},"uris":["http://www.mendeley.com/documents/?uuid=4e9de7f6-4653-4f61-8a7b-6262d5be6284"]},{"id":"ITEM-3","itemData":{"DOI":"10.1111/j.1440-1800.2007.00361.x","ISBN":"1440-1800","ISSN":"13207881","PMID":"17518828","abstract":"Decolonising research: a shift toward reconciliation Although awareness of cultural differences that distinguish Indigenous peoples has increased worldwide following attention from international human rights bodies, Indigenous cultural values have had little influence in shaping research agendas or methods of inquiry. Self-determination and reconciliation policies have been part of the decolonisation agenda of governments for several decades; however, these have not, until recently, been considered of relevance to research. Indigenous peoples feel that they are the most studied population in Australia, to the point where even the word research arouses feelings of suspicion and defensive attitudes. Indigenous people are generally cynical about the benefits of research and cautious toward what many perceive to be the colonial mentality or 'positional superiority' ingrained in the psyche of western researchers. This article examines the characteristics and colonising effects of traditional research methods and describes an alternative, decolonising approach. Decolonising research methodology is congruent with Indigenous epistemology and is guided by the values and research agenda of Indigenous people. The Guidelines for ethical conduct in Aboriginal and Torres Strait islander health research, developed by the National Aboriginal and Islander Health Organisation (NAIHO) with the National Health &amp; Medical Research Council (NHMRC) in 2003 are examined, as they exemplify a decolonising paradigm for researchers.","author":[{"dropping-particle":"","family":"Prior","given":"Deborah","non-dropping-particle":"","parse-names":false,"suffix":""}],"container-title":"Nursing Inquiry","id":"ITEM-3","issue":"2","issued":{"date-parts":[["2007"]]},"page":"162-168","title":"Decolonising research: A shift toward reconciliation","type":"article-journal","volume":"14"},"uris":["http://www.mendeley.com/documents/?uuid=f4e9843a-e558-4a23-a609-d171175c24b6"]}],"mendeley":{"formattedCitation":"(Munir, 2019; Ninomiya, Hurley, &amp; Penashue, 2018; Prior, 2007)","plainTextFormattedCitation":"(Munir, 2019; Ninomiya, Hurley, &amp; Penashue, 2018; Prior, 2007)","previouslyFormattedCitation":"(Munir, 2019; Ninomiya, Hurley, &amp; Penashue, 2018; Prior, 2007)"},"properties":{"noteIndex":0},"schema":"https://github.com/citation-style-language/schema/raw/master/csl-citation.json"}</w:instrText>
      </w:r>
      <w:r w:rsidR="00065235">
        <w:rPr>
          <w:rFonts w:cs="Calibri"/>
        </w:rPr>
        <w:fldChar w:fldCharType="separate"/>
      </w:r>
      <w:r w:rsidRPr="00D93F57">
        <w:rPr>
          <w:rFonts w:cs="Calibri"/>
          <w:noProof/>
        </w:rPr>
        <w:t>(Munir, 2019; Ninomiya, Hurley, &amp; Penashue, 2018; Prior, 2007)</w:t>
      </w:r>
      <w:r w:rsidR="00065235">
        <w:rPr>
          <w:rFonts w:cs="Calibri"/>
        </w:rPr>
        <w:fldChar w:fldCharType="end"/>
      </w:r>
      <w:r>
        <w:rPr>
          <w:rFonts w:cs="Calibri"/>
        </w:rPr>
        <w:t xml:space="preserve">. This places a need on researchers to not only focus on the individual’s </w:t>
      </w:r>
      <w:r w:rsidR="00A060C7">
        <w:rPr>
          <w:rFonts w:cs="Calibri"/>
        </w:rPr>
        <w:t>actions</w:t>
      </w:r>
      <w:r w:rsidR="00A11811">
        <w:rPr>
          <w:rFonts w:cs="Calibri"/>
        </w:rPr>
        <w:t xml:space="preserve"> and </w:t>
      </w:r>
      <w:r>
        <w:rPr>
          <w:rFonts w:cs="Calibri"/>
        </w:rPr>
        <w:t>experiences within the institution, but also to be mindful of the wider socio-political landscape that the institution is set within</w:t>
      </w:r>
      <w:r w:rsidR="00A11811" w:rsidRPr="00A11811">
        <w:rPr>
          <w:rFonts w:cs="Calibri"/>
        </w:rPr>
        <w:t xml:space="preserve"> </w:t>
      </w:r>
      <w:r w:rsidR="00A11811" w:rsidRPr="00A11811">
        <w:rPr>
          <w:rFonts w:cs="Calibri"/>
        </w:rPr>
        <w:fldChar w:fldCharType="begin" w:fldLock="1"/>
      </w:r>
      <w:r w:rsidR="002701CA">
        <w:rPr>
          <w:rFonts w:cs="Calibri"/>
        </w:rPr>
        <w:instrText>ADDIN CSL_CITATION {"citationItems":[{"id":"ITEM-1","itemData":{"DOI":"10.1177/2631787719887975","ISSN":"26317877","abstract":"Institutional theory’s claim to be critical rings hollow. Not only does the theory lack an emancipatory agenda but most institutional studies privilege agentic power over hegemonic. Even when engaging with ‘grand challenges’ institutional theorists are inclined to overlook larger structures of domination in favour of focusing on smaller, more manageable issues. As a result, institutional theorists run the risk of becoming complicit in the reification and legitimation of structures of domination. A process of self-critique must be initiated in order to recognize the role institutional theory is playing in this process.","author":[{"dropping-particle":"","family":"Munir","given":"Kamal A.","non-dropping-particle":"","parse-names":false,"suffix":""}],"container-title":"Organization Theory","id":"ITEM-1","issue":"1","issued":{"date-parts":[["2019"]]},"page":"1-10","title":"Challenging Institutional Theory’s Critical Credentials","type":"article-journal","volume":"1"},"uris":["http://www.mendeley.com/documents/?uuid=e761a5a2-f15a-470b-9617-5a1a0637fe86"]},{"id":"ITEM-2","itemData":{"DOI":"10.1177/0170840618772610","ISSN":"17413044","abstract":"We trace the development of neo-institutional theory in Organization Studies from a marginal topic to the dominant theory. We show how it has evolved from infancy, through adolescence and early adulthood to being a fully mature theory, which we think is now facing a mid-life crisis. Some of the features of this mid-life crisis include over-reach, myopia, tautology, pseudo-progress and re-inventing the wheel. To address these problems, we argue that institutional theorists should limit the range of the concept, sharpen their lens, avoid tautologies and problematize the concept. By doing this, we think institutional theorists could develop a narrower and more focused conception of institutions.","author":[{"dropping-particle":"","family":"Alvesson","given":"Mats","non-dropping-particle":"","parse-names":false,"suffix":""},{"dropping-particle":"","family":"Spicer","given":"André","non-dropping-particle":"","parse-names":false,"suffix":""}],"container-title":"Organization Studies","id":"ITEM-2","issue":"2","issued":{"date-parts":[["2018"]]},"page":"199-218","title":"Neo-Institutional Theory and Organization Studies: A Mid-Life Crisis?","type":"article-journal","volume":"40"},"uris":["http://www.mendeley.com/documents/?uuid=ad005068-a41e-40b8-971b-83958fe620ab"]},{"id":"ITEM-3","itemData":{"DOI":"10.1177/2631787720960487","ISSN":"26317877","abstract":"The institutional logics perspective has the explanatory power and potential to further contribute to our understanding of some of the most pressing societal concerns of our time. In this article, we develop the logics perspective along four analytical dimensions – macro-level positioning, contextuality, temporality and value plurality – which, we argue, can be leveraged to research and address grand challenges. We elaborate the currency of these dimensions in the context of the grand challenge of climate change. In doing so, we demonstrate the overall value of a logics perspective for engaging grand challenges.","author":[{"dropping-particle":"","family":"Gümüsay","given":"Ali Aslan","non-dropping-particle":"","parse-names":false,"suffix":""},{"dropping-particle":"","family":"Claus","given":"Laura","non-dropping-particle":"","parse-names":false,"suffix":""},{"dropping-particle":"","family":"Amis","given":"John","non-dropping-particle":"","parse-names":false,"suffix":""}],"container-title":"Organization Theory","id":"ITEM-3","issue":"3","issued":{"date-parts":[["2020"]]},"page":"1 - 20","title":"Engaging with Grand Challenges: An Institutional Logics Perspective","type":"article-journal","volume":"1"},"uris":["http://www.mendeley.com/documents/?uuid=dacf5638-66f7-4439-89e3-4c36bebc3e96"]}],"mendeley":{"formattedCitation":"(Gümüsay, Claus, &amp; Amis, 2020; Munir, 2019; Alvesson &amp; Spicer, 2018)","plainTextFormattedCitation":"(Gümüsay, Claus, &amp; Amis, 2020; Munir, 2019; Alvesson &amp; Spicer, 2018)","previouslyFormattedCitation":"(Gümüsay, Claus, &amp; Amis, 2020; Munir, 2019; Alvesson &amp; Spicer, 2018)"},"properties":{"noteIndex":0},"schema":"https://github.com/citation-style-language/schema/raw/master/csl-citation.json"}</w:instrText>
      </w:r>
      <w:r w:rsidR="00A11811" w:rsidRPr="00A11811">
        <w:rPr>
          <w:rFonts w:cs="Calibri"/>
        </w:rPr>
        <w:fldChar w:fldCharType="separate"/>
      </w:r>
      <w:r w:rsidR="009A2943" w:rsidRPr="009A2943">
        <w:rPr>
          <w:rFonts w:cs="Calibri"/>
          <w:noProof/>
        </w:rPr>
        <w:t>(Gümüsay, Claus, &amp; Amis, 2020; Munir, 2019; Alvesson &amp; Spicer, 2018)</w:t>
      </w:r>
      <w:r w:rsidR="00A11811" w:rsidRPr="00A11811">
        <w:rPr>
          <w:rFonts w:cs="Calibri"/>
        </w:rPr>
        <w:fldChar w:fldCharType="end"/>
      </w:r>
      <w:r w:rsidR="00A11811" w:rsidRPr="00A11811">
        <w:rPr>
          <w:rFonts w:cs="Calibri"/>
        </w:rPr>
        <w:t>.</w:t>
      </w:r>
      <w:r w:rsidR="00A060C7">
        <w:rPr>
          <w:rFonts w:cs="Calibri"/>
        </w:rPr>
        <w:t xml:space="preserve"> </w:t>
      </w:r>
    </w:p>
    <w:p w14:paraId="38E4E72F" w14:textId="77777777" w:rsidR="009A2943" w:rsidRDefault="009A2943" w:rsidP="009A2943">
      <w:pPr>
        <w:contextualSpacing/>
        <w:rPr>
          <w:rFonts w:cs="Calibri"/>
        </w:rPr>
      </w:pPr>
    </w:p>
    <w:p w14:paraId="797100DB" w14:textId="0F9A04C1" w:rsidR="00D15738" w:rsidRDefault="00A060C7" w:rsidP="00866155">
      <w:pPr>
        <w:contextualSpacing/>
        <w:rPr>
          <w:rFonts w:cs="Calibri"/>
        </w:rPr>
      </w:pPr>
      <w:r>
        <w:rPr>
          <w:rFonts w:cs="Calibri"/>
        </w:rPr>
        <w:t xml:space="preserve">This approach is important when using institutional logics to examine </w:t>
      </w:r>
      <w:r>
        <w:rPr>
          <w:rFonts w:cs="Calibri"/>
          <w:i/>
          <w:iCs/>
        </w:rPr>
        <w:t>grand challenges</w:t>
      </w:r>
      <w:r>
        <w:rPr>
          <w:rFonts w:cs="Calibri"/>
        </w:rPr>
        <w:t xml:space="preserve">, as discussed in Chapter 1. </w:t>
      </w:r>
      <w:r w:rsidR="009A2943" w:rsidRPr="00A0151B">
        <w:rPr>
          <w:rFonts w:cs="Calibri"/>
          <w:i/>
          <w:iCs/>
        </w:rPr>
        <w:t>G</w:t>
      </w:r>
      <w:r w:rsidR="009A2943">
        <w:rPr>
          <w:rFonts w:cs="Calibri"/>
          <w:i/>
          <w:iCs/>
        </w:rPr>
        <w:t>rand challenges</w:t>
      </w:r>
      <w:r w:rsidR="009A2943">
        <w:rPr>
          <w:rFonts w:cs="Calibri"/>
        </w:rPr>
        <w:t xml:space="preserve"> are large complex topics which include a range </w:t>
      </w:r>
      <w:r w:rsidR="00EC665C">
        <w:rPr>
          <w:rFonts w:cs="Calibri"/>
        </w:rPr>
        <w:t xml:space="preserve">of </w:t>
      </w:r>
      <w:r w:rsidR="009A2943">
        <w:rPr>
          <w:rFonts w:cs="Calibri"/>
        </w:rPr>
        <w:lastRenderedPageBreak/>
        <w:t xml:space="preserve">transdisciplinary </w:t>
      </w:r>
      <w:r w:rsidR="002701CA">
        <w:rPr>
          <w:rFonts w:cs="Calibri"/>
        </w:rPr>
        <w:t>literatures and a range of institutions</w:t>
      </w:r>
      <w:r w:rsidR="009A2943">
        <w:rPr>
          <w:rFonts w:cs="Calibri"/>
        </w:rPr>
        <w:t xml:space="preserve"> </w:t>
      </w:r>
      <w:bookmarkStart w:id="103" w:name="_Hlk187419419"/>
      <w:r w:rsidR="009A2943">
        <w:rPr>
          <w:rFonts w:cs="Calibri"/>
        </w:rPr>
        <w:fldChar w:fldCharType="begin" w:fldLock="1"/>
      </w:r>
      <w:r w:rsidR="002701CA">
        <w:rPr>
          <w:rFonts w:cs="Calibri"/>
        </w:rPr>
        <w:instrText>ADDIN CSL_CITATION {"citationItems":[{"id":"ITEM-1","itemData":{"DOI":"10.5465/amp.2020.0159","ISSN":"15589080","abstract":"There is growing interest among management scholars, policy-makers, and practitioners in understanding and addressing deep-seated societal problems, often termed “wicked problems,” “grand challenges,” or “messes.” An expansive body of research and practice-based literature has appeared, with little evidence to date of synthesis across research streams, tools, and practices. We also note a bifurcation between management scholarship and practice in this area that hinders cumulative learning and cross-fertilization to inform practice and policy questions. In this paper, we introduce the RAFFT framework, composed of five interrelated themes that underpin messiness (rules, agency, feedback, frames and tensions) and are grounded in knowledge triangulated across thought worlds from research and practice. Supported by illustrative examples from research and practice, we present this heuristic framework as both a diagnostic tool and an intervention repertoire. We hope that this framework can serve as a starting point for further development by researchers and practitioners working more closely together to build cumulative knowledge.","author":[{"dropping-particle":"","family":"Klag","given":"Malvina","non-dropping-particle":"","parse-names":false,"suffix":""},{"dropping-particle":"","family":"Langley","given":"Ann","non-dropping-particle":"","parse-names":false,"suffix":""}],"container-title":"Academy of Management Perspectives","id":"ITEM-1","issue":"1","issued":{"date-parts":[["2023"]]},"page":"37-54","title":"When Everything Interacts With Everything Else: Intervening in Messes","type":"article-journal","volume":"37"},"uris":["http://www.mendeley.com/documents/?uuid=fd7248dd-6f65-4f22-8100-85710d4e6dfc"]},{"id":"ITEM-2","itemData":{"author":[{"dropping-particle":"","family":"Cunliffe","given":"Ann L.","non-dropping-particle":"","parse-names":false,"suffix":""},{"dropping-particle":"","family":"Pavlovich","given":"Kathryn","non-dropping-particle":"","parse-names":false,"suffix":""}],"container-title":"Academy of Management Perspectives","id":"ITEM-2","issue":"3","issued":{"date-parts":[["2022"]]},"page":"879-895","title":"Making Our Work Matter: From Spectator To and Management Studies","type":"article-journal","volume":"36"},"uris":["http://www.mendeley.com/documents/?uuid=76313b30-475b-48ee-a88e-69614d719385"]}],"mendeley":{"formattedCitation":"(Klag &amp; Langley, 2023; Cunliffe &amp; Pavlovich, 2022)","plainTextFormattedCitation":"(Klag &amp; Langley, 2023; Cunliffe &amp; Pavlovich, 2022)","previouslyFormattedCitation":"(Klag &amp; Langley, 2023; Cunliffe &amp; Pavlovich, 2022)"},"properties":{"noteIndex":0},"schema":"https://github.com/citation-style-language/schema/raw/master/csl-citation.json"}</w:instrText>
      </w:r>
      <w:r w:rsidR="009A2943">
        <w:rPr>
          <w:rFonts w:cs="Calibri"/>
        </w:rPr>
        <w:fldChar w:fldCharType="separate"/>
      </w:r>
      <w:r w:rsidR="009A2943" w:rsidRPr="009A2943">
        <w:rPr>
          <w:rFonts w:cs="Calibri"/>
          <w:noProof/>
        </w:rPr>
        <w:t>(Klag &amp; Langley, 2023; Cunliffe &amp; Pavlovich, 2022)</w:t>
      </w:r>
      <w:r w:rsidR="009A2943">
        <w:rPr>
          <w:rFonts w:cs="Calibri"/>
        </w:rPr>
        <w:fldChar w:fldCharType="end"/>
      </w:r>
      <w:r w:rsidR="002701CA">
        <w:rPr>
          <w:rFonts w:cs="Calibri"/>
        </w:rPr>
        <w:t>. This</w:t>
      </w:r>
      <w:r w:rsidR="009A2943">
        <w:t xml:space="preserve"> creates a challenge for examining logics from a range of institutions</w:t>
      </w:r>
      <w:r w:rsidR="002701CA">
        <w:t xml:space="preserve">, which can be done through an assessment of the </w:t>
      </w:r>
      <w:r w:rsidR="009A2943">
        <w:t xml:space="preserve">macro-level positions, such as the hegemonic powers </w:t>
      </w:r>
      <w:r w:rsidR="009A2943" w:rsidRPr="00A11811">
        <w:rPr>
          <w:rFonts w:cs="Calibri"/>
        </w:rPr>
        <w:fldChar w:fldCharType="begin" w:fldLock="1"/>
      </w:r>
      <w:r w:rsidR="002701CA">
        <w:rPr>
          <w:rFonts w:cs="Calibri"/>
        </w:rPr>
        <w:instrText>ADDIN CSL_CITATION {"citationItems":[{"id":"ITEM-1","itemData":{"DOI":"10.1177/2631787719887975","ISSN":"26317877","abstract":"Institutional theory’s claim to be critical rings hollow. Not only does the theory lack an emancipatory agenda but most institutional studies privilege agentic power over hegemonic. Even when engaging with ‘grand challenges’ institutional theorists are inclined to overlook larger structures of domination in favour of focusing on smaller, more manageable issues. As a result, institutional theorists run the risk of becoming complicit in the reification and legitimation of structures of domination. A process of self-critique must be initiated in order to recognize the role institutional theory is playing in this process.","author":[{"dropping-particle":"","family":"Munir","given":"Kamal A.","non-dropping-particle":"","parse-names":false,"suffix":""}],"container-title":"Organization Theory","id":"ITEM-1","issue":"1","issued":{"date-parts":[["2019"]]},"page":"1-10","title":"Challenging Institutional Theory’s Critical Credentials","type":"article-journal","volume":"1"},"uris":["http://www.mendeley.com/documents/?uuid=e761a5a2-f15a-470b-9617-5a1a0637fe86"]},{"id":"ITEM-2","itemData":{"DOI":"10.1177/0170840618772610","ISSN":"17413044","abstract":"We trace the development of neo-institutional theory in Organization Studies from a marginal topic to the dominant theory. We show how it has evolved from infancy, through adolescence and early adulthood to being a fully mature theory, which we think is now facing a mid-life crisis. Some of the features of this mid-life crisis include over-reach, myopia, tautology, pseudo-progress and re-inventing the wheel. To address these problems, we argue that institutional theorists should limit the range of the concept, sharpen their lens, avoid tautologies and problematize the concept. By doing this, we think institutional theorists could develop a narrower and more focused conception of institutions.","author":[{"dropping-particle":"","family":"Alvesson","given":"Mats","non-dropping-particle":"","parse-names":false,"suffix":""},{"dropping-particle":"","family":"Spicer","given":"André","non-dropping-particle":"","parse-names":false,"suffix":""}],"container-title":"Organization Studies","id":"ITEM-2","issue":"2","issued":{"date-parts":[["2018"]]},"page":"199-218","title":"Neo-Institutional Theory and Organization Studies: A Mid-Life Crisis?","type":"article-journal","volume":"40"},"uris":["http://www.mendeley.com/documents/?uuid=ad005068-a41e-40b8-971b-83958fe620ab"]},{"id":"ITEM-3","itemData":{"DOI":"10.1177/2631787720960487","ISSN":"26317877","abstract":"The institutional logics perspective has the explanatory power and potential to further contribute to our understanding of some of the most pressing societal concerns of our time. In this article, we develop the logics perspective along four analytical dimensions – macro-level positioning, contextuality, temporality and value plurality – which, we argue, can be leveraged to research and address grand challenges. We elaborate the currency of these dimensions in the context of the grand challenge of climate change. In doing so, we demonstrate the overall value of a logics perspective for engaging grand challenges.","author":[{"dropping-particle":"","family":"Gümüsay","given":"Ali Aslan","non-dropping-particle":"","parse-names":false,"suffix":""},{"dropping-particle":"","family":"Claus","given":"Laura","non-dropping-particle":"","parse-names":false,"suffix":""},{"dropping-particle":"","family":"Amis","given":"John","non-dropping-particle":"","parse-names":false,"suffix":""}],"container-title":"Organization Theory","id":"ITEM-3","issue":"3","issued":{"date-parts":[["2020"]]},"page":"1 - 20","title":"Engaging with Grand Challenges: An Institutional Logics Perspective","type":"article-journal","volume":"1"},"uris":["http://www.mendeley.com/documents/?uuid=dacf5638-66f7-4439-89e3-4c36bebc3e96"]}],"mendeley":{"formattedCitation":"(Gümüsay, Claus, &amp; Amis, 2020; Munir, 2019; Alvesson &amp; Spicer, 2018)","plainTextFormattedCitation":"(Gümüsay, Claus, &amp; Amis, 2020; Munir, 2019; Alvesson &amp; Spicer, 2018)","previouslyFormattedCitation":"(Gümüsay, Claus, &amp; Amis, 2020; Munir, 2019; Alvesson &amp; Spicer, 2018)"},"properties":{"noteIndex":0},"schema":"https://github.com/citation-style-language/schema/raw/master/csl-citation.json"}</w:instrText>
      </w:r>
      <w:r w:rsidR="009A2943" w:rsidRPr="00A11811">
        <w:rPr>
          <w:rFonts w:cs="Calibri"/>
        </w:rPr>
        <w:fldChar w:fldCharType="separate"/>
      </w:r>
      <w:r w:rsidR="009A2943" w:rsidRPr="009A2943">
        <w:rPr>
          <w:rFonts w:cs="Calibri"/>
          <w:noProof/>
        </w:rPr>
        <w:t>(Gümüsay, Claus, &amp; Amis, 2020; Munir, 2019; Alvesson &amp; Spicer, 2018)</w:t>
      </w:r>
      <w:r w:rsidR="009A2943" w:rsidRPr="00A11811">
        <w:rPr>
          <w:rFonts w:cs="Calibri"/>
        </w:rPr>
        <w:fldChar w:fldCharType="end"/>
      </w:r>
      <w:r w:rsidR="009A2943">
        <w:rPr>
          <w:rFonts w:cs="Calibri"/>
        </w:rPr>
        <w:t xml:space="preserve">, but also </w:t>
      </w:r>
      <w:r w:rsidR="00065827">
        <w:rPr>
          <w:rFonts w:cs="Calibri"/>
        </w:rPr>
        <w:t xml:space="preserve">by </w:t>
      </w:r>
      <w:r w:rsidR="009A2943">
        <w:rPr>
          <w:rFonts w:cs="Calibri"/>
        </w:rPr>
        <w:t xml:space="preserve">focusing on </w:t>
      </w:r>
      <w:r w:rsidR="009A2943">
        <w:t xml:space="preserve">contextuality, temporality and value plurality </w:t>
      </w:r>
      <w:r w:rsidR="009A2943">
        <w:fldChar w:fldCharType="begin" w:fldLock="1"/>
      </w:r>
      <w:r w:rsidR="002701CA">
        <w:instrText>ADDIN CSL_CITATION {"citationItems":[{"id":"ITEM-1","itemData":{"DOI":"10.1177/2631787720960487","ISSN":"26317877","abstract":"The institutional logics perspective has the explanatory power and potential to further contribute to our understanding of some of the most pressing societal concerns of our time. In this article, we develop the logics perspective along four analytical dimensions – macro-level positioning, contextuality, temporality and value plurality – which, we argue, can be leveraged to research and address grand challenges. We elaborate the currency of these dimensions in the context of the grand challenge of climate change. In doing so, we demonstrate the overall value of a logics perspective for engaging grand challenges.","author":[{"dropping-particle":"","family":"Gümüsay","given":"Ali Aslan","non-dropping-particle":"","parse-names":false,"suffix":""},{"dropping-particle":"","family":"Claus","given":"Laura","non-dropping-particle":"","parse-names":false,"suffix":""},{"dropping-particle":"","family":"Amis","given":"John","non-dropping-particle":"","parse-names":false,"suffix":""}],"container-title":"Organization Theory","id":"ITEM-1","issue":"3","issued":{"date-parts":[["2020"]]},"page":"1 - 20","title":"Engaging with Grand Challenges: An Institutional Logics Perspective","type":"article-journal","volume":"1"},"uris":["http://www.mendeley.com/documents/?uuid=dacf5638-66f7-4439-89e3-4c36bebc3e96"]}],"mendeley":{"formattedCitation":"(Gümüsay, Claus, &amp; Amis, 2020)","plainTextFormattedCitation":"(Gümüsay, Claus, &amp; Amis, 2020)","previouslyFormattedCitation":"(Gümüsay, Claus, &amp; Amis, 2020)"},"properties":{"noteIndex":0},"schema":"https://github.com/citation-style-language/schema/raw/master/csl-citation.json"}</w:instrText>
      </w:r>
      <w:r w:rsidR="009A2943">
        <w:fldChar w:fldCharType="separate"/>
      </w:r>
      <w:r w:rsidR="009A2943" w:rsidRPr="009A2943">
        <w:rPr>
          <w:noProof/>
        </w:rPr>
        <w:t>(Gümüsay, Claus, &amp; Amis, 2020)</w:t>
      </w:r>
      <w:r w:rsidR="009A2943">
        <w:fldChar w:fldCharType="end"/>
      </w:r>
      <w:r w:rsidR="009A2943">
        <w:t>.</w:t>
      </w:r>
      <w:r w:rsidR="002701CA">
        <w:t xml:space="preserve"> This highlights another </w:t>
      </w:r>
      <w:bookmarkEnd w:id="103"/>
      <w:r w:rsidR="002701CA">
        <w:t>critique of institutional logics, namely the challenge of temporality. Some institutional logics literature do</w:t>
      </w:r>
      <w:r w:rsidR="00065827">
        <w:t>es</w:t>
      </w:r>
      <w:r w:rsidR="002701CA">
        <w:t xml:space="preserve"> not include an acknowledgment of temporality, as it simply captures a static moment in time and therefore suggesting stability and persistence of a logic. However, due to the social nature of logics they are constantly evolving </w:t>
      </w:r>
      <w:r w:rsidR="002701CA">
        <w:fldChar w:fldCharType="begin" w:fldLock="1"/>
      </w:r>
      <w:r w:rsidR="00C33F93">
        <w:instrText>ADDIN CSL_CITATION {"citationItems":[{"id":"ITEM-1","itemData":{"author":[{"dropping-particle":"","family":"Besharov","given":"Marya L.","non-dropping-particle":"","parse-names":false,"suffix":""},{"dropping-particle":"","family":"Smith","given":"Wendy K.","non-dropping-particle":"","parse-names":false,"suffix":""}],"container-title":"The Academy of Management Review","id":"ITEM-1","issue":"3","issued":{"date-parts":[["2014"]]},"page":"364-381","title":"Multiple Institutional Logics In Organizations: Explaining Their Varied Nature And Implications","type":"article-journal","volume":"39"},"uris":["http://www.mendeley.com/documents/?uuid=57cbbf37-05be-48a2-ad9d-1095a2aeb8e5"]},{"id":"ITEM-2","itemData":{"DOI":"10.1108/S0733-558X201600048A005","author":[{"dropping-particle":"","family":"Zilber","given":"Tammar B","non-dropping-particle":"","parse-names":false,"suffix":""}],"chapter-number":"5","container-title":"How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-2","issued":{"date-parts":[["2016"]]},"page":"137-155","publisher":"Emerald Group Publishing Limited","title":"How Institutional Logics Matter: A Bottom-Up Exploration","type":"chapter","volume":"48"},"uris":["http://www.mendeley.com/documents/?uuid=e4988de7-6965-4bc8-bedf-8392ba1d8d8c"]}],"mendeley":{"formattedCitation":"(Zilber, 2016; Besharov &amp; Smith, 2014)","plainTextFormattedCitation":"(Zilber, 2016; Besharov &amp; Smith, 2014)","previouslyFormattedCitation":"(Zilber, 2016; Besharov &amp; Smith, 2014)"},"properties":{"noteIndex":0},"schema":"https://github.com/citation-style-language/schema/raw/master/csl-citation.json"}</w:instrText>
      </w:r>
      <w:r w:rsidR="002701CA">
        <w:fldChar w:fldCharType="separate"/>
      </w:r>
      <w:r w:rsidR="002701CA" w:rsidRPr="002701CA">
        <w:rPr>
          <w:noProof/>
        </w:rPr>
        <w:t>(Zilber, 2016; Besharov &amp; Smith, 2014)</w:t>
      </w:r>
      <w:r w:rsidR="002701CA">
        <w:fldChar w:fldCharType="end"/>
      </w:r>
      <w:r w:rsidR="00CB4FCA">
        <w:t>.</w:t>
      </w:r>
      <w:r w:rsidR="00F644FE">
        <w:t xml:space="preserve"> </w:t>
      </w:r>
      <w:r w:rsidR="00CB4FCA">
        <w:t>T</w:t>
      </w:r>
      <w:r w:rsidR="00F644FE">
        <w:t>his is discussed in greater detail in the following section on institutional pluralism</w:t>
      </w:r>
      <w:r w:rsidR="002701CA">
        <w:t xml:space="preserve">. This thesis has incorporated these elements in the research, focusing on macro-levels such as discussions of neoliberal political agendas, and discussing the context and temporality of the logics (in chapter 4-6). </w:t>
      </w:r>
      <w:r w:rsidR="00742FB7">
        <w:rPr>
          <w:rFonts w:cs="Calibri"/>
        </w:rPr>
        <w:t>There has been recent criticism of the logics perspective, with some noting that logics are often only viewed as a tool, but need to be examined as a phenomenon in their own right, aiming to increase the analytical focus when researching logics</w:t>
      </w:r>
      <w:r w:rsidR="00742FB7">
        <w:rPr>
          <w:rFonts w:cs="Calibri"/>
          <w:lang w:eastAsia="en-US"/>
        </w:rPr>
        <w:t xml:space="preserve"> </w:t>
      </w:r>
      <w:r w:rsidR="00742FB7">
        <w:fldChar w:fldCharType="begin" w:fldLock="1"/>
      </w:r>
      <w:r w:rsidR="00F47FBA">
        <w:rPr>
          <w:rFonts w:cs="Calibri"/>
          <w:lang w:eastAsia="en-US"/>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Phenomena","type":"article-journal","volume":"47"},"uris":["http://www.mendeley.com/documents/?uuid=3561369e-31b0-40ce-940d-739bd34cab24"]},{"id":"ITEM-2","itemData":{"DOI":"10.1177/0170840618772610","ISSN":"17413044","abstract":"We trace the development of neo-institutional theory in Organization Studies from a marginal topic to the dominant theory. We show how it has evolved from infancy, through adolescence and early adulthood to being a fully mature theory, which we think is now facing a mid-life crisis. Some of the features of this mid-life crisis include over-reach, myopia, tautology, pseudo-progress and re-inventing the wheel. To address these problems, we argue that institutional theorists should limit the range of the concept, sharpen their lens, avoid tautologies and problematize the concept. By doing this, we think institutional theorists could develop a narrower and more focused conception of institutions.","author":[{"dropping-particle":"","family":"Alvesson","given":"Mats","non-dropping-particle":"","parse-names":false,"suffix":""},{"dropping-particle":"","family":"Spicer","given":"André","non-dropping-particle":"","parse-names":false,"suffix":""}],"container-title":"Organization Studies","id":"ITEM-2","issue":"2","issued":{"date-parts":[["2018"]]},"page":"199-218","title":"Neo-Institutional Theory and Organization Studies: A Mid-Life Crisis?","type":"article-journal","volume":"40"},"uris":["http://www.mendeley.com/documents/?uuid=ad005068-a41e-40b8-971b-83958fe620ab"]}],"mendeley":{"formattedCitation":"(Lounsbury et al., 2021; Alvesson &amp; Spicer, 2018)","plainTextFormattedCitation":"(Lounsbury et al., 2021; Alvesson &amp; Spicer, 2018)","previouslyFormattedCitation":"(Lounsbury et al., 2021; Alvesson &amp; Spicer, 2018)"},"properties":{"noteIndex":0},"schema":"https://github.com/citation-style-language/schema/raw/master/csl-citation.json"}</w:instrText>
      </w:r>
      <w:r w:rsidR="00742FB7">
        <w:rPr>
          <w:rFonts w:cs="Calibri"/>
          <w:lang w:eastAsia="en-US"/>
        </w:rPr>
        <w:fldChar w:fldCharType="separate"/>
      </w:r>
      <w:r w:rsidR="00F47FBA" w:rsidRPr="00F47FBA">
        <w:rPr>
          <w:rFonts w:cs="Calibri"/>
          <w:noProof/>
        </w:rPr>
        <w:t>(Lounsbury et al., 2021; Alvesson &amp; Spicer, 2018)</w:t>
      </w:r>
      <w:r w:rsidR="00742FB7">
        <w:rPr>
          <w:rFonts w:cs="Calibri"/>
          <w:lang w:eastAsia="en-US"/>
        </w:rPr>
        <w:fldChar w:fldCharType="end"/>
      </w:r>
      <w:r w:rsidR="00742FB7">
        <w:rPr>
          <w:rFonts w:cs="Calibri"/>
        </w:rPr>
        <w:t xml:space="preserve">. This places significance on understanding the </w:t>
      </w:r>
      <w:r w:rsidR="00742FB7">
        <w:rPr>
          <w:rFonts w:cs="Calibri"/>
          <w:i/>
          <w:iCs/>
        </w:rPr>
        <w:t>practice</w:t>
      </w:r>
      <w:r w:rsidR="00742FB7">
        <w:rPr>
          <w:rFonts w:cs="Calibri"/>
        </w:rPr>
        <w:t xml:space="preserve"> of logics </w:t>
      </w:r>
      <w:r w:rsidR="00742FB7">
        <w:fldChar w:fldCharType="begin" w:fldLock="1"/>
      </w:r>
      <w:r w:rsidR="00742FB7">
        <w:rPr>
          <w:rFonts w:cs="Calibri"/>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Phenomena","type":"article-journal","volume":"47"},"uris":["http://www.mendeley.com/documents/?uuid=3561369e-31b0-40ce-940d-739bd34cab24"]}],"mendeley":{"formattedCitation":"(Lounsbury et al., 2021)","plainTextFormattedCitation":"(Lounsbury et al., 2021)","previouslyFormattedCitation":"(Lounsbury et al., 2021)"},"properties":{"noteIndex":0},"schema":"https://github.com/citation-style-language/schema/raw/master/csl-citation.json"}</w:instrText>
      </w:r>
      <w:r w:rsidR="00742FB7">
        <w:rPr>
          <w:rFonts w:cs="Calibri"/>
        </w:rPr>
        <w:fldChar w:fldCharType="separate"/>
      </w:r>
      <w:r w:rsidR="00742FB7">
        <w:rPr>
          <w:rFonts w:cs="Calibri"/>
          <w:noProof/>
        </w:rPr>
        <w:t>(Lounsbury et al., 2021)</w:t>
      </w:r>
      <w:r w:rsidR="00742FB7">
        <w:rPr>
          <w:rFonts w:cs="Calibri"/>
        </w:rPr>
        <w:fldChar w:fldCharType="end"/>
      </w:r>
      <w:r w:rsidR="00742FB7">
        <w:rPr>
          <w:rFonts w:cs="Calibri"/>
        </w:rPr>
        <w:t xml:space="preserve"> and how they are actively implemented and maintained, and the need for them to be closely linked to societal concerns in order that they stay relevant as a theory </w:t>
      </w:r>
      <w:r w:rsidR="00742FB7">
        <w:fldChar w:fldCharType="begin" w:fldLock="1"/>
      </w:r>
      <w:r w:rsidR="00974B75">
        <w:rPr>
          <w:rFonts w:cs="Calibri"/>
        </w:rPr>
        <w:instrText>ADDIN CSL_CITATION {"citationItems":[{"id":"ITEM-1","itemData":{"DOI":"10.1177/2631787720960487","ISSN":"26317877","abstract":"The institutional logics perspective has the explanatory power and potential to further contribute to our understanding of some of the most pressing societal concerns of our time. In this article, we develop the logics perspective along four analytical dimensions – macro-level positioning, contextuality, temporality and value plurality – which, we argue, can be leveraged to research and address grand challenges. We elaborate the currency of these dimensions in the context of the grand challenge of climate change. In doing so, we demonstrate the overall value of a logics perspective for engaging grand challenges.","author":[{"dropping-particle":"","family":"Gümüsay","given":"Ali Aslan","non-dropping-particle":"","parse-names":false,"suffix":""},{"dropping-particle":"","family":"Claus","given":"Laura","non-dropping-particle":"","parse-names":false,"suffix":""},{"dropping-particle":"","family":"Amis","given":"John","non-dropping-particle":"","parse-names":false,"suffix":""}],"container-title":"Organization Theory","id":"ITEM-1","issue":"3","issued":{"date-parts":[["2020"]]},"page":"1 - 20","title":"Engaging with Grand Challenges: An Institutional Logics Perspective","type":"article-journal","volume":"1"},"uris":["http://www.mendeley.com/documents/?uuid=dacf5638-66f7-4439-89e3-4c36bebc3e96"]}],"mendeley":{"formattedCitation":"(Gümüsay, Claus, &amp; Amis, 2020)","plainTextFormattedCitation":"(Gümüsay, Claus, &amp; Amis, 2020)","previouslyFormattedCitation":"(Gümüsay, Claus, &amp; Amis, 2020)"},"properties":{"noteIndex":0},"schema":"https://github.com/citation-style-language/schema/raw/master/csl-citation.json"}</w:instrText>
      </w:r>
      <w:r w:rsidR="00742FB7">
        <w:rPr>
          <w:rFonts w:cs="Calibri"/>
        </w:rPr>
        <w:fldChar w:fldCharType="separate"/>
      </w:r>
      <w:r w:rsidR="00742FB7">
        <w:rPr>
          <w:rFonts w:cs="Calibri"/>
          <w:noProof/>
        </w:rPr>
        <w:t>(Gümüsay, Claus, &amp; Amis, 2020)</w:t>
      </w:r>
      <w:r w:rsidR="00742FB7">
        <w:rPr>
          <w:rFonts w:cs="Calibri"/>
        </w:rPr>
        <w:fldChar w:fldCharType="end"/>
      </w:r>
      <w:r w:rsidR="00742FB7">
        <w:rPr>
          <w:rFonts w:cs="Calibri"/>
        </w:rPr>
        <w:t xml:space="preserve">. This research examined the logics that influence SYFR and how they design and create social media content implementing and maintaining those logics; it also examined logics with foci on both the context and the phenomena using an institutional ethnography (discussed in Chapter 3). </w:t>
      </w:r>
    </w:p>
    <w:p w14:paraId="7F3ABC54" w14:textId="77777777" w:rsidR="00C33F93" w:rsidRDefault="00C33F93" w:rsidP="00866155">
      <w:pPr>
        <w:contextualSpacing/>
        <w:rPr>
          <w:rFonts w:cs="Calibri"/>
        </w:rPr>
      </w:pPr>
    </w:p>
    <w:p w14:paraId="0B57DC94" w14:textId="06B13BA7" w:rsidR="00D15738" w:rsidRDefault="00D15738" w:rsidP="00D15738">
      <w:r>
        <w:t xml:space="preserve">While there are critiques of the institutional logics approach, this research strongly believed that it provided the level of analysis required for </w:t>
      </w:r>
      <w:r w:rsidR="00C33F93">
        <w:t>examining t</w:t>
      </w:r>
      <w:r>
        <w:t xml:space="preserve">he </w:t>
      </w:r>
      <w:r w:rsidRPr="00A0151B">
        <w:rPr>
          <w:i/>
          <w:iCs/>
        </w:rPr>
        <w:t>grand challenge</w:t>
      </w:r>
      <w:r>
        <w:t xml:space="preserve"> of </w:t>
      </w:r>
      <w:r w:rsidR="00C33F93">
        <w:t xml:space="preserve">understanding and </w:t>
      </w:r>
      <w:r>
        <w:t>developing</w:t>
      </w:r>
      <w:r w:rsidR="00C33F93">
        <w:t xml:space="preserve"> approaches for</w:t>
      </w:r>
      <w:r>
        <w:t xml:space="preserve"> community disaster resilience. Using an institutional logics approach enables the researcher to understand how and why individuals and organisations act</w:t>
      </w:r>
      <w:r w:rsidR="00835F7C">
        <w:t xml:space="preserve">. </w:t>
      </w:r>
      <w:r>
        <w:t>Institutional logics can capture and examine socially constructed systems and structures</w:t>
      </w:r>
      <w:r w:rsidR="00C33F93">
        <w:t xml:space="preserve"> </w:t>
      </w:r>
      <w:r w:rsidR="00C33F93">
        <w:fldChar w:fldCharType="begin" w:fldLock="1"/>
      </w:r>
      <w:r w:rsidR="00C33F93">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Process","type":"book"},"uris":["http://www.mendeley.com/documents/?uuid=7afe7588-cd0b-4a95-b78a-3214c1130169"]},{"id":"ITEM-2","itemData":{"DOI":"10.1177/0007650318789104","ISSN":"15524205","abstract":"Social innovations are urgently needed as we confront complex social problems. As these social problems feature substantial interdependencies among multiple systems and actors, developing and implementing innovative solutions involve the re-negotiating of settled institutions or the building of new ones. In this introductory article, we introduce a stylized three-cycle model highlighting the institutional nature of social innovation efforts. The model conceptualizes social innovation processes as the product of agentic, relational, and situated dynamics in three interrelated cycles that operate at the micro, meso, and macro levels of analysis. The five papers included in this special issue address one or more of these cycles. We draw on these papers and the model to stimulate and offer guidance to future conversations on social innovations from an institutional theory perspective.","author":[{"dropping-particle":"","family":"Wijk","given":"Jakomijn","non-dropping-particle":"van","parse-names":false,"suffix":""},{"dropping-particle":"","family":"Zietsma","given":"Charlene","non-dropping-particle":"","parse-names":false,"suffix":""},{"dropping-particle":"","family":"Dorado","given":"Silvia","non-dropping-particle":"","parse-names":false,"suffix":""},{"dropping-particle":"","family":"Bakker","given":"Frank G.A.","non-dropping-particle":"de","parse-names":false,"suffix":""},{"dropping-particle":"","family":"Martí","given":"Ignasi","non-dropping-particle":"","parse-names":false,"suffix":""}],"container-title":"Business and Society","id":"ITEM-2","issue":"5","issued":{"date-parts":[["2019"]]},"page":"887-918","title":"Social Innovation: Integrating Micro, Meso, and Macro Level Insights From Institutional Theory","type":"article-journal","volume":"58"},"uris":["http://www.mendeley.com/documents/?uuid=e7aea813-38d5-4cfc-809f-0f93b22a795c"]},{"id":"ITEM-3","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Practice","id":"ITEM-3","issue":"3","issued":{"date-parts":[["2010"]]},"page":"421-440","title":"Institutional theory and entrepreneurship: Where are we now and where do we need to move in the future?","type":"article-journal","volume":"34"},"uris":["http://www.mendeley.com/documents/?uuid=e36ff41e-f87e-4ac2-ad15-cf1983b501ae"]},{"id":"ITEM-4","itemData":{"DOI":"10.1108/S0733-558X201600048A005","author":[{"dropping-particle":"","family":"Zilber","given":"Tammar B","non-dropping-particle":"","parse-names":false,"suffix":""}],"chapter-number":"5","container-title":"How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-4","issued":{"date-parts":[["2016"]]},"page":"137-155","publisher":"Emerald Group Publishing Limited","title":"How Institutional Logics Matter: A Bottom-Up Exploration","type":"chapter","volume":"48"},"uris":["http://www.mendeley.com/documents/?uuid=e4988de7-6965-4bc8-bedf-8392ba1d8d8c"]},{"id":"ITEM-5","itemData":{"DOI":"10.1177/1476127015625040","author":[{"dropping-particle":"","family":"Ocasio","given":"William","non-dropping-particle":"","parse-names":false,"suffix":""},{"dropping-particle":"","family":"Radoynovska","given":"Nevena","non-dropping-particle":"","parse-names":false,"suffix":""}],"container-title":"Strategic Organization","id":"ITEM-5","issue":"4","issued":{"date-parts":[["2016"]]},"page":"287 - 309","title":"Strategy and commitments to institutional logics : Organizational heterogeneity in business models and governance","type":"article-journal","volume":"14"},"uris":["http://www.mendeley.com/documents/?uuid=eede86b6-3a39-4b52-acc9-94e8cc3fbd5e"]},{"id":"ITEM-6","itemData":{"DOI":"10.1016/j.aos.2022.101336","ISSN":"03613682","abstract":"This paper is located within the research problematic of multiple logics with reference to professional service firms (PSFs), and in particular audit firms. Within this multi-logic (“hybrid”) and complex organization, we are specifically concerned with the impacts of new institutional logics that reflect social and political movements - in this case diversity legislation - and how these new logics are absorbed and managed within the organizations’ structures and practices. Based upon a study of large and medium sized audit firms in the UK, we consider the organizational responses to the demands for improved diversity among firm members, especially the senior elite, in the context of the passing of the Equality Act, 2010, and subsequent legislation which both consolidated and extended UK laws on discrimination. Our study indicates how such organizational sites have value for demonstrating how the conflict between logics shifts its terms of reference. While most of the conflict between logics of commercialism and professionalism has been successfully managed through mechanisms of hybridization, we bring to the fore how the struggles between ideas about merit and diversity in professional evaluation processes and practices are more intractable. Our work contributes to an understanding of both the dependencies (blending) and co-existences (separation) that can exist between diversity, commercial and professional logics of practice in multi-logic organizations. We further highlight the role of identity scripts that shape how individuals situationally demarcate their identities as they struggle with the demands for diversity that challenge dominant logics.","author":[{"dropping-particle":"","family":"Anderson-Gough","given":"Fiona","non-dropping-particle":"","parse-names":false,"suffix":""},{"dropping-particle":"","family":"Edgley","given":"Carla","non-dropping-particle":"","parse-names":false,"suffix":""},{"dropping-particle":"","family":"Robson","given":"Keith","non-dropping-particle":"","parse-names":false,"suffix":""},{"dropping-particle":"","family":"Sharma","given":"Nina","non-dropping-particle":"","parse-names":false,"suffix":""}],"container-title":"Accounting, Organizations and Society","id":"ITEM-6","issued":{"date-parts":[["2022"]]},"page":"1-21","publisher":"The Authors","title":"Organizational responses to multiple logics: Diversity, identity and the professional service firm","type":"article-journal","volume":"103"},"uris":["http://www.mendeley.com/documents/?uuid=fa3c624d-bc21-4550-9481-bd7c9bf1f730"]}],"mendeley":{"formattedCitation":"(Anderson-Gough et al., 2022; van Wijk et al., 2019; Ocasio &amp; Radoynovska, 2016; Zilber, 2016; Thornton, Ocasio, &amp; Lounsbury, 2012; Bruton, Ahlstrom, &amp; Li, 2010)","plainTextFormattedCitation":"(Anderson-Gough et al., 2022; van Wijk et al., 2019; Ocasio &amp; Radoynovska, 2016; Zilber, 2016; Thornton, Ocasio, &amp; Lounsbury, 2012; Bruton, Ahlstrom, &amp; Li, 2010)","previouslyFormattedCitation":"(Anderson-Gough et al., 2022; van Wijk et al., 2019; Ocasio &amp; Radoynovska, 2016; Zilber, 2016; Thornton, Ocasio, &amp; Lounsbury, 2012; Bruton, Ahlstrom, &amp; Li, 2010)"},"properties":{"noteIndex":0},"schema":"https://github.com/citation-style-language/schema/raw/master/csl-citation.json"}</w:instrText>
      </w:r>
      <w:r w:rsidR="00C33F93">
        <w:fldChar w:fldCharType="separate"/>
      </w:r>
      <w:r w:rsidR="00C33F93" w:rsidRPr="00C33F93">
        <w:rPr>
          <w:noProof/>
        </w:rPr>
        <w:t xml:space="preserve">(Anderson-Gough et al., 2022; van Wijk et al., 2019; Ocasio &amp; Radoynovska, 2016; Zilber, 2016; Thornton, Ocasio, &amp; Lounsbury, 2012; Bruton, Ahlstrom, &amp; </w:t>
      </w:r>
      <w:r w:rsidR="00C33F93" w:rsidRPr="00C33F93">
        <w:rPr>
          <w:noProof/>
        </w:rPr>
        <w:lastRenderedPageBreak/>
        <w:t>Li, 2010)</w:t>
      </w:r>
      <w:r w:rsidR="00C33F93">
        <w:fldChar w:fldCharType="end"/>
      </w:r>
      <w:r w:rsidR="00CB4FCA">
        <w:t>. This</w:t>
      </w:r>
      <w:r>
        <w:t xml:space="preserve"> is crucial for this research due</w:t>
      </w:r>
      <w:r w:rsidR="001028E7">
        <w:t xml:space="preserve"> to</w:t>
      </w:r>
      <w:r>
        <w:t xml:space="preserve"> the range of socially constructed topics that this </w:t>
      </w:r>
      <w:r w:rsidR="001028E7">
        <w:t>thesis</w:t>
      </w:r>
      <w:r>
        <w:t xml:space="preserve"> includes, such as </w:t>
      </w:r>
      <w:r w:rsidR="00127AEB">
        <w:t xml:space="preserve">disasters, </w:t>
      </w:r>
      <w:r>
        <w:t>community and resilience. Institutional theory enables a greater focus on</w:t>
      </w:r>
      <w:r w:rsidR="001028E7">
        <w:t xml:space="preserve"> the</w:t>
      </w:r>
      <w:r>
        <w:t xml:space="preserve"> scale of influence, providing a researcher with a range of scales with which to examine the choices that individuals make</w:t>
      </w:r>
      <w:r w:rsidR="00C33F93">
        <w:t xml:space="preserve"> </w:t>
      </w:r>
      <w:r w:rsidR="00C33F93">
        <w:fldChar w:fldCharType="begin" w:fldLock="1"/>
      </w:r>
      <w:r w:rsidR="00DC0ACB">
        <w:instrText>ADDIN CSL_CITATION {"citationItems":[{"id":"ITEM-1","itemData":{"DOI":"10.1111/j.1467-9299.2012.02105.x","ISBN":"00014273","ISSN":"0170-8406","PMID":"18837629","abstract":"Over recent decades, a number of managerial reform initiatives in continental Europe have aimed at moving away from the traditional Weberian model of public administration. Such shifting bases of legitimacy are brought about by changes in the institutional logics in place, which not only provide frames of reference but also social identities and vocabularies of motive for the actors in the field. In this article, we approach the expanding research on public service motivation (PSM) by employing an institutional prism. Based on an executive survey in a continental European context, we examine the assumption that high PSM is associated with the traditional ethos and social identity in the public sector. What we find is that a Weberian legalistic-bureaucratic logic supports neither a high attraction to policy-making nor a high level of compassion. A managerial orientation, on the other hand, entails significantly higher scores on these two dimensions, as well as on overall PSM.","author":[{"dropping-particle":"","family":"Dacin","given":"M Tina","non-dropping-particle":"","parse-names":false,"suffix":""},{"dropping-particle":"","family":"Goodstein","given":"Jerry","non-dropping-particle":"","parse-names":false,"suffix":""},{"dropping-particle":"","family":"Scott","given":"W Richard","non-dropping-particle":"","parse-names":false,"suffix":""}],"container-title":"The Academy of Management Journal","id":"ITEM-1","issue":"1","issued":{"date-parts":[["2002"]]},"page":"45-56","title":"Institutional Theory and Institutional Change: Introduction to the Special Research Forum","type":"article-journal","volume":"45"},"uris":["http://www.mendeley.com/documents/?uuid=ce784237-38a8-4089-a19f-9157aeaf33bb"]},{"id":"ITEM-2","itemData":{"DOI":"10.1177/0007650318789104","ISSN":"15524205","abstract":"Social innovations are urgently needed as we confront complex social problems. As these social problems feature substantial interdependencies among multiple systems and actors, developing and implementing innovative solutions involve the re-negotiating of settled institutions or the building of new ones. In this introductory article, we introduce a stylized three-cycle model highlighting the institutional nature of social innovation efforts. The model conceptualizes social innovation processes as the product of agentic, relational, and situated dynamics in three interrelated cycles that operate at the micro, meso, and macro levels of analysis. The five papers included in this special issue address one or more of these cycles. We draw on these papers and the model to stimulate and offer guidance to future conversations on social innovations from an institutional theory perspective.","author":[{"dropping-particle":"","family":"Wijk","given":"Jakomijn","non-dropping-particle":"van","parse-names":false,"suffix":""},{"dropping-particle":"","family":"Zietsma","given":"Charlene","non-dropping-particle":"","parse-names":false,"suffix":""},{"dropping-particle":"","family":"Dorado","given":"Silvia","non-dropping-particle":"","parse-names":false,"suffix":""},{"dropping-particle":"","family":"Bakker","given":"Frank G.A.","non-dropping-particle":"de","parse-names":false,"suffix":""},{"dropping-particle":"","family":"Martí","given":"Ignasi","non-dropping-particle":"","parse-names":false,"suffix":""}],"container-title":"Business and Society","id":"ITEM-2","issue":"5","issued":{"date-parts":[["2019"]]},"page":"887-918","title":"Social Innovation: Integrating Micro, Meso, and Macro Level Insights From Institutional Theory","type":"article-journal","volume":"58"},"uris":["http://www.mendeley.com/documents/?uuid=e7aea813-38d5-4cfc-809f-0f93b22a795c"]},{"id":"ITEM-3","itemData":{"DOI":"10.1108/S0733-558X201600048A005","author":[{"dropping-particle":"","family":"Zilber","given":"Tammar B","non-dropping-particle":"","parse-names":false,"suffix":""}],"chapter-number":"5","container-title":"How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-3","issued":{"date-parts":[["2016"]]},"page":"137-155","publisher":"Emerald Group Publishing Limited","title":"How Institutional Logics Matter: A Bottom-Up Exploration","type":"chapter","volume":"48"},"uris":["http://www.mendeley.com/documents/?uuid=e4988de7-6965-4bc8-bedf-8392ba1d8d8c"]}],"mendeley":{"formattedCitation":"(van Wijk et al., 2019; Zilber, 2016; Dacin, Goodstein, &amp; Scott, 2002)","plainTextFormattedCitation":"(van Wijk et al., 2019; Zilber, 2016; Dacin, Goodstein, &amp; Scott, 2002)","previouslyFormattedCitation":"(van Wijk et al., 2019; Zilber, 2016; Dacin, Goodstein, &amp; Scott, 2002)"},"properties":{"noteIndex":0},"schema":"https://github.com/citation-style-language/schema/raw/master/csl-citation.json"}</w:instrText>
      </w:r>
      <w:r w:rsidR="00C33F93">
        <w:fldChar w:fldCharType="separate"/>
      </w:r>
      <w:r w:rsidR="00C33F93" w:rsidRPr="00C33F93">
        <w:rPr>
          <w:noProof/>
        </w:rPr>
        <w:t>(van Wijk et al., 2019; Zilber, 2016; Dacin, Goodstein, &amp; Scott, 2002)</w:t>
      </w:r>
      <w:r w:rsidR="00C33F93">
        <w:fldChar w:fldCharType="end"/>
      </w:r>
      <w:r>
        <w:t xml:space="preserve">. This can be seen in the context of this research, with a focus on the work of the SYFR </w:t>
      </w:r>
      <w:r w:rsidR="00CB4FCA">
        <w:t>C</w:t>
      </w:r>
      <w:r>
        <w:t>ommunication</w:t>
      </w:r>
      <w:r w:rsidR="001028E7">
        <w:t>s</w:t>
      </w:r>
      <w:r>
        <w:t xml:space="preserve"> team </w:t>
      </w:r>
      <w:r w:rsidR="001028E7">
        <w:t>and</w:t>
      </w:r>
      <w:r>
        <w:t xml:space="preserve"> realising that their choices and decisions are influenced and shaped by larger social constructions, such as National Government, and the Communications sector (as discussed in chapter 5). Examining these institutions and their influence on people working within SYFR can provide understanding as to what had led to those choices, and in turn, how those institutions can be shaped and developed by the people working and living within them. </w:t>
      </w:r>
    </w:p>
    <w:p w14:paraId="44B5C932" w14:textId="77777777" w:rsidR="00D15738" w:rsidRDefault="00D15738" w:rsidP="00866155">
      <w:pPr>
        <w:contextualSpacing/>
        <w:rPr>
          <w:rFonts w:cs="Calibri"/>
        </w:rPr>
      </w:pPr>
    </w:p>
    <w:p w14:paraId="0CF45C2F" w14:textId="77777777" w:rsidR="00787F73" w:rsidRDefault="00742FB7" w:rsidP="00866155">
      <w:pPr>
        <w:contextualSpacing/>
        <w:rPr>
          <w:rFonts w:cs="Calibri"/>
        </w:rPr>
      </w:pPr>
      <w:r>
        <w:rPr>
          <w:rFonts w:cs="Calibri"/>
        </w:rPr>
        <w:t xml:space="preserve">This research used logics to examine whether institutions influenced how SYFR shape and promote certain messages on social media. Crucially, however, organisations are usually subject to a variety of different societal and field level institutions that add complexity requiring a lens known as institutional pluralism. </w:t>
      </w:r>
    </w:p>
    <w:p w14:paraId="15812276" w14:textId="77777777" w:rsidR="0035257A" w:rsidRDefault="0035257A" w:rsidP="00866155">
      <w:pPr>
        <w:contextualSpacing/>
      </w:pPr>
    </w:p>
    <w:p w14:paraId="1613C2DD" w14:textId="77777777" w:rsidR="00787F73" w:rsidRDefault="00742FB7" w:rsidP="00866155">
      <w:pPr>
        <w:pStyle w:val="Heading4"/>
        <w:spacing w:line="360" w:lineRule="auto"/>
        <w:contextualSpacing/>
      </w:pPr>
      <w:bookmarkStart w:id="104" w:name="_Toc67579728"/>
      <w:bookmarkStart w:id="105" w:name="_Toc139645563"/>
      <w:bookmarkStart w:id="106" w:name="_Toc98148289"/>
      <w:bookmarkStart w:id="107" w:name="_Toc139636608"/>
      <w:bookmarkStart w:id="108" w:name="_Toc93410789"/>
      <w:bookmarkStart w:id="109" w:name="_Hlk138867121"/>
      <w:r>
        <w:rPr>
          <w:rFonts w:ascii="Calibri" w:hAnsi="Calibri" w:cs="Calibri"/>
        </w:rPr>
        <w:t>Institutional Pluralism</w:t>
      </w:r>
      <w:bookmarkEnd w:id="104"/>
      <w:bookmarkEnd w:id="105"/>
      <w:bookmarkEnd w:id="106"/>
      <w:bookmarkEnd w:id="107"/>
      <w:bookmarkEnd w:id="108"/>
    </w:p>
    <w:p w14:paraId="0F276264" w14:textId="20B0AF9C" w:rsidR="00787F73" w:rsidRDefault="00742FB7" w:rsidP="00866155">
      <w:r>
        <w:rPr>
          <w:rFonts w:cs="Calibri"/>
          <w:lang w:eastAsia="en-US"/>
        </w:rPr>
        <w:t xml:space="preserve">Institutional pluralism explores the presence of logics from multiple institutions </w:t>
      </w:r>
      <w:r>
        <w:fldChar w:fldCharType="begin" w:fldLock="1"/>
      </w:r>
      <w:r w:rsidR="00C541CC">
        <w:rPr>
          <w:rFonts w:cs="Calibri"/>
          <w:lang w:eastAsia="en-US"/>
        </w:rPr>
        <w:instrText>ADDIN CSL_CITATION {"citationItems":[{"id":"ITEM-1","itemData":{"author":[{"dropping-particle":"","family":"Besharov","given":"Marya L.","non-dropping-particle":"","parse-names":false,"suffix":""},{"dropping-particle":"","family":"Smith","given":"Wendy K.","non-dropping-particle":"","parse-names":false,"suffix":""}],"container-title":"The Academy of Management Review","id":"ITEM-1","issue":"3","issued":{"date-parts":[["2014"]]},"page":"364-381","title":"Multiple Institutional Logics In Organizations: Explaining Their Varied Nature And Implications","type":"article-journal","volume":"39"},"uris":["http://www.mendeley.com/documents/?uuid=57cbbf37-05be-48a2-ad9d-1095a2aeb8e5"]},{"id":"ITEM-2","itemData":{"DOI":"10.1177/1476127015625040","author":[{"dropping-particle":"","family":"Ocasio","given":"William","non-dropping-particle":"","parse-names":false,"suffix":""},{"dropping-particle":"","family":"Radoynovska","given":"Nevena","non-dropping-particle":"","parse-names":false,"suffix":""}],"container-title":"Strategic Organization","id":"ITEM-2","issue":"4","issued":{"date-parts":[["2016"]]},"page":"287 - 309","title":"Strategy and commitments to institutional logics : Organizational heterogeneity in business models and governance","type":"article-journal","volume":"14"},"uris":["http://www.mendeley.com/documents/?uuid=eede86b6-3a39-4b52-acc9-94e8cc3fbd5e"]}],"mendeley":{"formattedCitation":"(Ocasio &amp; Radoynovska, 2016; Besharov &amp; Smith, 2014)","plainTextFormattedCitation":"(Ocasio &amp; Radoynovska, 2016; Besharov &amp; Smith, 2014)","previouslyFormattedCitation":"(Ocasio &amp; Radoynovska, 2016; Besharov &amp; Smith, 2014)"},"properties":{"noteIndex":0},"schema":"https://github.com/citation-style-language/schema/raw/master/csl-citation.json"}</w:instrText>
      </w:r>
      <w:r>
        <w:rPr>
          <w:rFonts w:cs="Calibri"/>
          <w:lang w:eastAsia="en-US"/>
        </w:rPr>
        <w:fldChar w:fldCharType="separate"/>
      </w:r>
      <w:r w:rsidR="00C541CC" w:rsidRPr="00C541CC">
        <w:rPr>
          <w:rFonts w:cs="Calibri"/>
          <w:noProof/>
          <w:lang w:eastAsia="en-US"/>
        </w:rPr>
        <w:t>(Ocasio &amp; Radoynovska, 2016; Besharov &amp; Smith, 2014)</w:t>
      </w:r>
      <w:r>
        <w:rPr>
          <w:rFonts w:cs="Calibri"/>
          <w:lang w:eastAsia="en-US"/>
        </w:rPr>
        <w:fldChar w:fldCharType="end"/>
      </w:r>
      <w:r>
        <w:rPr>
          <w:rFonts w:cs="Calibri"/>
          <w:lang w:eastAsia="en-US"/>
        </w:rPr>
        <w:t xml:space="preserve">. These can be societal logics within fields (state logics within the emergency services field), or societal and field logics within organisations (state logics or emergency services logics, such as within SYFR) </w:t>
      </w:r>
      <w:r>
        <w:fldChar w:fldCharType="begin" w:fldLock="1"/>
      </w:r>
      <w:r w:rsidR="00974B75">
        <w:rPr>
          <w:rFonts w:cs="Calibri"/>
          <w:lang w:eastAsia="en-US"/>
        </w:rPr>
        <w:instrText>ADDIN CSL_CITATION {"citationItems":[{"id":"ITEM-1","itemData":{"DOI":"10.1111/ijmr.12313","ISSN":"14682370","abstract":"The institutional logics approach is a powerful lens with which to examine and understand contexts in which norms and conceptions are multiple, unclear or in flux. While logics at the societal level have been well elaborated and are, in the most part, widely understood and accepted, at the field level logics are not necessarily so clear. Field frames distort, merge and confuse the societal logic as field actors negotiate, rebalance, bridge and interpret logics in a recursively constitutive process. We review research in two institutionally complex fields—higher education and healthcare - that employs an institutional logics lens. We identify and categorize institutional logics arising in these two fields and ask how these field-level logics relate to each other and to societal-level ideal-type logics. We ask what roles ideologies play in mediating relations between the field-level logics and what are the mechanisms by which this happens. We find that, at the field level, societal logics can appear as field-level instantiations or merge to form hybrids. New field-level logics can also emerge, but often these are confused with ideologies, thus limiting the theory-building potential of the institutional logics approach. We identify and begin to resolve confusion between logics and ideologies, highlighting the role of ideologies in mediating the relationships between logics at the field level. We advocate for, and pave the way towards, a new research agenda enabled by a flatter ontology of institutional logics that sees a horizontal relationship between logics as well as a vertical relationship between logics and actors.","author":[{"dropping-particle":"","family":"Mountford","given":"Nicola","non-dropping-particle":"","parse-names":false,"suffix":""},{"dropping-particle":"","family":"Cai","given":"Yuzhuo","non-dropping-particle":"","parse-names":false,"suffix":""}],"container-title":"International Journal of Management Reviews","id":"ITEM-1","issue":"2","issued":{"date-parts":[["2023"]]},"page":"363-383","title":"Towards a flatter ontology of institutional logics: How logics relate in situations of institutional complexity","type":"article-journal","volume":"25"},"uris":["http://www.mendeley.com/documents/?uuid=6aa26381-65cf-4a9b-8d84-88e354dc01bc"]}],"mendeley":{"formattedCitation":"(Mountford &amp; Cai, 2023)","plainTextFormattedCitation":"(Mountford &amp; Cai, 2023)","previouslyFormattedCitation":"(Mountford &amp; Cai, 2023)"},"properties":{"noteIndex":0},"schema":"https://github.com/citation-style-language/schema/raw/master/csl-citation.json"}</w:instrText>
      </w:r>
      <w:r>
        <w:rPr>
          <w:rFonts w:cs="Calibri"/>
          <w:lang w:eastAsia="en-US"/>
        </w:rPr>
        <w:fldChar w:fldCharType="separate"/>
      </w:r>
      <w:r w:rsidR="00974B75" w:rsidRPr="00974B75">
        <w:rPr>
          <w:rFonts w:cs="Calibri"/>
          <w:noProof/>
          <w:lang w:eastAsia="en-US"/>
        </w:rPr>
        <w:t>(Mountford &amp; Cai, 2023)</w:t>
      </w:r>
      <w:r>
        <w:rPr>
          <w:rFonts w:cs="Calibri"/>
          <w:lang w:eastAsia="en-US"/>
        </w:rPr>
        <w:fldChar w:fldCharType="end"/>
      </w:r>
      <w:r>
        <w:rPr>
          <w:rFonts w:cs="Calibri"/>
          <w:lang w:eastAsia="en-US"/>
        </w:rPr>
        <w:t xml:space="preserve">. </w:t>
      </w:r>
      <w:bookmarkEnd w:id="109"/>
      <w:r>
        <w:rPr>
          <w:rFonts w:cs="Calibri"/>
          <w:lang w:eastAsia="en-US"/>
        </w:rPr>
        <w:t xml:space="preserve">Examining organisations within </w:t>
      </w:r>
      <w:r>
        <w:rPr>
          <w:rFonts w:cs="Calibri"/>
        </w:rPr>
        <w:t xml:space="preserve">an institutionally pluralistic environment creates the possibility of competing, contradictory, and/or co-existing logics, thereby creating </w:t>
      </w:r>
      <w:r>
        <w:rPr>
          <w:rFonts w:cs="Calibri"/>
          <w:i/>
          <w:iCs/>
        </w:rPr>
        <w:t>institutional complexity</w:t>
      </w:r>
      <w:r>
        <w:rPr>
          <w:rFonts w:cs="Calibri"/>
        </w:rPr>
        <w:t xml:space="preserve"> </w:t>
      </w:r>
      <w:r>
        <w:fldChar w:fldCharType="begin" w:fldLock="1"/>
      </w:r>
      <w:r w:rsidR="00D177B9">
        <w:rPr>
          <w:rFonts w:cs="Calibri"/>
        </w:rPr>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Process","type":"book"},"uris":["http://www.mendeley.com/documents/?uuid=7afe7588-cd0b-4a95-b78a-3214c1130169"]},{"id":"ITEM-2","itemData":{"DOI":"10.1177/017084069701800204","ISBN":"01708406","ISSN":"0170-8406","PMID":"9707225788","abstract":"The focus of this paper is to examine the responses to institutional isomorph ism in one area of the public sector — universities. As an example, one particu lar organizational practice is examined — performance appraisal — and its implications for one group of professionals — academics. In doing so, some of the sources of variation in responses to institutional pressures are illustrated and the strategies of resistance actors engage in to resist such pressures. It is suggested that the concept of institutional logic is an important element in influencing responses to isomorphism, providing a repertoire of beliefs with which to contest concepts of legitimacy.","author":[{"dropping-particle":"","family":"Townley","given":"Barbara","non-dropping-particle":"","parse-names":false,"suffix":""}],"container-title":"Organization Studies","id":"ITEM-2","issue":"2","issued":{"date-parts":[["1997"]]},"page":"261-285","title":"Logic of Performance Appraisal","type":"article-journal","volume":"18"},"uris":["http://www.mendeley.com/documents/?uuid=3956e178-7c7b-4649-90dd-0750fde9fde0"]},{"id":"ITEM-3","itemData":{"DOI":"10.1108/S0733-558X201600048A005","author":[{"dropping-particle":"","family":"Zilber","given":"Tammar B","non-dropping-particle":"","parse-names":false,"suffix":""}],"chapter-number":"5","container-title":"How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-3","issued":{"date-parts":[["2016"]]},"page":"137-155","publisher":"Emerald Group Publishing Limited","title":"How Institutional Logics Matter: A Bottom-Up Exploration","type":"chapter","volume":"48"},"uris":["http://www.mendeley.com/documents/?uuid=e4988de7-6965-4bc8-bedf-8392ba1d8d8c"]},{"id":"ITEM-4","itemData":{"DOI":"10.1108/S0733-558X201600048A001","author":[{"dropping-particle":"","family":"Glaser","given":"Vern L","non-dropping-particle":"","parse-names":false,"suffix":""},{"dropping-particle":"","family":"Fast","given":"Nathanael J","non-dropping-particle":"","parse-names":false,"suffix":""},{"dropping-particle":"","family":"Harmon","given":"Derek J","non-dropping-particle":"","parse-names":false,"suffix":""},{"dropping-particle":"","family":"Green","given":"Sandy E","non-dropping-particle":"","parse-names":false,"suffix":""}],"chapter-number":"2","container-title":"How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-4","issued":{"date-parts":[["2016"]]},"page":"35-70","publisher":"Emerald Group Publishing Limited","title":"Institutional Frame Switching: How Institutional Logics Shape Individual Action","type":"chapter","volume":"48A"},"uris":["http://www.mendeley.com/documents/?uuid=8ac9f37b-5be1-4297-bd70-0abc13a22de3"]},{"id":"ITEM-5","itemData":{"DOI":"10.1177/1476127015625040","author":[{"dropping-particle":"","family":"Ocasio","given":"William","non-dropping-particle":"","parse-names":false,"suffix":""},{"dropping-particle":"","family":"Radoynovska","given":"Nevena","non-dropping-particle":"","parse-names":false,"suffix":""}],"container-title":"Strategic Organization","id":"ITEM-5","issue":"4","issued":{"date-parts":[["2016"]]},"page":"287 - 309","title":"Strategy and commitments to institutional logics : Organizational heterogeneity in business models and governance","type":"article-journal","volume":"14"},"uris":["http://www.mendeley.com/documents/?uuid=eede86b6-3a39-4b52-acc9-94e8cc3fbd5e"]},{"id":"ITEM-6","itemData":{"DOI":"10.1177/0007650318789104","ISSN":"15524205","abstract":"Social innovations are urgently needed as we confront complex social problems. As these social problems feature substantial interdependencies among multiple systems and actors, developing and implementing innovative solutions involve the re-negotiating of settled institutions or the building of new ones. In this introductory article, we introduce a stylized three-cycle model highlighting the institutional nature of social innovation efforts. The model conceptualizes social innovation processes as the product of agentic, relational, and situated dynamics in three interrelated cycles that operate at the micro, meso, and macro levels of analysis. The five papers included in this special issue address one or more of these cycles. We draw on these papers and the model to stimulate and offer guidance to future conversations on social innovations from an institutional theory perspective.","author":[{"dropping-particle":"","family":"Wijk","given":"Jakomijn","non-dropping-particle":"van","parse-names":false,"suffix":""},{"dropping-particle":"","family":"Zietsma","given":"Charlene","non-dropping-particle":"","parse-names":false,"suffix":""},{"dropping-particle":"","family":"Dorado","given":"Silvia","non-dropping-particle":"","parse-names":false,"suffix":""},{"dropping-particle":"","family":"Bakker","given":"Frank G.A.","non-dropping-particle":"de","parse-names":false,"suffix":""},{"dropping-particle":"","family":"Martí","given":"Ignasi","non-dropping-particle":"","parse-names":false,"suffix":""}],"container-title":"Business and Society","id":"ITEM-6","issue":"5","issued":{"date-parts":[["2019"]]},"page":"887-918","title":"Social Innovation: Integrating Micro, Meso, and Macro Level Insights From Institutional Theory","type":"article-journal","volume":"58"},"uris":["http://www.mendeley.com/documents/?uuid=e7aea813-38d5-4cfc-809f-0f93b22a795c"]},{"id":"ITEM-7","itemData":{"DOI":"10.1111/soc4.12269","ISSN":"17519020","abstract":"The institutional logics perspective holds the promise of delivering where neo-institutionalist theory has disappointed - the ability to address key societal problems such as inequality, social discrimination, and economic insecurity - a promise that, as of yet, has been unrealized. In this review, I provide an overview of the body of work within the institutional logics perspective that addresses the co-existence of multiple institutional logics influencing identities, values, cognitive frameworks, and practices - institutional pluralism. I demonstrate how pluralism diverges from conventional neo-institutionalist theory in its view of institutional fields as heterogeneous spaces. I then review the implications for organizations and social actors responding to multiple logics in the institutional environment. In the discussion section, I argue that the study of pluralism, in acknowledging human agency, politics, and collective mobilization, opens the door for creative resolutions to societal problems hitherto overlooked in neo-institutional theory. Despite the promise, I address key research areas that remain unresolved or under-addressed in the institutional pluralism perspective.","author":[{"dropping-particle":"","family":"Yu","given":"Kyoung Hee","non-dropping-particle":"","parse-names":false,"suffix":""}],"container-title":"Sociology Compass","id":"ITEM-7","issue":"6","issued":{"date-parts":[["2015"]]},"page":"464-476","title":"Institutional Pluralism, Organizations, and Actors: A Review","type":"article-journal","volume":"9"},"uris":["http://www.mendeley.com/documents/?uuid=058e9d2a-fe79-4bc1-a00a-cbe69c5b928d"]}],"mendeley":{"formattedCitation":"(van Wijk et al., 2019; Glaser et al., 2016; Ocasio &amp; Radoynovska, 2016; Zilber, 2016; Yu, 2015; Thornton, Ocasio, &amp; Lounsbury, 2012; Townley, 1997)","plainTextFormattedCitation":"(van Wijk et al., 2019; Glaser et al., 2016; Ocasio &amp; Radoynovska, 2016; Zilber, 2016; Yu, 2015; Thornton, Ocasio, &amp; Lounsbury, 2012; Townley, 1997)","previouslyFormattedCitation":"(van Wijk et al., 2019; Glaser et al., 2016; Ocasio &amp; Radoynovska, 2016; Zilber, 2016; Yu, 2015; Thornton, Ocasio, &amp; Lounsbury, 2012; Townley, 1997)"},"properties":{"noteIndex":0},"schema":"https://github.com/citation-style-language/schema/raw/master/csl-citation.json"}</w:instrText>
      </w:r>
      <w:r>
        <w:rPr>
          <w:rFonts w:cs="Calibri"/>
        </w:rPr>
        <w:fldChar w:fldCharType="separate"/>
      </w:r>
      <w:r w:rsidR="00E37B0E" w:rsidRPr="00E37B0E">
        <w:rPr>
          <w:rFonts w:cs="Calibri"/>
          <w:noProof/>
        </w:rPr>
        <w:t>(van Wijk et al., 2019; Glaser et al., 2016; Ocasio &amp; Radoynovska, 2016; Zilber, 2016; Yu, 2015; Thornton, Ocasio, &amp; Lounsbury, 2012; Townley, 1997)</w:t>
      </w:r>
      <w:r>
        <w:rPr>
          <w:rFonts w:cs="Calibri"/>
        </w:rPr>
        <w:fldChar w:fldCharType="end"/>
      </w:r>
      <w:r>
        <w:rPr>
          <w:rFonts w:cs="Calibri"/>
        </w:rPr>
        <w:t>. There is a wealth of literature examining organisations within pluralistic environments including community based financial organisations</w:t>
      </w:r>
      <w:r w:rsidR="00291656">
        <w:rPr>
          <w:rFonts w:cs="Calibri"/>
        </w:rPr>
        <w:t>.</w:t>
      </w:r>
      <w:r>
        <w:rPr>
          <w:rFonts w:cs="Calibri"/>
        </w:rPr>
        <w:t xml:space="preserve"> </w:t>
      </w:r>
      <w:r w:rsidR="00291656">
        <w:rPr>
          <w:rFonts w:cs="Calibri"/>
        </w:rPr>
        <w:t>For instance, chambers</w:t>
      </w:r>
      <w:r>
        <w:rPr>
          <w:rFonts w:cs="Calibri"/>
        </w:rPr>
        <w:t xml:space="preserve"> of commerce and cooperative banks, which have both community and market logics </w:t>
      </w:r>
      <w:r>
        <w:fldChar w:fldCharType="begin" w:fldLock="1"/>
      </w:r>
      <w:r w:rsidR="00974B75">
        <w:rPr>
          <w:rFonts w:cs="Calibri"/>
        </w:rPr>
        <w:instrText>ADDIN CSL_CITATION {"citationItems":[{"id":"ITEM-1","itemData":{"DOI":"10.1016/j.bar.2021.101041","ISSN":"10958347","abstract":"This paper provides a theoretically informed analysis of how institutional pluralism unfolds in hybrid organizations through practices. Building on Quattrone's (2015) procedural model, the paper studies institutional plurality in the case of an Italian cooperative bank that has experienced enduring success. By reversing the usual approach to logic, defined as a stable set of beliefs, this paper shows that this hybrid organization uses a recursive system of practices in search of social order. This hybrid organization interrogates its organizational imperatives and defines adequate ways to achieve them. This paper then observes that this system of practices is permeable to external pressures, i.e., inspections by the central bank, a reform of cooperative banks, political pressure for mergers and acquisitions, and Italy's sovereign debt crisis. While such an organization appears to be ongoingly accountable to its multiple stakeholders, external pressures undermine its community accountability system and push this hybrid organization towards compliance accountability. Based on our findings, this paper develops a process model for hybrid organizations to navigate institutional plurality and to explain the potential limitations of the accountability system.","author":[{"dropping-particle":"","family":"Ghio","given":"Alessandro","non-dropping-particle":"","parse-names":false,"suffix":""},{"dropping-particle":"","family":"Verona","given":"Roberto","non-dropping-particle":"","parse-names":false,"suffix":""}],"container-title":"British Accounting Review","id":"ITEM-1","issue":"4","issued":{"date-parts":[["2022"]]},"page":"1 - 17","publisher":"Elsevier Ltd","title":"Unfolding institutional plurality in hybrid organizations through practices: The case of a cooperative bank","type":"article-journal","volume":"54"},"uris":["http://www.mendeley.com/documents/?uuid=d093f7c9-07af-48c5-b2fc-27be690d3319"]},{"id":"ITEM-2","itemData":{"DOI":"http://dx.doi.org/10.1108/09564230910978511","ISBN":"0263557001030","ISSN":"0264-0473","PMID":"42012058","abstract":"Purpose – The institutional work literature has paid little attention to cognition and interests in the creation, maintenance, and disruption of institutions. The purpose of this paper is to explore the construct of interests as it relates to institutional work projects. The authors frame interests as recognitions situated within broader institutional meaning systems, with a specific focus on interest plurality. Design/methodology/approach – The authors conducted an 18-month ethnography exploring institutional work projects within a rural chamber of commerce. The authors aimed to understand how projects contributed to community survival on a micro-level and institutional change on a macro-level. Rural chambers of commerce represent a unique example of emergent public-private partnerships, challenging traditional commercial logics of chambers of commerce. The research design included qualitative data collection, coding, and analysis of field notes, interviews, and archival sources. Findings – Purposive action was grounded in the community inhabited by the rural chamber of commerce and not the institution itself. Recognized interests enabled nontraditional workers – public employees with newly founded and legitimate roles within the chamber – to pursue community- focussed projects. Change across the institution of chambers of commerce occurred because of the separated and aggregate projects spanning across rural communities. Originality/value – Recognized interests are a social, plural, and malleable phenomenon supporting situated agency and the co-creation activities embodied in institutional work projects. The authors contribute to the institutional work literature by introducing the idea of interest plurality and illustrating how the work of rural chambers of commerce captures contemporary forms of community organizing. Keywords Institutional work, Ethnography, Interests, Organizational change, Chamber of commerce, Plurality Paper type Research paper","author":[{"dropping-particle":"","family":"Crawford","given":"Brett","non-dropping-particle":"","parse-names":false,"suffix":""},{"dropping-particle":"","family":"Branch","given":"John","non-dropping-particle":"","parse-names":false,"suffix":""}],"container-title":"Journal of Organizational Ethnography","id":"ITEM-2","issue":"1","issued":{"date-parts":[["2015"]]},"page":"98 - 116","title":"Interest plurality and institutional work: An ethnography of rural community organizing","type":"article-journal","volume":"4"},"uris":["http://www.mendeley.com/documents/?uuid=85adcd74-d347-48ed-907b-5c36d6c9670a"]}],"mendeley":{"formattedCitation":"(Ghio &amp; Verona, 2022; Crawford &amp; Branch, 2015)","plainTextFormattedCitation":"(Ghio &amp; Verona, 2022; Crawford &amp; Branch, 2015)","previouslyFormattedCitation":"(Ghio &amp; Verona, 2022; Crawford &amp; Branch, 2015)"},"properties":{"noteIndex":0},"schema":"https://github.com/citation-style-language/schema/raw/master/csl-citation.json"}</w:instrText>
      </w:r>
      <w:r>
        <w:rPr>
          <w:rFonts w:cs="Calibri"/>
        </w:rPr>
        <w:fldChar w:fldCharType="separate"/>
      </w:r>
      <w:r>
        <w:rPr>
          <w:rFonts w:cs="Calibri"/>
          <w:noProof/>
          <w:lang w:eastAsia="en-US"/>
        </w:rPr>
        <w:t>(Ghio &amp; Verona, 2022; Crawford &amp; Branch, 2015)</w:t>
      </w:r>
      <w:r>
        <w:rPr>
          <w:rFonts w:cs="Calibri"/>
        </w:rPr>
        <w:fldChar w:fldCharType="end"/>
      </w:r>
      <w:r>
        <w:rPr>
          <w:rFonts w:cs="Calibri"/>
          <w:lang w:eastAsia="en-US"/>
        </w:rPr>
        <w:t xml:space="preserve">, or international organisations which manage differing cultural logics in different countries </w:t>
      </w:r>
      <w:r>
        <w:fldChar w:fldCharType="begin" w:fldLock="1"/>
      </w:r>
      <w:r>
        <w:rPr>
          <w:rFonts w:cs="Calibri"/>
          <w:lang w:eastAsia="en-US"/>
        </w:rPr>
        <w:instrText>ADDIN CSL_CITATION {"citationItems":[{"id":"ITEM-1","itemData":{"DOI":"10.1016/j.jwb.2022.101326","ISSN":"10909516","abstract":"We discuss how environmental and pandemic crises in combination with digitization are presenting the multinational enterprise (MNE) with increasing geopolitical, organizational, and market tensions. Institutional pluralism is creating a more complex global environment. The organization of productive work is shifting, which challenges how MNEs structure and coordinate their activities. Changing consumer and investor expectations are broadening the understanding of value creation with implications for business models. We contend that the tensions invite MNEs to reconsider how they frame, formalize, and realize corporate purpose. We close with a research agenda that recognizes the need for MNEs to become purpose-driven actors.","author":[{"dropping-particle":"","family":"George","given":"Gerard","non-dropping-particle":"","parse-names":false,"suffix":""},{"dropping-particle":"","family":"Schillebeeckx","given":"Simon J.D.","non-dropping-particle":"","parse-names":false,"suffix":""}],"container-title":"Journal of World Business","id":"ITEM-1","issue":"3","issued":{"date-parts":[["2022"]]},"page":"101326","publisher":"Elsevier Inc.","title":"Digital transformation, sustainability, and purpose in the multinational enterprise","type":"article-journal","volume":"57"},"uris":["http://www.mendeley.com/documents/?uuid=786190ff-2216-4c8c-8c8d-667a5e6fe1c3"]}],"mendeley":{"formattedCitation":"(George &amp; Schillebeeckx, 2022)","plainTextFormattedCitation":"(George &amp; Schillebeeckx, 2022)","previouslyFormattedCitation":"(George &amp; Schillebeeckx, 2022)"},"properties":{"noteIndex":0},"schema":"https://github.com/citation-style-language/schema/raw/master/csl-citation.json"}</w:instrText>
      </w:r>
      <w:r>
        <w:rPr>
          <w:rFonts w:cs="Calibri"/>
          <w:lang w:eastAsia="en-US"/>
        </w:rPr>
        <w:fldChar w:fldCharType="separate"/>
      </w:r>
      <w:r>
        <w:rPr>
          <w:rFonts w:cs="Calibri"/>
          <w:noProof/>
          <w:lang w:eastAsia="en-US"/>
        </w:rPr>
        <w:t>(George &amp; Schillebeeckx, 2022)</w:t>
      </w:r>
      <w:r>
        <w:rPr>
          <w:rFonts w:cs="Calibri"/>
          <w:lang w:eastAsia="en-US"/>
        </w:rPr>
        <w:fldChar w:fldCharType="end"/>
      </w:r>
      <w:r>
        <w:rPr>
          <w:rFonts w:cs="Calibri"/>
          <w:lang w:eastAsia="en-US"/>
        </w:rPr>
        <w:t xml:space="preserve">. There has been research </w:t>
      </w:r>
      <w:r>
        <w:rPr>
          <w:rFonts w:cs="Calibri"/>
          <w:lang w:eastAsia="en-US"/>
        </w:rPr>
        <w:lastRenderedPageBreak/>
        <w:t>examining the role of multiple institutional drivers in public sector organisations</w:t>
      </w:r>
      <w:r w:rsidR="00291656">
        <w:rPr>
          <w:rFonts w:cs="Calibri"/>
          <w:lang w:eastAsia="en-US"/>
        </w:rPr>
        <w:t>.</w:t>
      </w:r>
      <w:r>
        <w:rPr>
          <w:rFonts w:cs="Calibri"/>
          <w:lang w:eastAsia="en-US"/>
        </w:rPr>
        <w:t xml:space="preserve"> </w:t>
      </w:r>
      <w:r w:rsidR="00291656">
        <w:rPr>
          <w:rFonts w:cs="Calibri"/>
          <w:lang w:eastAsia="en-US"/>
        </w:rPr>
        <w:t>This includes:</w:t>
      </w:r>
      <w:r>
        <w:rPr>
          <w:rFonts w:cs="Calibri"/>
          <w:lang w:eastAsia="en-US"/>
        </w:rPr>
        <w:t xml:space="preserve"> </w:t>
      </w:r>
      <w:r>
        <w:rPr>
          <w:rFonts w:cs="Calibri"/>
        </w:rPr>
        <w:t>health care organisations, which balance professional logics with managerial and market logics due to new public management (discussed in section 2.</w:t>
      </w:r>
      <w:r w:rsidR="00116194">
        <w:rPr>
          <w:rFonts w:cs="Calibri"/>
        </w:rPr>
        <w:t>6.2</w:t>
      </w:r>
      <w:r>
        <w:rPr>
          <w:rFonts w:cs="Calibri"/>
        </w:rPr>
        <w:t xml:space="preserve">) </w:t>
      </w:r>
      <w:r>
        <w:fldChar w:fldCharType="begin" w:fldLock="1"/>
      </w:r>
      <w:r w:rsidR="00974B75">
        <w:rPr>
          <w:rFonts w:cs="Calibri"/>
        </w:rPr>
        <w:instrText>ADDIN CSL_CITATION {"citationItems":[{"id":"ITEM-1","itemData":{"DOI":"10.1017/dmp.2022.13","ISSN":"1938744X","PMID":"35264273","abstract":"Objective: Health-Care Coalitions (HCCs) provide an important emergency response safety net function across the United States in preparedness and responses to disasters. A key challenge is the variation in the maturity and operational readiness of HCCs. The purpose of this study was to identify key tenets that define high-functioning HCCs and help mature HCCs into a higher-functioning state of operations. Methods: This was a qualitative study based on grounded theory methodology using semi-structured interviews for data collection and thematic analysis. Participants were stakeholders (n = 39) of HCCs from across the United States at local, state, and federal levels. Results: Through an institutional logics lens, the 3 key attributes for high functioning-HCCs were identified as (1) having an established and growing partnership, (2) being value-driven culture, and (3) being response ready. In addition, 3 logics were deemed essential for guiding HCCs: sources of governance, sources of partner engagement, and sources of sustainability. Participant responses describe the importance of these attributes and logics in influencing decision-making processes, supporting a community's resilience during a disaster, and fostering robust relationships among community partners. Conclusions: Addressing these attributes and logics in planning and management of HCCs can help establish the foundation for partner collaborations and high-functioning HCCs.","author":[{"dropping-particle":"","family":"Koch","given":"Angelica E.","non-dropping-particle":"","parse-names":false,"suffix":""},{"dropping-particle":"","family":"Bohn","given":"Joseph","non-dropping-particle":"","parse-names":false,"suffix":""},{"dropping-particle":"","family":"Corvin","given":"Jaime A.","non-dropping-particle":"","parse-names":false,"suffix":""},{"dropping-particle":"","family":"Seaberg","given":"Judy","non-dropping-particle":"","parse-names":false,"suffix":""}],"container-title":"Disaster Medicine and Public Health Preparedness","id":"ITEM-1","issued":{"date-parts":[["2023"]]},"page":"1-9","title":"Maturing Into High-Functioning Health-Care Coalitions: A Qualitative Nationwide Study of Emergency Preparedness and Response Leadership","type":"article-journal","volume":"17"},"uris":["http://www.mendeley.com/documents/?uuid=c2e589ee-ab47-4549-a347-2173120895df"]},{"id":"ITEM-2","itemData":{"DOI":"10.1111/faam.12372","ISSN":"14680408","abstract":"Performance management in the public sector is both multifaceted and convoluted. This is particularly pertinent in hospitals, which are complex institutional organizations. Our paper explores the key drivers compelling Irish public acute-care hospitals to monitor their performance. The context of our study is located against the unique historical backdrop of the Irish health service, whose evolution over time reflects religious control, underfunding by the State and reliance on a decentralized structure up until the early 2000s. This study was conducted during 2009–2010, in the aftermath of the financial crisis of 2008–2009. Interviews were conducted with members of the hospital executive management team, comprising clinical and nonclinical senior managers, using the framework of Kelly et al. (2015) to explore and analyze respondent perspectives. We propose that a combination of key forces, emanating from new public management, the institutional environment, and its constituent elements spurs hospitals to monitor their performance. The confluence of these forces reveals a perceived change in the institutional logic underpinning hospital performance management. This change involved the substitution of autonomous clinical decision-making for a more team-based managerial logic whereby clinicians engaged as part of a multidisciplinary executive unit and accepted responsibility for hospital performance. This paper contributes to the literature on performance management in public services and, more specifically, builds on and addresses the paucity of research on Irish acute-care hospitals.","author":[{"dropping-particle":"","family":"Kelly","given":"Rosemarie","non-dropping-particle":"","parse-names":false,"suffix":""},{"dropping-particle":"","family":"O'Donohoe","given":"Sheila","non-dropping-particle":"","parse-names":false,"suffix":""},{"dropping-particle":"","family":"Doyle","given":"Gerardine","non-dropping-particle":"","parse-names":false,"suffix":""}],"container-title":"Financial Accountability and Management","id":"ITEM-2","issue":"3","issued":{"date-parts":[["2023"]]},"page":"616-635","title":"Key forces compelling the monitoring of hospital performance: An exploratory study","type":"article-journal","volume":"39"},"uris":["http://www.mendeley.com/documents/?uuid=d556bee7-b05d-424d-aa6f-2efc32db61d4"]},{"id":"ITEM-3","itemData":{"DOI":"10.1177/0170840615604503","ISSN":"17413044","abstract":"Our study examines how interdependent actors in a professionalized context interpret the co-occurrence of a professional logic and a policy-driven logic. The empirical setting comprises two hospitals in the English National Health Service. Two issues stand out. First, our study shows that any logic is variegated and ambiguous, so policymakers and organizational managers cannot assume that they are easily blended. Second, it shows how nurse consultants exhibit agency in blending these two logics in pursuit of positional gain in professional and managerial organization. They can do so because of their ambiguous status level: in comparison to doctors, their status as nurses is low; within the nursing profession their status is high. Theoretically, by focusing upon interpretation of multiple institutional logics at the micro level, our study renders visible the agency of interpreting actors, interdependency of actors, their interpretation of institutional logics, situational context, and the effect of, and upon, social position of actors.","author":[{"dropping-particle":"","family":"Currie","given":"Graeme","non-dropping-particle":"","parse-names":false,"suffix":""},{"dropping-particle":"","family":"Spyridonidis","given":"Dimitrios","non-dropping-particle":"","parse-names":false,"suffix":""}],"container-title":"Organization Studies","id":"ITEM-3","issue":"1","issued":{"date-parts":[["2016"]]},"page":"77-97","title":"Interpretation of Multiple Institutional Logics on the Ground: Actors’ Position, their Agency and Situational Constraints in Professionalized Contexts","type":"article-journal","volume":"37"},"uris":["http://www.mendeley.com/documents/?uuid=be657142-d26b-4dc5-bf61-aff1e8d069fa"]},{"id":"ITEM-4","itemData":{"DOI":"10.1080/10967494.2019.1588811","ISSN":"10967494","abstract":"While the claim that Public Service Motivation (PSM) has a positive effect on ethical judgment is well-established in the literature, this link is less clear for external sources of motivation. Little is known about how these two types of motivation can be influenced to boost ethical judgment. This article addresses these two shortcomings, studying the effects of PSM and external motivation on the judgment of unethical actions, and the process of assumption of institutional logics by individuals with more basic needs satisfaction. The empirical analysis applies full structural equation modeling, testing the hypotheses on a sample of 574 case managers working on a program that integrates health and social services in Catalonia (Spain). The results illustrate the distinct relation of PSM and external motivations with the judgment of unethical acts. They also indicate that the satisfaction of basic psychological needs indirectly reduces the acceptance of unethical acts. However, this indirect effect only happens through PSM. These findings have important implications for academic research and for the prevention of the development of mild judgments of unethical behavior in the workplace.","author":[{"dropping-particle":"","family":"Ripoll","given":"Guillem","non-dropping-particle":"","parse-names":false,"suffix":""},{"dropping-particle":"","family":"Ballart","given":"Xavier","non-dropping-particle":"","parse-names":false,"suffix":""}],"container-title":"International Public Management Journal","id":"ITEM-4","issue":"5","issued":{"date-parts":[["2020"]]},"page":"631-649","title":"Judging unethical behavior: the different effects of external and public service motivation","type":"article-journal","volume":"23"},"uris":["http://www.mendeley.com/documents/?uuid=359e9cd9-bdc9-4a15-bfe2-e57287d6e47b"]}],"mendeley":{"formattedCitation":"(Kelly, O’Donohoe, &amp; Doyle, 2023; Koch et al., 2023; Ripoll &amp; Ballart, 2020; Currie &amp; Spyridonidis, 2016)","plainTextFormattedCitation":"(Kelly, O’Donohoe, &amp; Doyle, 2023; Koch et al., 2023; Ripoll &amp; Ballart, 2020; Currie &amp; Spyridonidis, 2016)","previouslyFormattedCitation":"(Kelly, O’Donohoe, &amp; Doyle, 2023; Koch et al., 2023; Ripoll &amp; Ballart, 2020; Currie &amp; Spyridonidis, 2016)"},"properties":{"noteIndex":0},"schema":"https://github.com/citation-style-language/schema/raw/master/csl-citation.json"}</w:instrText>
      </w:r>
      <w:r>
        <w:rPr>
          <w:rFonts w:cs="Calibri"/>
        </w:rPr>
        <w:fldChar w:fldCharType="separate"/>
      </w:r>
      <w:r>
        <w:rPr>
          <w:rFonts w:cs="Calibri"/>
          <w:noProof/>
        </w:rPr>
        <w:t>(Kelly, O’Donohoe, &amp; Doyle, 2023; Koch et al., 2023; Ripoll &amp; Ballart, 2020; Currie &amp; Spyridonidis, 2016)</w:t>
      </w:r>
      <w:r>
        <w:rPr>
          <w:rFonts w:cs="Calibri"/>
        </w:rPr>
        <w:fldChar w:fldCharType="end"/>
      </w:r>
      <w:r w:rsidR="00291656">
        <w:rPr>
          <w:rFonts w:cs="Calibri"/>
        </w:rPr>
        <w:t>;</w:t>
      </w:r>
      <w:r>
        <w:rPr>
          <w:rFonts w:cs="Calibri"/>
        </w:rPr>
        <w:t xml:space="preserve"> </w:t>
      </w:r>
      <w:r>
        <w:rPr>
          <w:rFonts w:cs="Calibri"/>
          <w:lang w:eastAsia="en-US"/>
        </w:rPr>
        <w:t xml:space="preserve">e-participation in local government in Germany </w:t>
      </w:r>
      <w:r>
        <w:fldChar w:fldCharType="begin" w:fldLock="1"/>
      </w:r>
      <w:r>
        <w:rPr>
          <w:rFonts w:cs="Calibri"/>
          <w:lang w:eastAsia="en-US"/>
        </w:rPr>
        <w:instrText>ADDIN CSL_CITATION {"citationItems":[{"id":"ITEM-1","itemData":{"DOI":"10.3233/IP-170037","ISSN":"18758754","abstract":"Local public administrations around the world are facing the challenge of introducing e-participation, but the cultural and institutional aspects of the e-participation innovation process have not been researched extensively. This dearth in research can inhibit our understanding of how and why e-participation succeeds, fails or develops in certain contexts. Thus, we apply two concepts from organizational institutionalism to determine how e-participation in local public administrations is influenced by and influences the organizational and institutional context. Institutional logics help us to describe and analyze the complex institutional context, and institutional work assists in focusing agency aimed at but also embedded in this institutional context. The research, which includes results of a multiple case study of three local German public administrations, finds that three role identities in regard to e-participation can be distinguished: entrepreneurs, pragmatists, and skeptics. These identities develop in relation to administrators' positions in e-participation processes and evolve as actors engage strategically in the innovation process through institutional work on e-participation practices at the individual, project, and organizational level. We thereby generate insights into the specific perspective of central actors in the e-participation innovation process (i.e. administrators).","author":[{"dropping-particle":"","family":"Steinbach","given":"Malte","non-dropping-particle":"","parse-names":false,"suffix":""},{"dropping-particle":"","family":"Süß","given":"Stefan","non-dropping-particle":"","parse-names":false,"suffix":""}],"container-title":"Information Polity","id":"ITEM-1","issue":"3","issued":{"date-parts":[["2018"]]},"page":"281-305","title":"Administrators' identities and strategies in the e-participation innovation process: A qualitative analysis of institutional logics and institutional work in German municipalities","type":"article-journal","volume":"23"},"uris":["http://www.mendeley.com/documents/?uuid=81ff6b4c-98c4-45d7-8826-9cce2b6a22e8"]}],"mendeley":{"formattedCitation":"(Steinbach &amp; Süß, 2018)","plainTextFormattedCitation":"(Steinbach &amp; Süß, 2018)","previouslyFormattedCitation":"(Steinbach &amp; Süß, 2018)"},"properties":{"noteIndex":0},"schema":"https://github.com/citation-style-language/schema/raw/master/csl-citation.json"}</w:instrText>
      </w:r>
      <w:r>
        <w:rPr>
          <w:rFonts w:cs="Calibri"/>
          <w:lang w:eastAsia="en-US"/>
        </w:rPr>
        <w:fldChar w:fldCharType="separate"/>
      </w:r>
      <w:r>
        <w:rPr>
          <w:rFonts w:cs="Calibri"/>
          <w:noProof/>
          <w:lang w:eastAsia="en-US"/>
        </w:rPr>
        <w:t>(Steinbach &amp; Süß, 2018)</w:t>
      </w:r>
      <w:r>
        <w:rPr>
          <w:rFonts w:cs="Calibri"/>
          <w:lang w:eastAsia="en-US"/>
        </w:rPr>
        <w:fldChar w:fldCharType="end"/>
      </w:r>
      <w:r w:rsidR="00291656">
        <w:rPr>
          <w:rFonts w:cs="Calibri"/>
          <w:lang w:eastAsia="en-US"/>
        </w:rPr>
        <w:t>;</w:t>
      </w:r>
      <w:r>
        <w:rPr>
          <w:rFonts w:cs="Calibri"/>
          <w:lang w:eastAsia="en-US"/>
        </w:rPr>
        <w:t xml:space="preserve"> Street Level Bureaucrats (SLB) (teachers, judges and other people facing public sector roles) in Norway </w:t>
      </w:r>
      <w:r>
        <w:fldChar w:fldCharType="begin" w:fldLock="1"/>
      </w:r>
      <w:r>
        <w:rPr>
          <w:rFonts w:cs="Calibri"/>
          <w:lang w:eastAsia="en-US"/>
        </w:rPr>
        <w:instrText>ADDIN CSL_CITATION {"citationItems":[{"id":"ITEM-1","itemData":{"DOI":"10.1016/j.giq.2018.09.003","ISSN":"0740624X","abstract":"Public service workers exercise discretionary power during policy implementation. Due to an immense diffusion of information and communications technology (ICT) in public service provision, they are increasingly exposed to reforms aiming at more efficient and fair decision-making. Whereas extant literature has found that ICT can both enable and constrain public service workers' ability to exercise discretion, we know less about underlying explanations for these inconclusive findings. This paper addresses this research gap by exploring how and why public service workers react to digitized discretionary practices. We draw upon institutional logics to show the underlying considerations of public service workers when they are faced with multiple conflicting demands from market-oriented goals of digitization and professional norms. To identify their reactions and underlying considerations, we have conducted a multiple case analysis of two Norwegian organizations; a district court and a tax administration office. We conclude that public service workers are positive to digitization when it promotes professional aspects of their work and that professional discretion is considered necessary to accomplish tasks of greater complexity.","author":[{"dropping-particle":"","family":"Busch","given":"Peter André","non-dropping-particle":"","parse-names":false,"suffix":""},{"dropping-particle":"","family":"Henriksen","given":"Helle Zinner","non-dropping-particle":"","parse-names":false,"suffix":""},{"dropping-particle":"","family":"Sæbø","given":"Øystein","non-dropping-particle":"","parse-names":false,"suffix":""}],"container-title":"Government Information Quarterly","id":"ITEM-1","issue":"4","issued":{"date-parts":[["2018"]]},"page":"547-556","title":"Opportunities and challenges of digitized discretionary practices: a public service worker perspective","type":"article-journal","volume":"35"},"uris":["http://www.mendeley.com/documents/?uuid=a8db8d0e-13f6-4808-95a9-ee4ec1563a8e"]}],"mendeley":{"formattedCitation":"(Busch, Henriksen, &amp; Sæbø, 2018)","plainTextFormattedCitation":"(Busch, Henriksen, &amp; Sæbø, 2018)","previouslyFormattedCitation":"(Busch, Henriksen, &amp; Sæbø, 2018)"},"properties":{"noteIndex":0},"schema":"https://github.com/citation-style-language/schema/raw/master/csl-citation.json"}</w:instrText>
      </w:r>
      <w:r>
        <w:rPr>
          <w:rFonts w:cs="Calibri"/>
          <w:lang w:eastAsia="en-US"/>
        </w:rPr>
        <w:fldChar w:fldCharType="separate"/>
      </w:r>
      <w:r>
        <w:rPr>
          <w:rFonts w:cs="Calibri"/>
          <w:noProof/>
          <w:lang w:eastAsia="en-US"/>
        </w:rPr>
        <w:t>(Busch, Henriksen, &amp; Sæbø, 2018)</w:t>
      </w:r>
      <w:r>
        <w:rPr>
          <w:rFonts w:cs="Calibri"/>
          <w:lang w:eastAsia="en-US"/>
        </w:rPr>
        <w:fldChar w:fldCharType="end"/>
      </w:r>
      <w:r w:rsidR="00291656">
        <w:rPr>
          <w:rFonts w:cs="Calibri"/>
          <w:lang w:eastAsia="en-US"/>
        </w:rPr>
        <w:t>;</w:t>
      </w:r>
      <w:r>
        <w:rPr>
          <w:rFonts w:cs="Calibri"/>
          <w:lang w:eastAsia="en-US"/>
        </w:rPr>
        <w:t xml:space="preserve"> and public sector finance </w:t>
      </w:r>
      <w:r>
        <w:fldChar w:fldCharType="begin" w:fldLock="1"/>
      </w:r>
      <w:r w:rsidR="00974B75">
        <w:rPr>
          <w:rFonts w:cs="Calibri"/>
          <w:lang w:eastAsia="en-US"/>
        </w:rPr>
        <w:instrText>ADDIN CSL_CITATION {"citationItems":[{"id":"ITEM-1","itemData":{"DOI":"10.1016/j.bar.2020.100919","ISSN":"10958347","abstract":"This paper reports on a field study of how a range of inter-institutional and inter-organisational forces shape the evolving rhetoric and practice of multiple accountabilities in public services. Drawing on the institutional logics perspective, we carried out a qualitative field study in the Australian Commonwealth Public Service involving semi-structured interviews, two focus group discussions, and the examination of internal accounting, management reports, and government archival records. The findings suggest that emphasis on conventional instrumental mechanisms and reporting tools, such as budgeting and accrual-based reporting, support managerial (instrumental) accountability through compliance logics. We conclude that an emphasis on public (relational) accountability through public dialogue is central to the public sector accountability debate, and that more attention needs to be paid to the question of how to balance the dual logics (instrumental and relational) in public services. The findings provide practical insights for public sector managers, policymakers and governments responsible for designing and implementing reforms, accounting tools, and accountability practices.","author":[{"dropping-particle":"","family":"Rana","given":"Tarek","non-dropping-particle":"","parse-names":false,"suffix":""},{"dropping-particle":"","family":"Hoque","given":"Zahirul","non-dropping-particle":"","parse-names":false,"suffix":""}],"container-title":"British Accounting Review","id":"ITEM-1","issue":"4","issued":{"date-parts":[["2020"]]},"page":"1 - 14","title":"Institutionalising multiple accountability logics in public services: Insights from Australia","type":"article-journal","volume":"52"},"uris":["http://www.mendeley.com/documents/?uuid=c6f50d5e-e239-45f1-b4da-a8edaad8be8b"]},{"id":"ITEM-2","itemData":{"DOI":"10.1080/01559982.2022.2133339","ISSN":"14676303","abstract":"This paper explores the United Kingdom’s (UK) attempt to reconcile fiscal reporting logics through its Clear Line of Sight Alignment Project (CLOS). Drawing on archival data, together with semi-structured interviews with representatives involved in the implementation of CLOS, the findings indicate that what started as a means of resolving the tensions between logics, CLOS has exacerbated some existing ones and exposed others. This is largely due to the influence of the professional logic, primarily the UK’s adherence to International Financial Reporting Standards which prevents fiscal reporting being fully aligned. Furthermore, our research illustrates how the UK government has resisted elements of both the professional and national logics to create a system designed to rationalise the fiscal reporting maze. The findings also show that operationally CLOS has (to an extent) aligned the timing, coverage and classification of the fiscal reporting process to present the flow of expenditure from budgeted to approved, to outturn, thereby contributing to the wider agenda of improving the planning, management and control of public expenditure. Given continued calls to align global fiscal reporting practices, this paper informs public policy makers of the (potential) linkages between systems, the obstacles that can be encountered and the incentives for adopting it.","author":[{"dropping-particle":"","family":"Stewart","given":"Elaine","non-dropping-particle":"","parse-names":false,"suffix":""},{"dropping-particle":"","family":"Connolly","given":"Ciaran","non-dropping-particle":"","parse-names":false,"suffix":""}],"container-title":"Accounting Forum","id":"ITEM-2","issued":{"date-parts":[["2022"]]},"page":"1 - 25","title":"UK public sector fiscal reporting: clear and contradictory","type":"article-journal"},"uris":["http://www.mendeley.com/documents/?uuid=758876e3-36e8-471d-8d3d-3461df951b35"]}],"mendeley":{"formattedCitation":"(Stewart &amp; Connolly, 2022; Rana &amp; Hoque, 2020)","plainTextFormattedCitation":"(Stewart &amp; Connolly, 2022; Rana &amp; Hoque, 2020)","previouslyFormattedCitation":"(Stewart &amp; Connolly, 2022; Rana &amp; Hoque, 2020)"},"properties":{"noteIndex":0},"schema":"https://github.com/citation-style-language/schema/raw/master/csl-citation.json"}</w:instrText>
      </w:r>
      <w:r>
        <w:rPr>
          <w:rFonts w:cs="Calibri"/>
          <w:lang w:eastAsia="en-US"/>
        </w:rPr>
        <w:fldChar w:fldCharType="separate"/>
      </w:r>
      <w:r>
        <w:rPr>
          <w:rFonts w:cs="Calibri"/>
          <w:noProof/>
          <w:lang w:eastAsia="en-US"/>
        </w:rPr>
        <w:t>(Stewart &amp; Connolly, 2022; Rana &amp; Hoque, 2020)</w:t>
      </w:r>
      <w:r>
        <w:rPr>
          <w:rFonts w:cs="Calibri"/>
          <w:lang w:eastAsia="en-US"/>
        </w:rPr>
        <w:fldChar w:fldCharType="end"/>
      </w:r>
      <w:r>
        <w:rPr>
          <w:rFonts w:cs="Calibri"/>
          <w:lang w:eastAsia="en-US"/>
        </w:rPr>
        <w:t>.</w:t>
      </w:r>
    </w:p>
    <w:p w14:paraId="74F66274" w14:textId="77777777" w:rsidR="00787F73" w:rsidRDefault="00787F73" w:rsidP="00866155">
      <w:pPr>
        <w:rPr>
          <w:rFonts w:cs="Calibri"/>
          <w:lang w:eastAsia="en-US"/>
        </w:rPr>
      </w:pPr>
    </w:p>
    <w:p w14:paraId="2B2BEAF6" w14:textId="223F3CDE" w:rsidR="00787F73" w:rsidRDefault="00742FB7" w:rsidP="00866155">
      <w:r>
        <w:rPr>
          <w:rFonts w:cs="Calibri"/>
          <w:lang w:eastAsia="en-US"/>
        </w:rPr>
        <w:t>Within the institutional theory literature</w:t>
      </w:r>
      <w:r w:rsidR="00291656">
        <w:rPr>
          <w:rFonts w:cs="Calibri"/>
          <w:lang w:eastAsia="en-US"/>
        </w:rPr>
        <w:t>,</w:t>
      </w:r>
      <w:r>
        <w:rPr>
          <w:rFonts w:cs="Calibri"/>
          <w:lang w:eastAsia="en-US"/>
        </w:rPr>
        <w:t xml:space="preserve"> there has been one study on a FRS organisation, which examined the role of transformational governance within the </w:t>
      </w:r>
      <w:r>
        <w:t>Fire management</w:t>
      </w:r>
      <w:r>
        <w:rPr>
          <w:rFonts w:cs="Calibri"/>
          <w:lang w:eastAsia="en-US"/>
        </w:rPr>
        <w:t xml:space="preserve"> sector in Victoria, Australia</w:t>
      </w:r>
      <w:r w:rsidR="00291656">
        <w:rPr>
          <w:rFonts w:cs="Calibri"/>
          <w:lang w:eastAsia="en-US"/>
        </w:rPr>
        <w:t>. It</w:t>
      </w:r>
      <w:r>
        <w:rPr>
          <w:rFonts w:cs="Calibri"/>
          <w:lang w:eastAsia="en-US"/>
        </w:rPr>
        <w:t xml:space="preserve"> report</w:t>
      </w:r>
      <w:r w:rsidR="00291656">
        <w:rPr>
          <w:rFonts w:cs="Calibri"/>
          <w:lang w:eastAsia="en-US"/>
        </w:rPr>
        <w:t>ed</w:t>
      </w:r>
      <w:r>
        <w:rPr>
          <w:rFonts w:cs="Calibri"/>
          <w:lang w:eastAsia="en-US"/>
        </w:rPr>
        <w:t xml:space="preserve"> that the multiple institutional logics were constraining the potential for transformative governance </w:t>
      </w:r>
      <w:r>
        <w:fldChar w:fldCharType="begin" w:fldLock="1"/>
      </w:r>
      <w:r>
        <w:rPr>
          <w:rFonts w:cs="Calibri"/>
          <w:lang w:eastAsia="en-US"/>
        </w:rPr>
        <w:instrText>ADDIN CSL_CITATION {"citationItems":[{"id":"ITEM-1","itemData":{"DOI":"10.1002/eet.1806","ISSN":"17569338","abstract":"Scholarship around questions of climate change adaptation is increasingly concerned with ideas of transformative adaptation and its governance through critical re-evaluation of beliefs, values and associated institutions. For public policy sectors, the concept of transformative governance brings attention to their capacities for supporting and engaging in such governance. While much adaptation research and practice informs technical and structural understandings of these capacities (e.g., governance arrangements, learning systems and adaptation planning), most of this research (and practice) has ignored less formal, yet equally important dimensions of public administration and governance. Institutional scholarship highlights that dominant norms, beliefs, and philosophical ideas underpin how policy sectors structure their policy responses and engagement in governance. Discursive Institutionalism suggests that examining a sector's dominant discourse can provide insights into these “institutional logics”. This paper therefore argues that understanding a policy sector's institutional logics is a crucial part of working toward enabling transformative governance of adaptation. This argument is developed through a case study of the institutional logics operating in the fire management policy sector of Victoria, Australia, and the potential influence of these logics on that sector's capacities to engage in transformative governance. Findings suggest this sector's institutional logics may currently constrain its capacities to engage in transformative governance and highlight the need for greater attention to socioinstitutional dimensions of public administration to help catalyze transformative governance of (and for) adaptation.","author":[{"dropping-particle":"","family":"Bosomworth","given":"Karyn","non-dropping-particle":"","parse-names":false,"suffix":""}],"container-title":"Environmental Policy and Governance","id":"ITEM-1","issue":"6","issued":{"date-parts":[["2018"]]},"page":"415-425","title":"A discursive–institutional perspective on transformative governance: A case from a fire management policy sector","type":"article-journal","volume":"28"},"uris":["http://www.mendeley.com/documents/?uuid=8fcbef0f-fc3c-4653-aeb2-13d404d551e5"]}],"mendeley":{"formattedCitation":"(Bosomworth, 2018)","plainTextFormattedCitation":"(Bosomworth, 2018)","previouslyFormattedCitation":"(Bosomworth, 2018)"},"properties":{"noteIndex":0},"schema":"https://github.com/citation-style-language/schema/raw/master/csl-citation.json"}</w:instrText>
      </w:r>
      <w:r>
        <w:rPr>
          <w:rFonts w:cs="Calibri"/>
          <w:lang w:eastAsia="en-US"/>
        </w:rPr>
        <w:fldChar w:fldCharType="separate"/>
      </w:r>
      <w:r>
        <w:rPr>
          <w:rFonts w:cs="Calibri"/>
          <w:noProof/>
          <w:lang w:eastAsia="en-US"/>
        </w:rPr>
        <w:t>(Bosomworth, 2018)</w:t>
      </w:r>
      <w:r>
        <w:rPr>
          <w:rFonts w:cs="Calibri"/>
          <w:lang w:eastAsia="en-US"/>
        </w:rPr>
        <w:fldChar w:fldCharType="end"/>
      </w:r>
      <w:r>
        <w:rPr>
          <w:rFonts w:cs="Calibri"/>
          <w:lang w:eastAsia="en-US"/>
        </w:rPr>
        <w:t xml:space="preserve">. </w:t>
      </w:r>
      <w:r w:rsidR="00835F7C">
        <w:rPr>
          <w:rFonts w:cs="Calibri"/>
          <w:lang w:eastAsia="en-US"/>
        </w:rPr>
        <w:t xml:space="preserve">This suggested a gap in the literature for a project to examine the role of institutional logics within a FRS. </w:t>
      </w:r>
      <w:r>
        <w:rPr>
          <w:rFonts w:cs="Calibri"/>
          <w:lang w:eastAsia="en-US"/>
        </w:rPr>
        <w:t>This project examined the role of institutions, and their specific institutional logics on social media communication (see chapter 5)</w:t>
      </w:r>
      <w:r w:rsidR="00291656">
        <w:rPr>
          <w:rFonts w:cs="Calibri"/>
          <w:lang w:eastAsia="en-US"/>
        </w:rPr>
        <w:t>.</w:t>
      </w:r>
      <w:r>
        <w:rPr>
          <w:rFonts w:cs="Calibri"/>
          <w:lang w:eastAsia="en-US"/>
        </w:rPr>
        <w:t xml:space="preserve"> </w:t>
      </w:r>
      <w:r w:rsidR="00291656">
        <w:rPr>
          <w:rFonts w:cs="Calibri"/>
          <w:lang w:eastAsia="en-US"/>
        </w:rPr>
        <w:t>It</w:t>
      </w:r>
      <w:r>
        <w:rPr>
          <w:rFonts w:cs="Calibri"/>
          <w:lang w:eastAsia="en-US"/>
        </w:rPr>
        <w:t xml:space="preserve"> therefore is a contribution to the empirical research on institutional plurality with the FRS sector, not only within the UK but also internationally.</w:t>
      </w:r>
    </w:p>
    <w:p w14:paraId="4EE1ABB8" w14:textId="77777777" w:rsidR="00787F73" w:rsidRDefault="00787F73" w:rsidP="00866155">
      <w:pPr>
        <w:rPr>
          <w:rFonts w:cs="Calibri"/>
          <w:lang w:eastAsia="en-US"/>
        </w:rPr>
      </w:pPr>
    </w:p>
    <w:p w14:paraId="42858F34" w14:textId="2475A914" w:rsidR="00787F73" w:rsidRDefault="00742FB7" w:rsidP="00866155">
      <w:r>
        <w:rPr>
          <w:rFonts w:cs="Calibri"/>
          <w:lang w:eastAsia="en-US"/>
        </w:rPr>
        <w:t>This project used an abductive approach moving between theory and data (discussed further in section 3.2.1)</w:t>
      </w:r>
      <w:r w:rsidR="00291656">
        <w:rPr>
          <w:rFonts w:cs="Calibri"/>
          <w:lang w:eastAsia="en-US"/>
        </w:rPr>
        <w:t>.This meant</w:t>
      </w:r>
      <w:r>
        <w:rPr>
          <w:rFonts w:cs="Calibri"/>
          <w:lang w:eastAsia="en-US"/>
        </w:rPr>
        <w:t xml:space="preserve">there were some institutional drivers and logics </w:t>
      </w:r>
      <w:r>
        <w:t>I expected</w:t>
      </w:r>
      <w:r>
        <w:rPr>
          <w:rFonts w:cs="Calibri"/>
          <w:lang w:eastAsia="en-US"/>
        </w:rPr>
        <w:t xml:space="preserve"> to see within the data due to conducting a literature review prior to fieldwork. For this reason, </w:t>
      </w:r>
      <w:r>
        <w:t>I was aware that state logics would influence</w:t>
      </w:r>
      <w:r>
        <w:rPr>
          <w:rFonts w:cs="Calibri"/>
          <w:lang w:eastAsia="en-US"/>
        </w:rPr>
        <w:t xml:space="preserve"> SYFR, as discussed in detail in section 2.6.2 which explores the political context of the FRS. However, other institutions were examined inductively using an institutional ethnographic approach (discussed in section 3.3.2).</w:t>
      </w:r>
    </w:p>
    <w:p w14:paraId="18D3A42C" w14:textId="77777777" w:rsidR="00787F73" w:rsidRDefault="00787F73" w:rsidP="00866155">
      <w:pPr>
        <w:rPr>
          <w:rFonts w:cs="Calibri"/>
        </w:rPr>
      </w:pPr>
    </w:p>
    <w:p w14:paraId="0A4DDD24" w14:textId="01AE924D" w:rsidR="00787F73" w:rsidRDefault="00742FB7" w:rsidP="00866155">
      <w:r>
        <w:rPr>
          <w:rFonts w:cs="Calibri"/>
          <w:lang w:eastAsia="en-US"/>
        </w:rPr>
        <w:t xml:space="preserve">Within institutionally complex organisations there are two elements to consider: the </w:t>
      </w:r>
      <w:r>
        <w:rPr>
          <w:rFonts w:cs="Calibri"/>
          <w:i/>
          <w:iCs/>
          <w:lang w:eastAsia="en-US"/>
        </w:rPr>
        <w:t>compatibility</w:t>
      </w:r>
      <w:r>
        <w:rPr>
          <w:rFonts w:cs="Calibri"/>
          <w:lang w:eastAsia="en-US"/>
        </w:rPr>
        <w:t xml:space="preserve"> and the </w:t>
      </w:r>
      <w:r>
        <w:rPr>
          <w:rFonts w:cs="Calibri"/>
          <w:i/>
          <w:iCs/>
          <w:lang w:eastAsia="en-US"/>
        </w:rPr>
        <w:t>centrality</w:t>
      </w:r>
      <w:r>
        <w:rPr>
          <w:rFonts w:cs="Calibri"/>
          <w:lang w:eastAsia="en-US"/>
        </w:rPr>
        <w:t xml:space="preserve"> of the logics</w:t>
      </w:r>
      <w:r w:rsidR="00291656">
        <w:rPr>
          <w:rFonts w:cs="Calibri"/>
          <w:lang w:eastAsia="en-US"/>
        </w:rPr>
        <w:t>.</w:t>
      </w:r>
      <w:r>
        <w:rPr>
          <w:rFonts w:cs="Calibri"/>
          <w:lang w:eastAsia="en-US"/>
        </w:rPr>
        <w:t xml:space="preserve"> </w:t>
      </w:r>
      <w:r w:rsidR="00291656">
        <w:rPr>
          <w:rFonts w:cs="Calibri"/>
          <w:i/>
          <w:iCs/>
          <w:lang w:eastAsia="en-US"/>
        </w:rPr>
        <w:t>C</w:t>
      </w:r>
      <w:r>
        <w:rPr>
          <w:rFonts w:cs="Calibri"/>
          <w:i/>
          <w:iCs/>
          <w:lang w:eastAsia="en-US"/>
        </w:rPr>
        <w:t>ompatibility</w:t>
      </w:r>
      <w:r>
        <w:rPr>
          <w:rFonts w:cs="Calibri"/>
          <w:lang w:eastAsia="en-US"/>
        </w:rPr>
        <w:t xml:space="preserve"> assesses whether the logics have similar elements or whether they are in direct conflict, and </w:t>
      </w:r>
      <w:r>
        <w:rPr>
          <w:rFonts w:cs="Calibri"/>
          <w:i/>
          <w:iCs/>
          <w:lang w:eastAsia="en-US"/>
        </w:rPr>
        <w:t>centrality</w:t>
      </w:r>
      <w:r>
        <w:rPr>
          <w:rFonts w:cs="Calibri"/>
          <w:lang w:eastAsia="en-US"/>
        </w:rPr>
        <w:t xml:space="preserve"> focuses on how crucial that logic is to the functioning of the organisations </w:t>
      </w:r>
      <w:r>
        <w:fldChar w:fldCharType="begin" w:fldLock="1"/>
      </w:r>
      <w:r w:rsidR="00C541CC">
        <w:rPr>
          <w:rFonts w:cs="Calibri"/>
          <w:lang w:eastAsia="en-US"/>
        </w:rPr>
        <w:instrText>ADDIN CSL_CITATION {"citationItems":[{"id":"ITEM-1","itemData":{"author":[{"dropping-particle":"","family":"Besharov","given":"Marya L.","non-dropping-particle":"","parse-names":false,"suffix":""},{"dropping-particle":"","family":"Smith","given":"Wendy K.","non-dropping-particle":"","parse-names":false,"suffix":""}],"container-title":"The Academy of Management Review","id":"ITEM-1","issue":"3","issued":{"date-parts":[["2014"]]},"page":"364-381","title":"Multiple Institutional Logics In Organizations: Explaining Their Varied Nature And Implications","type":"article-journal","volume":"39"},"uris":["http://www.mendeley.com/documents/?uuid=57cbbf37-05be-48a2-ad9d-1095a2aeb8e5"]}],"mendeley":{"formattedCitation":"(Besharov &amp; Smith, 2014)","plainTextFormattedCitation":"(Besharov &amp; Smith, 2014)","previouslyFormattedCitation":"(Besharov &amp; Smith, 2014)"},"properties":{"noteIndex":0},"schema":"https://github.com/citation-style-language/schema/raw/master/csl-citation.json"}</w:instrText>
      </w:r>
      <w:r>
        <w:rPr>
          <w:rFonts w:cs="Calibri"/>
          <w:lang w:eastAsia="en-US"/>
        </w:rPr>
        <w:fldChar w:fldCharType="separate"/>
      </w:r>
      <w:r w:rsidR="00C541CC" w:rsidRPr="00C541CC">
        <w:rPr>
          <w:rFonts w:cs="Calibri"/>
          <w:noProof/>
          <w:lang w:eastAsia="en-US"/>
        </w:rPr>
        <w:t>(Besharov &amp; Smith, 2014)</w:t>
      </w:r>
      <w:r>
        <w:rPr>
          <w:rFonts w:cs="Calibri"/>
          <w:lang w:eastAsia="en-US"/>
        </w:rPr>
        <w:fldChar w:fldCharType="end"/>
      </w:r>
      <w:r>
        <w:rPr>
          <w:rFonts w:cs="Calibri"/>
          <w:lang w:eastAsia="en-US"/>
        </w:rPr>
        <w:t xml:space="preserve">. Mixing of </w:t>
      </w:r>
      <w:r>
        <w:rPr>
          <w:rFonts w:cs="Calibri"/>
          <w:lang w:eastAsia="en-US"/>
        </w:rPr>
        <w:lastRenderedPageBreak/>
        <w:t xml:space="preserve">logics can be </w:t>
      </w:r>
      <w:r>
        <w:rPr>
          <w:rFonts w:cs="Calibri"/>
        </w:rPr>
        <w:t xml:space="preserve">both beneficial and challenging to an organisation </w:t>
      </w:r>
      <w:r>
        <w:fldChar w:fldCharType="begin" w:fldLock="1"/>
      </w:r>
      <w:r w:rsidR="00974B75">
        <w:rPr>
          <w:rFonts w:cs="Calibri"/>
        </w:rPr>
        <w:instrText>ADDIN CSL_CITATION {"citationItems":[{"id":"ITEM-1","itemData":{"DOI":"10.1108/S0733-558X(2013)0039A&amp;B015","ISSN":"0733558X","abstract":"This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Organizations","id":"ITEM-1","issue":"B","issued":{"date-parts":[["2013"]]},"page":"37-61","publisher":"Emerald Group Publishing Limited","title":"Institutional ambidexterity: Leveraging institutional complexity in practice","type":"article-journal","volume":"39"},"uris":["http://www.mendeley.com/documents/?uuid=ff8dc873-f050-4c05-bdec-08925d6e6ab8"]},{"id":"ITEM-2","itemData":{"DOI":"10.1146/annurev-soc-090320-111734","ISSN":"03600572","abstract":"In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Sociology","id":"ITEM-2","issue":"29","issued":{"date-parts":[["2021"]]},"page":"1-20","title":"New Directions in the Study of Institutional Logics: From Tools to Phenomena","type":"article-journal","volume":"47"},"uris":["http://www.mendeley.com/documents/?uuid=3561369e-31b0-40ce-940d-739bd34cab24"]},{"id":"ITEM-3","itemData":{"DOI":"10.1080/14697010903549408","ISSN":"14697017","abstract":"The study of institutions has a long history, but recent efforts stress the significance of symbolic elements in shaping social life. Although institutional processes and structures operate from the most micro interpersonal level to the most macro transocietal level, most research during the past few decades has concentrated on higher levels, such as the organization field. Institutional scholarship has been strongly influenced by structuration theory and, as a consequence, has given increasing attention to processes of institutional reinforcement and change. Directions of development showing promise include attention to intermediaries in fields, social movement processes, instituted modes of change, and transnational institution-building. © 2010 Taylor &amp; Francis.","author":[{"dropping-particle":"","family":"Scott","given":"W. Richard","non-dropping-particle":"","parse-names":false,"suffix":""}],"container-title":"Journal of Change Management","id":"ITEM-3","issue":"1","issued":{"date-parts":[["2010"]]},"page":"5-21","title":"Reflections: The past and future of research on institutions and institutional change","type":"article-journal","volume":"10"},"uris":["http://www.mendeley.com/documents/?uuid=eb652583-f09f-4ed8-9fe9-289e6d4508a2"]}],"mendeley":{"formattedCitation":"(Lounsbury et al., 2021; Jarzabkowski et al., 2013; Scott, 2010b)","plainTextFormattedCitation":"(Lounsbury et al., 2021; Jarzabkowski et al., 2013; Scott, 2010b)","previouslyFormattedCitation":"(Lounsbury et al., 2021; Jarzabkowski et al., 2013; Scott, 2010b)"},"properties":{"noteIndex":0},"schema":"https://github.com/citation-style-language/schema/raw/master/csl-citation.json"}</w:instrText>
      </w:r>
      <w:r>
        <w:rPr>
          <w:rFonts w:cs="Calibri"/>
        </w:rPr>
        <w:fldChar w:fldCharType="separate"/>
      </w:r>
      <w:r>
        <w:rPr>
          <w:rFonts w:cs="Calibri"/>
          <w:noProof/>
        </w:rPr>
        <w:t>(Lounsbury et al., 2021; Jarzabkowski et al., 2013; Scott, 2010b)</w:t>
      </w:r>
      <w:r>
        <w:rPr>
          <w:rFonts w:cs="Calibri"/>
        </w:rPr>
        <w:fldChar w:fldCharType="end"/>
      </w:r>
      <w:r>
        <w:rPr>
          <w:rFonts w:cs="Calibri"/>
        </w:rPr>
        <w:t xml:space="preserve">. The presence of institutional complexity can create contradictions and tension within organisations, with individuals needing to compartmentalise activities for different institutions, and balancing institutional legitimacy </w:t>
      </w:r>
      <w:r>
        <w:fldChar w:fldCharType="begin" w:fldLock="1"/>
      </w:r>
      <w:r w:rsidR="00974B75">
        <w:rPr>
          <w:rFonts w:cs="Calibri"/>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Phenomena","type":"article-journal","volume":"47"},"uris":["http://www.mendeley.com/documents/?uuid=3561369e-31b0-40ce-940d-739bd34cab24"]},{"id":"ITEM-2","itemData":{"DOI":"10.1108/S0733-558X(2013)0039A&amp;B015","ISSN":"0733558X","abstract":"This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Organizations","id":"ITEM-2","issue":"B","issued":{"date-parts":[["2013"]]},"page":"37-61","publisher":"Emerald Group Publishing Limited","title":"Institutional ambidexterity: Leveraging institutional complexity in practice","type":"article-journal","volume":"39"},"uris":["http://www.mendeley.com/documents/?uuid=ff8dc873-f050-4c05-bdec-08925d6e6ab8"]}],"mendeley":{"formattedCitation":"(Lounsbury et al., 2021; Jarzabkowski et al., 2013)","plainTextFormattedCitation":"(Lounsbury et al., 2021; Jarzabkowski et al., 2013)","previouslyFormattedCitation":"(Lounsbury et al., 2021; Jarzabkowski et al., 2013)"},"properties":{"noteIndex":0},"schema":"https://github.com/citation-style-language/schema/raw/master/csl-citation.json"}</w:instrText>
      </w:r>
      <w:r>
        <w:rPr>
          <w:rFonts w:cs="Calibri"/>
        </w:rPr>
        <w:fldChar w:fldCharType="separate"/>
      </w:r>
      <w:r>
        <w:rPr>
          <w:rFonts w:cs="Calibri"/>
          <w:noProof/>
        </w:rPr>
        <w:t>(Lounsbury et al., 2021; Jarzabkowski et al., 2013)</w:t>
      </w:r>
      <w:r>
        <w:rPr>
          <w:rFonts w:cs="Calibri"/>
        </w:rPr>
        <w:fldChar w:fldCharType="end"/>
      </w:r>
      <w:r>
        <w:rPr>
          <w:rFonts w:cs="Calibri"/>
        </w:rPr>
        <w:t xml:space="preserve">. For example, research </w:t>
      </w:r>
      <w:r>
        <w:rPr>
          <w:rFonts w:cs="Calibri"/>
          <w:lang w:eastAsia="en-US"/>
        </w:rPr>
        <w:t>examining SLBs (Street Level Bureaucrats) in Norway and the increased call for digitisation in decision making placed challenges on workers who had professional logics to support their clients without thought for financial gain</w:t>
      </w:r>
      <w:r w:rsidR="00AE238C">
        <w:rPr>
          <w:rFonts w:cs="Calibri"/>
          <w:lang w:eastAsia="en-US"/>
        </w:rPr>
        <w:t>. This issue,</w:t>
      </w:r>
      <w:r>
        <w:rPr>
          <w:rFonts w:cs="Calibri"/>
          <w:lang w:eastAsia="en-US"/>
        </w:rPr>
        <w:t xml:space="preserve"> combin</w:t>
      </w:r>
      <w:r w:rsidR="00AE238C">
        <w:rPr>
          <w:rFonts w:cs="Calibri"/>
          <w:lang w:eastAsia="en-US"/>
        </w:rPr>
        <w:t>ed</w:t>
      </w:r>
      <w:r>
        <w:rPr>
          <w:rFonts w:cs="Calibri"/>
          <w:lang w:eastAsia="en-US"/>
        </w:rPr>
        <w:t xml:space="preserve"> with the managerial logic of increasing efficiency and reducing costs, </w:t>
      </w:r>
      <w:r w:rsidR="00AE238C">
        <w:rPr>
          <w:rFonts w:cs="Calibri"/>
          <w:lang w:eastAsia="en-US"/>
        </w:rPr>
        <w:t xml:space="preserve">made </w:t>
      </w:r>
      <w:r>
        <w:rPr>
          <w:rFonts w:cs="Calibri"/>
          <w:lang w:eastAsia="en-US"/>
        </w:rPr>
        <w:t xml:space="preserve">it challenging for the SLB to conduct historical discretionary practices that they had previously been able to do </w:t>
      </w:r>
      <w:r>
        <w:fldChar w:fldCharType="begin" w:fldLock="1"/>
      </w:r>
      <w:r>
        <w:rPr>
          <w:rFonts w:cs="Calibri"/>
          <w:lang w:eastAsia="en-US"/>
        </w:rPr>
        <w:instrText>ADDIN CSL_CITATION {"citationItems":[{"id":"ITEM-1","itemData":{"DOI":"10.1016/j.giq.2018.09.003","ISSN":"0740624X","abstract":"Public service workers exercise discretionary power during policy implementation. Due to an immense diffusion of information and communications technology (ICT) in public service provision, they are increasingly exposed to reforms aiming at more efficient and fair decision-making. Whereas extant literature has found that ICT can both enable and constrain public service workers' ability to exercise discretion, we know less about underlying explanations for these inconclusive findings. This paper addresses this research gap by exploring how and why public service workers react to digitized discretionary practices. We draw upon institutional logics to show the underlying considerations of public service workers when they are faced with multiple conflicting demands from market-oriented goals of digitization and professional norms. To identify their reactions and underlying considerations, we have conducted a multiple case analysis of two Norwegian organizations; a district court and a tax administration office. We conclude that public service workers are positive to digitization when it promotes professional aspects of their work and that professional discretion is considered necessary to accomplish tasks of greater complexity.","author":[{"dropping-particle":"","family":"Busch","given":"Peter André","non-dropping-particle":"","parse-names":false,"suffix":""},{"dropping-particle":"","family":"Henriksen","given":"Helle Zinner","non-dropping-particle":"","parse-names":false,"suffix":""},{"dropping-particle":"","family":"Sæbø","given":"Øystein","non-dropping-particle":"","parse-names":false,"suffix":""}],"container-title":"Government Information Quarterly","id":"ITEM-1","issue":"4","issued":{"date-parts":[["2018"]]},"page":"547-556","title":"Opportunities and challenges of digitized discretionary practices: a public service worker perspective","type":"article-journal","volume":"35"},"uris":["http://www.mendeley.com/documents/?uuid=a8db8d0e-13f6-4808-95a9-ee4ec1563a8e"]}],"mendeley":{"formattedCitation":"(Busch, Henriksen, &amp; Sæbø, 2018)","plainTextFormattedCitation":"(Busch, Henriksen, &amp; Sæbø, 2018)","previouslyFormattedCitation":"(Busch, Henriksen, &amp; Sæbø, 2018)"},"properties":{"noteIndex":0},"schema":"https://github.com/citation-style-language/schema/raw/master/csl-citation.json"}</w:instrText>
      </w:r>
      <w:r>
        <w:rPr>
          <w:rFonts w:cs="Calibri"/>
          <w:lang w:eastAsia="en-US"/>
        </w:rPr>
        <w:fldChar w:fldCharType="separate"/>
      </w:r>
      <w:r>
        <w:rPr>
          <w:rFonts w:cs="Calibri"/>
          <w:noProof/>
          <w:lang w:eastAsia="en-US"/>
        </w:rPr>
        <w:t>(Busch, Henriksen, &amp; Sæbø, 2018)</w:t>
      </w:r>
      <w:r>
        <w:rPr>
          <w:rFonts w:cs="Calibri"/>
          <w:lang w:eastAsia="en-US"/>
        </w:rPr>
        <w:fldChar w:fldCharType="end"/>
      </w:r>
      <w:r w:rsidR="00AE238C">
        <w:rPr>
          <w:rFonts w:cs="Calibri"/>
          <w:lang w:eastAsia="en-US"/>
        </w:rPr>
        <w:t>.</w:t>
      </w:r>
      <w:r>
        <w:rPr>
          <w:rFonts w:cs="Calibri"/>
          <w:lang w:eastAsia="en-US"/>
        </w:rPr>
        <w:t xml:space="preserve"> </w:t>
      </w:r>
      <w:r w:rsidR="00AE238C">
        <w:rPr>
          <w:rFonts w:cs="Calibri"/>
          <w:lang w:eastAsia="en-US"/>
        </w:rPr>
        <w:t>This highlighted</w:t>
      </w:r>
      <w:r>
        <w:rPr>
          <w:rFonts w:cs="Calibri"/>
          <w:lang w:eastAsia="en-US"/>
        </w:rPr>
        <w:t xml:space="preserve"> the need to examine how organisations manage and operate with multiple logics. Institutional pluralism is of relevance to SYFR due to their work within emergency and disaster management</w:t>
      </w:r>
      <w:r w:rsidR="00AE238C">
        <w:rPr>
          <w:rFonts w:cs="Calibri"/>
          <w:lang w:eastAsia="en-US"/>
        </w:rPr>
        <w:t>;</w:t>
      </w:r>
      <w:r>
        <w:rPr>
          <w:rFonts w:cs="Calibri"/>
          <w:lang w:eastAsia="en-US"/>
        </w:rPr>
        <w:t xml:space="preserve"> </w:t>
      </w:r>
      <w:r w:rsidR="00AE238C">
        <w:rPr>
          <w:rFonts w:cs="Calibri"/>
          <w:lang w:eastAsia="en-US"/>
        </w:rPr>
        <w:t xml:space="preserve">this </w:t>
      </w:r>
      <w:r>
        <w:rPr>
          <w:rFonts w:cs="Calibri"/>
          <w:lang w:eastAsia="en-US"/>
        </w:rPr>
        <w:t>is comprised of a variety of agencies, regulations, and wider institutional drivers</w:t>
      </w:r>
      <w:r w:rsidR="00AE238C">
        <w:rPr>
          <w:rFonts w:cs="Calibri"/>
          <w:lang w:eastAsia="en-US"/>
        </w:rPr>
        <w:t>.</w:t>
      </w:r>
      <w:r>
        <w:rPr>
          <w:rFonts w:cs="Calibri"/>
          <w:lang w:eastAsia="en-US"/>
        </w:rPr>
        <w:t xml:space="preserve"> </w:t>
      </w:r>
      <w:r w:rsidR="00AE238C">
        <w:rPr>
          <w:rFonts w:cs="Calibri"/>
          <w:lang w:eastAsia="en-US"/>
        </w:rPr>
        <w:t>T</w:t>
      </w:r>
      <w:r>
        <w:rPr>
          <w:rFonts w:cs="Calibri"/>
          <w:lang w:eastAsia="en-US"/>
        </w:rPr>
        <w:t xml:space="preserve">he logics which specifically influence the FRS and SYFR are discussed in chapter 5. </w:t>
      </w:r>
    </w:p>
    <w:p w14:paraId="7A72742F" w14:textId="77777777" w:rsidR="00B97CA3" w:rsidRDefault="00B97CA3" w:rsidP="00866155">
      <w:pPr>
        <w:pStyle w:val="Heading5"/>
        <w:spacing w:line="360" w:lineRule="auto"/>
        <w:rPr>
          <w:rFonts w:ascii="Calibri" w:hAnsi="Calibri" w:cs="Calibri"/>
        </w:rPr>
      </w:pPr>
      <w:bookmarkStart w:id="110" w:name="_Toc139645564"/>
      <w:bookmarkStart w:id="111" w:name="_Toc139636609"/>
    </w:p>
    <w:p w14:paraId="17764BEA" w14:textId="3F31F435" w:rsidR="00787F73" w:rsidRDefault="00742FB7" w:rsidP="00866155">
      <w:pPr>
        <w:pStyle w:val="Heading5"/>
        <w:spacing w:line="360" w:lineRule="auto"/>
      </w:pPr>
      <w:r>
        <w:rPr>
          <w:rFonts w:ascii="Calibri" w:hAnsi="Calibri" w:cs="Calibri"/>
        </w:rPr>
        <w:t xml:space="preserve">How institutional pluralism is managed in an </w:t>
      </w:r>
      <w:bookmarkEnd w:id="110"/>
      <w:bookmarkEnd w:id="111"/>
      <w:r>
        <w:rPr>
          <w:rFonts w:ascii="Calibri" w:hAnsi="Calibri" w:cs="Calibri"/>
        </w:rPr>
        <w:t>organisation.</w:t>
      </w:r>
    </w:p>
    <w:p w14:paraId="304B129F" w14:textId="77777777" w:rsidR="00787F73" w:rsidRDefault="00742FB7" w:rsidP="00866155">
      <w:pPr>
        <w:contextualSpacing/>
      </w:pPr>
      <w:r>
        <w:rPr>
          <w:rFonts w:cs="Calibri"/>
        </w:rPr>
        <w:t xml:space="preserve">Literature examining institutional pluralism and its impact on organisations suggests that the influence of an institution on an organisation is due to the structure of the wider field, and filters within the organisation itself. The field that the organisation is situated within can influence an organisation through its: fragmentation, the ability for member organisations to coordinate; and formal structuring and centralisation, describing any hierarchical structures in place </w:t>
      </w:r>
      <w:r>
        <w:fldChar w:fldCharType="begin" w:fldLock="1"/>
      </w:r>
      <w:r>
        <w:rPr>
          <w:rFonts w:cs="Calibri"/>
        </w:rPr>
        <w:instrText>ADDIN CSL_CITATION {"citationItems":[{"id":"ITEM-1","itemData":{"DOI":"10.1111/soc4.12269","ISSN":"17519020","abstract":"The institutional logics perspective holds the promise of delivering where neo-institutionalist theory has disappointed - the ability to address key societal problems such as inequality, social discrimination, and economic insecurity - a promise that, as of yet, has been unrealized. In this review, I provide an overview of the body of work within the institutional logics perspective that addresses the co-existence of multiple institutional logics influencing identities, values, cognitive frameworks, and practices - institutional pluralism. I demonstrate how pluralism diverges from conventional neo-institutionalist theory in its view of institutional fields as heterogeneous spaces. I then review the implications for organizations and social actors responding to multiple logics in the institutional environment. In the discussion section, I argue that the study of pluralism, in acknowledging human agency, politics, and collective mobilization, opens the door for creative resolutions to societal problems hitherto overlooked in neo-institutional theory. Despite the promise, I address key research areas that remain unresolved or under-addressed in the institutional pluralism perspective.","author":[{"dropping-particle":"","family":"Yu","given":"Kyoung Hee","non-dropping-particle":"","parse-names":false,"suffix":""}],"container-title":"Sociology Compass","id":"ITEM-1","issue":"6","issued":{"date-parts":[["2015"]]},"page":"464-476","title":"Institutional Pluralism, Organizations, and Actors: A Review","type":"article-journal","volume":"9"},"uris":["http://www.mendeley.com/documents/?uuid=058e9d2a-fe79-4bc1-a00a-cbe69c5b928d"]},{"id":"ITEM-2","itemData":{"DOI":"10.1080/19416520.2011.590299","ISSN":"19416520","abstract":"Organizations face institutional complexity whenever they confront incompatible prescriptions from multiple institutional logics. Our interest is in how plural institutional logics, refracted through field-level structures and processes, are experienced within organizations and how organizations respond to such complexity. We draw on a variety of cognate literatures to discuss the field-level structural characteristics and organizational attributes that shape institutional complexity. We then explore the repertoire of strategies and structures that organizations deploy to cope with multiple, competing demands. The analytical framework developed herein is presented to guide future scholarship in the systematic analysis of institutional complexity. We conclude by suggesting avenues for future research. © 2011 Academy of Management.","author":[{"dropping-particle":"","family":"Greenwood","given":"Royston","non-dropping-particle":"","parse-names":false,"suffix":""},{"dropping-particle":"","family":"Raynard","given":"Mia","non-dropping-particle":"","parse-names":false,"suffix":""},{"dropping-particle":"","family":"Kodeih","given":"Farah","non-dropping-particle":"","parse-names":false,"suffix":""},{"dropping-particle":"","family":"Micelotta","given":"Evelyn R.","non-dropping-particle":"","parse-names":false,"suffix":""},{"dropping-particle":"","family":"Lounsbury","given":"Michael","non-dropping-particle":"","parse-names":false,"suffix":""}],"container-title":"Academy of Management Annals","id":"ITEM-2","issue":"1","issued":{"date-parts":[["2011"]]},"page":"317-371","title":"Institutional complexity and organizational responses","type":"article-journal","volume":"5"},"uris":["http://www.mendeley.com/documents/?uuid=72d52388-8162-42b1-8496-741e9c5b2b81"]}],"mendeley":{"formattedCitation":"(Yu, 2015; Greenwood et al., 2011)","plainTextFormattedCitation":"(Yu, 2015; Greenwood et al., 2011)","previouslyFormattedCitation":"(Yu, 2015; Greenwood et al., 2011)"},"properties":{"noteIndex":0},"schema":"https://github.com/citation-style-language/schema/raw/master/csl-citation.json"}</w:instrText>
      </w:r>
      <w:r>
        <w:rPr>
          <w:rFonts w:cs="Calibri"/>
        </w:rPr>
        <w:fldChar w:fldCharType="separate"/>
      </w:r>
      <w:r>
        <w:rPr>
          <w:rFonts w:cs="Calibri"/>
          <w:noProof/>
        </w:rPr>
        <w:t>(Yu, 2015; Greenwood et al., 2011)</w:t>
      </w:r>
      <w:r>
        <w:rPr>
          <w:rFonts w:cs="Calibri"/>
        </w:rPr>
        <w:fldChar w:fldCharType="end"/>
      </w:r>
      <w:r>
        <w:rPr>
          <w:rFonts w:cs="Calibri"/>
        </w:rPr>
        <w:t xml:space="preserve">. Within the specific organisation there are a series of filters which can influence how the organisation is influenced by the institutional logics. These include: field position, whether they are more central to the field and therefore under closer scrutiny for institutional expectation; structure, explaining members of the organisation and their relationship to field level referent audiences; ownership, namely whether the organisation is public or private and the power of organisation members to influence the organisation; and finally, identity, explaining the institutionally prescribed identity of the organisation, such as ‘a bank’ or in this research, a FRS </w:t>
      </w:r>
      <w:r>
        <w:fldChar w:fldCharType="begin" w:fldLock="1"/>
      </w:r>
      <w:r>
        <w:rPr>
          <w:rFonts w:cs="Calibri"/>
        </w:rPr>
        <w:instrText>ADDIN CSL_CITATION {"citationItems":[{"id":"ITEM-1","itemData":{"DOI":"10.1080/19416520.2011.590299","ISSN":"19416520","abstract":"Organizations face institutional complexity whenever they confront incompatible prescriptions from multiple institutional logics. Our interest is in how plural institutional logics, refracted through field-level structures and processes, are experienced within organizations and how organizations respond to such complexity. We draw on a variety of cognate literatures to discuss the field-level structural characteristics and organizational attributes that shape institutional complexity. We then explore the repertoire of strategies and structures that organizations deploy to cope with multiple, competing demands. The analytical framework developed herein is presented to guide future scholarship in the systematic analysis of institutional complexity. We conclude by suggesting avenues for future research. © 2011 Academy of Management.","author":[{"dropping-particle":"","family":"Greenwood","given":"Royston","non-dropping-particle":"","parse-names":false,"suffix":""},{"dropping-particle":"","family":"Raynard","given":"Mia","non-dropping-particle":"","parse-names":false,"suffix":""},{"dropping-particle":"","family":"Kodeih","given":"Farah","non-dropping-particle":"","parse-names":false,"suffix":""},{"dropping-particle":"","family":"Micelotta","given":"Evelyn R.","non-dropping-particle":"","parse-names":false,"suffix":""},{"dropping-particle":"","family":"Lounsbury","given":"Michael","non-dropping-particle":"","parse-names":false,"suffix":""}],"container-title":"Academy of Management Annals","id":"ITEM-1","issue":"1","issued":{"date-parts":[["2011"]]},"page":"317-371","title":"Institutional complexity and organizational responses","type":"article-journal","volume":"5"},"uris":["http://www.mendeley.com/documents/?uuid=72d52388-8162-42b1-8496-741e9c5b2b81"]},{"id":"ITEM-2","itemData":{"DOI":"10.1111/soc4.12269","ISSN":"17519020","abstract":"The institutional logics perspective holds the promise of delivering where neo-institutionalist theory has disappointed - the ability to address key societal problems such as inequality, social discrimination, and economic insecurity - a promise that, as of yet, has been unrealized. In this review, I provide an overview of the body of work within the institutional logics perspective that addresses the co-existence of multiple institutional logics influencing identities, values, cognitive frameworks, and practices - institutional pluralism. I demonstrate how pluralism diverges from conventional neo-institutionalist theory in its view of institutional fields as heterogeneous spaces. I then review the implications for organizations and social actors responding to multiple logics in the institutional environment. In the discussion section, I argue that the study of pluralism, in acknowledging human agency, politics, and collective mobilization, opens the door for creative resolutions to societal problems hitherto overlooked in neo-institutional theory. Despite the promise, I address key research areas that remain unresolved or under-addressed in the institutional pluralism perspective.","author":[{"dropping-particle":"","family":"Yu","given":"Kyoung Hee","non-dropping-particle":"","parse-names":false,"suffix":""}],"container-title":"Sociology Compass","id":"ITEM-2","issue":"6","issued":{"date-parts":[["2015"]]},"page":"464-476","title":"Institutional Pluralism, Organizations, and Actors: A Review","type":"article-journal","volume":"9"},"uris":["http://www.mendeley.com/documents/?uuid=058e9d2a-fe79-4bc1-a00a-cbe69c5b928d"]}],"mendeley":{"formattedCitation":"(Yu, 2015; Greenwood et al., 2011)","plainTextFormattedCitation":"(Yu, 2015; Greenwood et al., 2011)","previouslyFormattedCitation":"(Yu, 2015; Greenwood et al., 2011)"},"properties":{"noteIndex":0},"schema":"https://github.com/citation-style-language/schema/raw/master/csl-citation.json"}</w:instrText>
      </w:r>
      <w:r>
        <w:rPr>
          <w:rFonts w:cs="Calibri"/>
        </w:rPr>
        <w:fldChar w:fldCharType="separate"/>
      </w:r>
      <w:r>
        <w:rPr>
          <w:rFonts w:cs="Calibri"/>
          <w:noProof/>
        </w:rPr>
        <w:t>(Yu, 2015; Greenwood et al., 2011)</w:t>
      </w:r>
      <w:r>
        <w:rPr>
          <w:rFonts w:cs="Calibri"/>
        </w:rPr>
        <w:fldChar w:fldCharType="end"/>
      </w:r>
      <w:r>
        <w:rPr>
          <w:rFonts w:cs="Calibri"/>
        </w:rPr>
        <w:t xml:space="preserve">. This implies that if an organisation is set within an </w:t>
      </w:r>
      <w:r>
        <w:rPr>
          <w:rFonts w:cs="Calibri"/>
        </w:rPr>
        <w:lastRenderedPageBreak/>
        <w:t xml:space="preserve">institutionally pluralistic environment, they may experience higher rates of reflexivity as the organisation has to manage different institutional logics, and this can influence its strategic choices </w:t>
      </w:r>
      <w:r>
        <w:fldChar w:fldCharType="begin" w:fldLock="1"/>
      </w:r>
      <w:r>
        <w:rPr>
          <w:rFonts w:cs="Calibri"/>
        </w:rPr>
        <w:instrText>ADDIN CSL_CITATION {"citationItems":[{"id":"ITEM-1","itemData":{"DOI":"10.1177/0007650318789104","ISSN":"15524205","abstract":"Social innovations are urgently needed as we confront complex social problems. As these social problems feature substantial interdependencies among multiple systems and actors, developing and implementing innovative solutions involve the re-negotiating of settled institutions or the building of new ones. In this introductory article, we introduce a stylized three-cycle model highlighting the institutional nature of social innovation efforts. The model conceptualizes social innovation processes as the product of agentic, relational, and situated dynamics in three interrelated cycles that operate at the micro, meso, and macro levels of analysis. The five papers included in this special issue address one or more of these cycles. We draw on these papers and the model to stimulate and offer guidance to future conversations on social innovations from an institutional theory perspective.","author":[{"dropping-particle":"","family":"Wijk","given":"Jakomijn","non-dropping-particle":"van","parse-names":false,"suffix":""},{"dropping-particle":"","family":"Zietsma","given":"Charlene","non-dropping-particle":"","parse-names":false,"suffix":""},{"dropping-particle":"","family":"Dorado","given":"Silvia","non-dropping-particle":"","parse-names":false,"suffix":""},{"dropping-particle":"","family":"Bakker","given":"Frank G.A.","non-dropping-particle":"de","parse-names":false,"suffix":""},{"dropping-particle":"","family":"Martí","given":"Ignasi","non-dropping-particle":"","parse-names":false,"suffix":""}],"container-title":"Business and Society","id":"ITEM-1","issue":"5","issued":{"date-parts":[["2019"]]},"page":"887-918","title":"Social Innovation: Integrating Micro, Meso, and Macro Level Insights From Institutional Theory","type":"article-journal","volume":"58"},"uris":["http://www.mendeley.com/documents/?uuid=e7aea813-38d5-4cfc-809f-0f93b22a795c"]},{"id":"ITEM-2","itemData":{"DOI":"10.1177/1476127015625040","author":[{"dropping-particle":"","family":"Ocasio","given":"William","non-dropping-particle":"","parse-names":false,"suffix":""},{"dropping-particle":"","family":"Radoynovska","given":"Nevena","non-dropping-particle":"","parse-names":false,"suffix":""}],"container-title":"Strategic Organization","id":"ITEM-2","issue":"4","issued":{"date-parts":[["2016"]]},"page":"287 - 309","title":"Strategy and commitments to institutional logics : Organizational heterogeneity in business models and governance","type":"article-journal","volume":"14"},"uris":["http://www.mendeley.com/documents/?uuid=eede86b6-3a39-4b52-acc9-94e8cc3fbd5e"]}],"mendeley":{"formattedCitation":"(van Wijk et al., 2019; Ocasio &amp; Radoynovska, 2016)","plainTextFormattedCitation":"(van Wijk et al., 2019; Ocasio &amp; Radoynovska, 2016)","previouslyFormattedCitation":"(van Wijk et al., 2019; Ocasio &amp; Radoynovska, 2016)"},"properties":{"noteIndex":0},"schema":"https://github.com/citation-style-language/schema/raw/master/csl-citation.json"}</w:instrText>
      </w:r>
      <w:r>
        <w:rPr>
          <w:rFonts w:cs="Calibri"/>
        </w:rPr>
        <w:fldChar w:fldCharType="separate"/>
      </w:r>
      <w:r>
        <w:rPr>
          <w:rFonts w:cs="Calibri"/>
          <w:noProof/>
        </w:rPr>
        <w:t>(van Wijk et al., 2019; Ocasio &amp; Radoynovska, 2016)</w:t>
      </w:r>
      <w:r>
        <w:rPr>
          <w:rFonts w:cs="Calibri"/>
        </w:rPr>
        <w:fldChar w:fldCharType="end"/>
      </w:r>
      <w:r>
        <w:rPr>
          <w:rFonts w:cs="Calibri"/>
        </w:rPr>
        <w:t xml:space="preserve">. This management of institutional complexity can be done through blending, compartmentalising, balancing, decoupling, redirecting, reinforcing, and reassuring logics </w:t>
      </w:r>
      <w:r>
        <w:fldChar w:fldCharType="begin" w:fldLock="1"/>
      </w:r>
      <w:r w:rsidR="00974B75">
        <w:rPr>
          <w:rFonts w:cs="Calibri"/>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Phenomena","type":"article-journal","volume":"47"},"uris":["http://www.mendeley.com/documents/?uuid=3561369e-31b0-40ce-940d-739bd34cab24"]},{"id":"ITEM-2","itemData":{"DOI":"10.1080/1461670X.2015.1052537","ISSN":"14699699","abstract":"This study analyzes the emergence, development, and stasis of the news fact-checking website through the institutional perspectives of population ecology and institutional logics. The population ecology approach suggests that like other new media forms, fact-checking sites will mimic one another in pursuit of legitimacy, and this will encourage formation of media “populations,” and tendencies to buffer the external environment and stabilize. Over time, these sites will respond more to other sites within the population itself than to changes in the immediate environment. However, the institutional logics approach accommodates conflict and agency, suggesting that entities pursue complex strategies to retain legitimacy when faced with conflicts within the wider institutional environment. The fact-checking site is a product of such a strategy, as it straddles both traditional journalism and digital network logics. Findings show evidence of a budding fact-checking site population, increasing legitimacy, and increased isomorphism. Yet findings also reveal fragmentation and diversity in recent years, suggesting that institutionalization processes are complex and uneven. Findings suggest a need to understand that media entities are shaped by both their exogenous environment and their endogenous “population,” a collective of similar entities. Future research should explore the conditions that lead to one or the other being more consequential.","author":[{"dropping-particle":"","family":"Lowrey","given":"Wilson","non-dropping-particle":"","parse-names":false,"suffix":""}],"container-title":"Journalism Studies","id":"ITEM-2","issue":"3","issued":{"date-parts":[["2017"]]},"page":"376-394","title":"The Emergence and Development of News Fact-checking Sites: Institutional logics and population ecology","type":"article-journal","volume":"18"},"uris":["http://www.mendeley.com/documents/?uuid=e8fb5c0e-d852-402f-8b44-c91e49684340"]},{"id":"ITEM-3","itemData":{"DOI":"10.1016/j.aos.2022.101336","ISSN":"03613682","abstract":"This paper is located within the research problematic of multiple logics with reference to professional service firms (PSFs), and in particular audit firms. Within this multi-logic (“hybrid”) and complex organization, we are specifically concerned with the impacts of new institutional logics that reflect social and political movements - in this case diversity legislation - and how these new logics are absorbed and managed within the organizations’ structures and practices. Based upon a study of large and medium sized audit firms in the UK, we consider the organizational responses to the demands for improved diversity among firm members, especially the senior elite, in the context of the passing of the Equality Act, 2010, and subsequent legislation which both consolidated and extended UK laws on discrimination. Our study indicates how such organizational sites have value for demonstrating how the conflict between logics shifts its terms of reference. While most of the conflict between logics of commercialism and professionalism has been successfully managed through mechanisms of hybridization, we bring to the fore how the struggles between ideas about merit and diversity in professional evaluation processes and practices are more intractable. Our work contributes to an understanding of both the dependencies (blending) and co-existences (separation) that can exist between diversity, commercial and professional logics of practice in multi-logic organizations. We further highlight the role of identity scripts that shape how individuals situationally demarcate their identities as they struggle with the demands for diversity that challenge dominant logics.","author":[{"dropping-particle":"","family":"Anderson-Gough","given":"Fiona","non-dropping-particle":"","parse-names":false,"suffix":""},{"dropping-particle":"","family":"Edgley","given":"Carla","non-dropping-particle":"","parse-names":false,"suffix":""},{"dropping-particle":"","family":"Robson","given":"Keith","non-dropping-particle":"","parse-names":false,"suffix":""},{"dropping-particle":"","family":"Sharma","given":"Nina","non-dropping-particle":"","parse-names":false,"suffix":""}],"container-title":"Accounting, Organizations and Society","id":"ITEM-3","issued":{"date-parts":[["2022"]]},"page":"1-21","publisher":"The Authors","title":"Organizational responses to multiple logics: Diversity, identity and the professional service firm","type":"article-journal","volume":"103"},"uris":["http://www.mendeley.com/documents/?uuid=fa3c624d-bc21-4550-9481-bd7c9bf1f730"]},{"id":"ITEM-4","itemData":{"DOI":"10.1080/19416520.2011.590299","ISSN":"19416520","abstract":"Organizations face institutional complexity whenever they confront incompatible prescriptions from multiple institutional logics. Our interest is in how plural institutional logics, refracted through field-level structures and processes, are experienced within organizations and how organizations respond to such complexity. We draw on a variety of cognate literatures to discuss the field-level structural characteristics and organizational attributes that shape institutional complexity. We then explore the repertoire of strategies and structures that organizations deploy to cope with multiple, competing demands. The analytical framework developed herein is presented to guide future scholarship in the systematic analysis of institutional complexity. We conclude by suggesting avenues for future research. © 2011 Academy of Management.","author":[{"dropping-particle":"","family":"Greenwood","given":"Royston","non-dropping-particle":"","parse-names":false,"suffix":""},{"dropping-particle":"","family":"Raynard","given":"Mia","non-dropping-particle":"","parse-names":false,"suffix":""},{"dropping-particle":"","family":"Kodeih","given":"Farah","non-dropping-particle":"","parse-names":false,"suffix":""},{"dropping-particle":"","family":"Micelotta","given":"Evelyn R.","non-dropping-particle":"","parse-names":false,"suffix":""},{"dropping-particle":"","family":"Lounsbury","given":"Michael","non-dropping-particle":"","parse-names":false,"suffix":""}],"container-title":"Academy of Management Annals","id":"ITEM-4","issue":"1","issued":{"date-parts":[["2011"]]},"page":"317-371","title":"Institutional complexity and organizational responses","type":"article-journal","volume":"5"},"uris":["http://www.mendeley.com/documents/?uuid=72d52388-8162-42b1-8496-741e9c5b2b81"]},{"id":"ITEM-5","itemData":{"DOI":"10.1111/soc4.12269","ISSN":"17519020","abstract":"The institutional logics perspective holds the promise of delivering where neo-institutionalist theory has disappointed - the ability to address key societal problems such as inequality, social discrimination, and economic insecurity - a promise that, as of yet, has been unrealized. In this review, I provide an overview of the body of work within the institutional logics perspective that addresses the co-existence of multiple institutional logics influencing identities, values, cognitive frameworks, and practices - institutional pluralism. I demonstrate how pluralism diverges from conventional neo-institutionalist theory in its view of institutional fields as heterogeneous spaces. I then review the implications for organizations and social actors responding to multiple logics in the institutional environment. In the discussion section, I argue that the study of pluralism, in acknowledging human agency, politics, and collective mobilization, opens the door for creative resolutions to societal problems hitherto overlooked in neo-institutional theory. Despite the promise, I address key research areas that remain unresolved or under-addressed in the institutional pluralism perspective.","author":[{"dropping-particle":"","family":"Yu","given":"Kyoung Hee","non-dropping-particle":"","parse-names":false,"suffix":""}],"container-title":"Sociology Compass","id":"ITEM-5","issue":"6","issued":{"date-parts":[["2015"]]},"page":"464-476","title":"Institutional Pluralism, Organizations, and Actors: A Review","type":"article-journal","volume":"9"},"uris":["http://www.mendeley.com/documents/?uuid=058e9d2a-fe79-4bc1-a00a-cbe69c5b928d"]}],"mendeley":{"formattedCitation":"(Anderson-Gough et al., 2022; Lounsbury et al., 2021; Lowrey, 2017; Yu, 2015; Greenwood et al., 2011)","plainTextFormattedCitation":"(Anderson-Gough et al., 2022; Lounsbury et al., 2021; Lowrey, 2017; Yu, 2015; Greenwood et al., 2011)","previouslyFormattedCitation":"(Anderson-Gough et al., 2022; Lounsbury et al., 2021; Lowrey, 2017; Yu, 2015; Greenwood et al., 2011)"},"properties":{"noteIndex":0},"schema":"https://github.com/citation-style-language/schema/raw/master/csl-citation.json"}</w:instrText>
      </w:r>
      <w:r>
        <w:rPr>
          <w:rFonts w:cs="Calibri"/>
        </w:rPr>
        <w:fldChar w:fldCharType="separate"/>
      </w:r>
      <w:r>
        <w:rPr>
          <w:rFonts w:cs="Calibri"/>
          <w:noProof/>
        </w:rPr>
        <w:t>(Anderson-Gough et al., 2022; Lounsbury et al., 2021; Lowrey, 2017; Yu, 2015; Greenwood et al., 2011)</w:t>
      </w:r>
      <w:r>
        <w:rPr>
          <w:rFonts w:cs="Calibri"/>
        </w:rPr>
        <w:fldChar w:fldCharType="end"/>
      </w:r>
      <w:r>
        <w:rPr>
          <w:rFonts w:cs="Calibri"/>
        </w:rPr>
        <w:t>.</w:t>
      </w:r>
    </w:p>
    <w:p w14:paraId="4B162398" w14:textId="77777777" w:rsidR="00787F73" w:rsidRDefault="00787F73" w:rsidP="00866155">
      <w:pPr>
        <w:contextualSpacing/>
        <w:rPr>
          <w:rFonts w:cs="Calibri"/>
        </w:rPr>
      </w:pPr>
    </w:p>
    <w:p w14:paraId="2B606326" w14:textId="0216996C" w:rsidR="00787F73" w:rsidRDefault="00742FB7" w:rsidP="00866155">
      <w:pPr>
        <w:contextualSpacing/>
      </w:pPr>
      <w:r>
        <w:rPr>
          <w:rFonts w:cs="Calibri"/>
        </w:rPr>
        <w:t xml:space="preserve">Within institutional pluralistic organisations, it may be possible that each logic has different parameters, including different temporalities </w:t>
      </w:r>
      <w:r>
        <w:fldChar w:fldCharType="begin" w:fldLock="1"/>
      </w:r>
      <w:r w:rsidR="00974B75">
        <w:rPr>
          <w:rFonts w:cs="Calibri"/>
        </w:rPr>
        <w:instrText>ADDIN CSL_CITATION {"citationItems":[{"id":"ITEM-1","itemData":{"DOI":"10.1177/0170840615604503","ISSN":"17413044","abstract":"Our study examines how interdependent actors in a professionalized context interpret the co-occurrence of a professional logic and a policy-driven logic. The empirical setting comprises two hospitals in the English National Health Service. Two issues stand out. First, our study shows that any logic is variegated and ambiguous, so policymakers and organizational managers cannot assume that they are easily blended. Second, it shows how nurse consultants exhibit agency in blending these two logics in pursuit of positional gain in professional and managerial organization. They can do so because of their ambiguous status level: in comparison to doctors, their status as nurses is low; within the nursing profession their status is high. Theoretically, by focusing upon interpretation of multiple institutional logics at the micro level, our study renders visible the agency of interpreting actors, interdependency of actors, their interpretation of institutional logics, situational context, and the effect of, and upon, social position of actors.","author":[{"dropping-particle":"","family":"Currie","given":"Graeme","non-dropping-particle":"","parse-names":false,"suffix":""},{"dropping-particle":"","family":"Spyridonidis","given":"Dimitrios","non-dropping-particle":"","parse-names":false,"suffix":""}],"container-title":"Organization Studies","id":"ITEM-1","issue":"1","issued":{"date-parts":[["2016"]]},"page":"77-97","title":"Interpretation of Multiple Institutional Logics on the Ground: Actors’ Position, their Agency and Situational Constraints in Professionalized Contexts","type":"article-journal","volume":"37"},"uris":["http://www.mendeley.com/documents/?uuid=be657142-d26b-4dc5-bf61-aff1e8d069fa"]},{"id":"ITEM-2","itemData":{"DOI":"10.1007/s10551-017-3775-0","ISBN":"1055101737750","ISSN":"15730697","abstract":"This study examines how institutional logics interplay in a cross-sector social partnership that manages refugee integration in a rural district in Germany. In an inductive 15-month case study that drew on interviews and observations, we observe the dynamic materialization of institutional logics in day-to-day practices and an increasing contradiction and even rivalry between community- and market-based institutional logics over time. As a result, we delineate a model explaining the interplay of institutional logics along two dimensions: the dominance of one salient logic and whether conflicts arise among logics. Our analysis also addresses the unifying properties of community as an institutional logic, especially in the context of urgency conditions. In addition, we show the influence of exogenous events and their media coverage on the interplay and conflicts of institutional logics. By unfolding the complexity of refugee integration—one of the global grand challenges of the present—we deepen the current understanding of the specific challenges addressed by cross-sector social partnerships.","author":[{"dropping-particle":"","family":"Hesse","given":"Andreas","non-dropping-particle":"","parse-names":false,"suffix":""},{"dropping-particle":"","family":"Kreutzer","given":"Karin","non-dropping-particle":"","parse-names":false,"suffix":""},{"dropping-particle":"","family":"Diehl","given":"Marjo Riitta","non-dropping-particle":"","parse-names":false,"suffix":""}],"container-title":"Journal of Business Ethics","id":"ITEM-2","issued":{"date-parts":[["2019"]]},"page":"679-704","title":"Dynamics of Institutional Logics in a Cross-Sector Social Partnership: The Case of Refugee Integration in Germany","type":"article-journal","volume":"159"},"uris":["http://www.mendeley.com/documents/?uuid=72ea7223-f32f-42e0-8843-5be6e7e0fe2e"]}],"mendeley":{"formattedCitation":"(Hesse, Kreutzer, &amp; Diehl, 2019; Currie &amp; Spyridonidis, 2016)","plainTextFormattedCitation":"(Hesse, Kreutzer, &amp; Diehl, 2019; Currie &amp; Spyridonidis, 2016)","previouslyFormattedCitation":"(Hesse, Kreutzer, &amp; Diehl, 2019; Currie &amp; Spyridonidis, 2016)"},"properties":{"noteIndex":0},"schema":"https://github.com/citation-style-language/schema/raw/master/csl-citation.json"}</w:instrText>
      </w:r>
      <w:r>
        <w:rPr>
          <w:rFonts w:cs="Calibri"/>
        </w:rPr>
        <w:fldChar w:fldCharType="separate"/>
      </w:r>
      <w:r>
        <w:rPr>
          <w:rFonts w:cs="Calibri"/>
          <w:noProof/>
        </w:rPr>
        <w:t>(Hesse, Kreutzer, &amp; Diehl, 2019; Currie &amp; Spyridonidis, 2016)</w:t>
      </w:r>
      <w:r>
        <w:rPr>
          <w:rFonts w:cs="Calibri"/>
        </w:rPr>
        <w:fldChar w:fldCharType="end"/>
      </w:r>
      <w:r>
        <w:rPr>
          <w:rFonts w:cs="Calibri"/>
        </w:rPr>
        <w:t xml:space="preserve">. The literature notes that logics are socially constructed and therefore are subject to change </w:t>
      </w:r>
      <w:r>
        <w:fldChar w:fldCharType="begin" w:fldLock="1"/>
      </w:r>
      <w:r w:rsidR="00E37B0E">
        <w:rPr>
          <w:rFonts w:cs="Calibri"/>
        </w:rPr>
        <w:instrText>ADDIN CSL_CITATION {"citationItems":[{"id":"ITEM-1","itemData":{"DOI":"10.1111/joms.12124","ISSN":"14676486","abstract":"Multinational enterprises (MNEs) operate in complex transnational organizational fields with multiple, diverse, and possibly conflicting institutional forces. This paper examines how such complex environments affect a firm's adoption of Corporate Social Responsibility (CSR) practices. To capture the effect of transnational fields, we consider the institutional influences of all country environments to which the firm is linked through its portfolio of operations and propose that these effects will be weighted depending on their relative salience. We identify a set of factors that make certain pressures more salient than others, including firm's economic dependence on a particular country, heterogeneity of institutional forces within the firm's transnational field, exposure to leading countries with more stringent CSR templates, and intensity and commitment to particular economic linkages (i.e., foreign direct investment versus international trade). Our hypotheses are tested and supported in a study of 710 US MNEs from 2007 to 2011 with global ties to over 100 countries.","author":[{"dropping-particle":"","family":"Marano","given":"Valentina","non-dropping-particle":"","parse-names":false,"suffix":""},{"dropping-particle":"","family":"Kostova","given":"Tatiana","non-dropping-particle":"","parse-names":false,"suffix":""}],"container-title":"Journal of Management Studies","id":"ITEM-1","issue":"1","issued":{"date-parts":[["2016"]]},"page":"28-54","title":"Unpacking the Institutional Complexity in Adoption of CSR Practices in Multinational Enterprises","type":"article-journal","volume":"53"},"uris":["http://www.mendeley.com/documents/?uuid=ded94b6d-fc3a-4b3c-b1d9-4f3038f2d4c1"]},{"id":"ITEM-2","itemData":{"DOI":"10.1057/jit.2009.11","ISSN":"02683962","abstract":"Institutional theory has proven to be a central analytical perspective for investigating the role of social and historical structures of information systems (IS) implementation. However, it does not explicitly account for how organisational actors make sense of and enact technologies in their local context. We address this limitation by exploring the potential of using institutional theory with sensemaking theory to study IS implementation in organisations. We argue that each theoretical perspective has its own explanatory power and that a combination of the two facilitates a much richer interpretation of IS implementation by linking macro- and micro-levels of analysis. To illustrate this, we report from an empirical study of the implementation of an Electronic Patient Record (EPR) system in a clinical setting. Using key constructs from the two theories, our findings address the phenomenon of implementing EPRs at three levels: the organisational field, the organisational/group, and the individual/socio-cognitive level. The study shows how a rationalised myth of an efficient EPR system has travelled from the organisational field to the hospital ward and on to individual doctors. The findings also provide evidence of a strong human agency by showing how doctors enact their work practices and shape the use of the EPR system. The study contributes to IS research by showing the need to address macro-level structures, as well as individual interpretations and practical use situations, in order to identify how and why information systems are adopted by users. © 2009 JIT Palgrave Macmillan All rights reserved.","author":[{"dropping-particle":"","family":"Jensen","given":"Tina Blegind","non-dropping-particle":"","parse-names":false,"suffix":""},{"dropping-particle":"","family":"Kjærgaard","given":"Annemette","non-dropping-particle":"","parse-names":false,"suffix":""},{"dropping-particle":"","family":"Svejvig","given":"Per","non-dropping-particle":"","parse-names":false,"suffix":""}],"container-title":"Journal of Information Technology","id":"ITEM-2","issue":"4","issued":{"date-parts":[["2009"]]},"page":"343-353","title":"Using institutional theory with sensemaking theory: A case study of information system implementation in healthcare","type":"article-journal","volume":"24"},"uris":["http://www.mendeley.com/documents/?uuid=ce64e0bb-77bf-416f-b59c-b4bbd65a84e8"]},{"id":"ITEM-3","itemData":{"author":[{"dropping-particle":"","family":"Besharov","given":"Marya L.","non-dropping-particle":"","parse-names":false,"suffix":""},{"dropping-particle":"","family":"Smith","given":"Wendy K.","non-dropping-particle":"","parse-names":false,"suffix":""}],"container-title":"The Academy of Management Review","id":"ITEM-3","issue":"3","issued":{"date-parts":[["2014"]]},"page":"364-381","title":"Multiple Institutional Logics In Organizations: Explaining Their Varied Nature And Implications","type":"article-journal","volume":"39"},"uris":["http://www.mendeley.com/documents/?uuid=57cbbf37-05be-48a2-ad9d-1095a2aeb8e5"]},{"id":"ITEM-4","itemData":{"DOI":"10.1111/j.1467-9299.2012.02105.x","ISBN":"00014273","ISSN":"0170-8406","PMID":"18837629","abstract":"Over recent decades, a number of managerial reform initiatives in continental Europe have aimed at moving away from the traditional Weberian model of public administration. Such shifting bases of legitimacy are brought about by changes in the institutional logics in place, which not only provide frames of reference but also social identities and vocabularies of motive for the actors in the field. In this article, we approach the expanding research on public service motivation (PSM) by employing an institutional prism. Based on an executive survey in a continental European context, we examine the assumption that high PSM is associated with the traditional ethos and social identity in the public sector. What we find is that a Weberian legalistic-bureaucratic logic supports neither a high attraction to policy-making nor a high level of compassion. A managerial orientation, on the other hand, entails significantly higher scores on these two dimensions, as well as on overall PSM.","author":[{"dropping-particle":"","family":"Dacin","given":"M Tina","non-dropping-particle":"","parse-names":false,"suffix":""},{"dropping-particle":"","family":"Goodstein","given":"Jerry","non-dropping-particle":"","parse-names":false,"suffix":""},{"dropping-particle":"","family":"Scott","given":"W Richard","non-dropping-particle":"","parse-names":false,"suffix":""}],"container-title":"The Academy of Management Journal","id":"ITEM-4","issue":"1","issued":{"date-parts":[["2002"]]},"page":"45-56","title":"Institutional Theory and Institutional Change: Introduction to the Special Research Forum","type":"article-journal","volume":"45"},"uris":["http://www.mendeley.com/documents/?uuid=ce784237-38a8-4089-a19f-9157aeaf33bb"]},{"id":"ITEM-5","itemData":{"DOI":"10.1093/acprof","ISBN":"9780199682676","ISSN":"0873626X","PMID":"16683413","abstract":"This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-5","issued":{"date-parts":[["2012"]]},"publisher":"Oxford Acdemic","publisher-place":"Oxford","title":"The Institutional Logics Perspective: A New Approach to Culture, Structure and Process","type":"book"},"uris":["http://www.mendeley.com/documents/?uuid=7afe7588-cd0b-4a95-b78a-3214c1130169"]},{"id":"ITEM-6","itemData":{"DOI":"10.1177/2631787720960487","ISSN":"26317877","abstract":"The institutional logics perspective has the explanatory power and potential to further contribute to our understanding of some of the most pressing societal concerns of our time. In this article, we develop the logics perspective along four analytical dimensions – macro-level positioning, contextuality, temporality and value plurality – which, we argue, can be leveraged to research and address grand challenges. We elaborate the currency of these dimensions in the context of the grand challenge of climate change. In doing so, we demonstrate the overall value of a logics perspective for engaging grand challenges.","author":[{"dropping-particle":"","family":"Gümüsay","given":"Ali Aslan","non-dropping-particle":"","parse-names":false,"suffix":""},{"dropping-particle":"","family":"Claus","given":"Laura","non-dropping-particle":"","parse-names":false,"suffix":""},{"dropping-particle":"","family":"Amis","given":"John","non-dropping-particle":"","parse-names":false,"suffix":""}],"container-title":"Organization Theory","id":"ITEM-6","issue":"3","issued":{"date-parts":[["2020"]]},"page":"1 - 20","title":"Engaging with Grand Challenges: An Institutional Logics Perspective","type":"article-journal","volume":"1"},"uris":["http://www.mendeley.com/documents/?uuid=dacf5638-66f7-4439-89e3-4c36bebc3e96"]}],"mendeley":{"formattedCitation":"(Gümüsay, Claus, &amp; Amis, 2020; Marano &amp; Kostova, 2016; Besharov &amp; Smith, 2014; Thornton, Ocasio, &amp; Lounsbury, 2012; Jensen, Kjærgaard, &amp; Svejvig, 2009; Dacin, Goodstein, &amp; Scott, 2002)","plainTextFormattedCitation":"(Gümüsay, Claus, &amp; Amis, 2020; Marano &amp; Kostova, 2016; Besharov &amp; Smith, 2014; Thornton, Ocasio, &amp; Lounsbury, 2012; Jensen, Kjærgaard, &amp; Svejvig, 2009; Dacin, Goodstein, &amp; Scott, 2002)","previouslyFormattedCitation":"(Gümüsay, Claus, &amp; Amis, 2020; Marano &amp; Kostova, 2016; Besharov &amp; Smith, 2014; Thornton, Ocasio, &amp; Lounsbury, 2012; Jensen, Kjærgaard, &amp; Svejvig, 2009; Dacin, Goodstein, &amp; Scott, 2002)"},"properties":{"noteIndex":0},"schema":"https://github.com/citation-style-language/schema/raw/master/csl-citation.json"}</w:instrText>
      </w:r>
      <w:r>
        <w:rPr>
          <w:rFonts w:cs="Calibri"/>
        </w:rPr>
        <w:fldChar w:fldCharType="separate"/>
      </w:r>
      <w:r w:rsidR="007C12EC" w:rsidRPr="007C12EC">
        <w:rPr>
          <w:rFonts w:cs="Calibri"/>
          <w:noProof/>
        </w:rPr>
        <w:t>(Gümüsay, Claus, &amp; Amis, 2020; Marano &amp; Kostova, 2016; Besharov &amp; Smith, 2014; Thornton, Ocasio, &amp; Lounsbury, 2012; Jensen, Kjærgaard, &amp; Svejvig, 2009; Dacin, Goodstein, &amp; Scott, 2002)</w:t>
      </w:r>
      <w:r>
        <w:rPr>
          <w:rFonts w:cs="Calibri"/>
        </w:rPr>
        <w:fldChar w:fldCharType="end"/>
      </w:r>
      <w:r>
        <w:rPr>
          <w:rFonts w:cs="Calibri"/>
        </w:rPr>
        <w:t xml:space="preserve">. </w:t>
      </w:r>
      <w:r>
        <w:fldChar w:fldCharType="begin" w:fldLock="1"/>
      </w:r>
      <w:r w:rsidR="00974B75">
        <w:rPr>
          <w:rFonts w:cs="Calibri"/>
        </w:rPr>
        <w:instrText>ADDIN CSL_CITATION {"citationItems":[{"id":"ITEM-1","itemData":{"DOI":"10.1007/s10551-017-3775-0","ISBN":"1055101737750","ISSN":"15730697","abstract":"This study examines how institutional logics interplay in a cross-sector social partnership that manages refugee integration in a rural district in Germany. In an inductive 15-month case study that drew on interviews and observations, we observe the dynamic materialization of institutional logics in day-to-day practices and an increasing contradiction and even rivalry between community- and market-based institutional logics over time. As a result, we delineate a model explaining the interplay of institutional logics along two dimensions: the dominance of one salient logic and whether conflicts arise among logics. Our analysis also addresses the unifying properties of community as an institutional logic, especially in the context of urgency conditions. In addition, we show the influence of exogenous events and their media coverage on the interplay and conflicts of institutional logics. By unfolding the complexity of refugee integration—one of the global grand challenges of the present—we deepen the current understanding of the specific challenges addressed by cross-sector social partnerships.","author":[{"dropping-particle":"","family":"Hesse","given":"Andreas","non-dropping-particle":"","parse-names":false,"suffix":""},{"dropping-particle":"","family":"Kreutzer","given":"Karin","non-dropping-particle":"","parse-names":false,"suffix":""},{"dropping-particle":"","family":"Diehl","given":"Marjo Riitta","non-dropping-particle":"","parse-names":false,"suffix":""}],"container-title":"Journal of Business Ethics","id":"ITEM-1","issued":{"date-parts":[["2019"]]},"page":"679-704","title":"Dynamics of Institutional Logics in a Cross-Sector Social Partnership: The Case of Refugee Integration in Germany","type":"article-journal","volume":"159"},"uris":["http://www.mendeley.com/documents/?uuid=72ea7223-f32f-42e0-8843-5be6e7e0fe2e"]}],"mendeley":{"formattedCitation":"(Hesse, Kreutzer, &amp; Diehl, 2019)","manualFormatting":"Hesse et al. (2019)","plainTextFormattedCitation":"(Hesse, Kreutzer, &amp; Diehl, 2019)","previouslyFormattedCitation":"(Hesse, Kreutzer, &amp; Diehl, 2019)"},"properties":{"noteIndex":0},"schema":"https://github.com/citation-style-language/schema/raw/master/csl-citation.json"}</w:instrText>
      </w:r>
      <w:r>
        <w:rPr>
          <w:rFonts w:cs="Calibri"/>
        </w:rPr>
        <w:fldChar w:fldCharType="separate"/>
      </w:r>
      <w:r>
        <w:rPr>
          <w:rFonts w:cs="Calibri"/>
          <w:noProof/>
        </w:rPr>
        <w:t>Hesse et al. (2019)</w:t>
      </w:r>
      <w:r>
        <w:rPr>
          <w:rFonts w:cs="Calibri"/>
        </w:rPr>
        <w:fldChar w:fldCharType="end"/>
      </w:r>
      <w:r>
        <w:rPr>
          <w:rFonts w:cs="Calibri"/>
        </w:rPr>
        <w:t xml:space="preserve"> explored this temporality within cross sector partnerships and refugee integration in Germany and examined how the societal logics of </w:t>
      </w:r>
      <w:r>
        <w:rPr>
          <w:rFonts w:cs="Calibri"/>
          <w:i/>
          <w:iCs/>
        </w:rPr>
        <w:t>state</w:t>
      </w:r>
      <w:r>
        <w:rPr>
          <w:rFonts w:cs="Calibri"/>
        </w:rPr>
        <w:t xml:space="preserve">, </w:t>
      </w:r>
      <w:r>
        <w:rPr>
          <w:rFonts w:cs="Calibri"/>
          <w:i/>
          <w:iCs/>
        </w:rPr>
        <w:t>community</w:t>
      </w:r>
      <w:r>
        <w:rPr>
          <w:rFonts w:cs="Calibri"/>
        </w:rPr>
        <w:t xml:space="preserve"> and the </w:t>
      </w:r>
      <w:r>
        <w:rPr>
          <w:rFonts w:cs="Calibri"/>
          <w:i/>
          <w:iCs/>
        </w:rPr>
        <w:t>market</w:t>
      </w:r>
      <w:r>
        <w:rPr>
          <w:rFonts w:cs="Calibri"/>
        </w:rPr>
        <w:t xml:space="preserve"> adapted and conflicted at different moments in time</w:t>
      </w:r>
      <w:r w:rsidR="00835F7C">
        <w:rPr>
          <w:rFonts w:cs="Calibri"/>
        </w:rPr>
        <w:t>. They noted that the</w:t>
      </w:r>
      <w:r>
        <w:rPr>
          <w:rFonts w:cs="Calibri"/>
        </w:rPr>
        <w:t xml:space="preserve"> initial introduction of the refugee population link</w:t>
      </w:r>
      <w:r w:rsidR="00835F7C">
        <w:rPr>
          <w:rFonts w:cs="Calibri"/>
        </w:rPr>
        <w:t>ed</w:t>
      </w:r>
      <w:r>
        <w:rPr>
          <w:rFonts w:cs="Calibri"/>
        </w:rPr>
        <w:t xml:space="preserve"> to community logics but as time went on there was greater focus on market logic with increasing expectations that the refugee population would contribute economically to society. Those findings suggests that logics are not temporally static as they change and develop over time. This temporality of logics is important for organisations such as SYFR which work within time critical environments, responding to emergencies, and as such may have to implement different logics at different times, as examined in chapter 5.</w:t>
      </w:r>
    </w:p>
    <w:p w14:paraId="2BC875FB" w14:textId="77777777" w:rsidR="00787F73" w:rsidRDefault="00787F73" w:rsidP="00866155">
      <w:pPr>
        <w:contextualSpacing/>
        <w:rPr>
          <w:rFonts w:cs="Calibri"/>
        </w:rPr>
      </w:pPr>
    </w:p>
    <w:p w14:paraId="4462FB78" w14:textId="381ED035" w:rsidR="00787F73" w:rsidRDefault="00742FB7" w:rsidP="00866155">
      <w:pPr>
        <w:contextualSpacing/>
      </w:pPr>
      <w:r>
        <w:rPr>
          <w:rFonts w:cs="Calibri"/>
        </w:rPr>
        <w:t xml:space="preserve">Within pluralistic organisations, individuals can have a sense of agency in how they interpret and implement different logics </w:t>
      </w:r>
      <w:r>
        <w:fldChar w:fldCharType="begin" w:fldLock="1"/>
      </w:r>
      <w:r w:rsidR="00974B75">
        <w:rPr>
          <w:rFonts w:cs="Calibri"/>
        </w:rPr>
        <w:instrText>ADDIN CSL_CITATION {"citationItems":[{"id":"ITEM-1","itemData":{"DOI":"10.1108/S0733-558X(2013)0039A&amp;B015","ISSN":"0733558X","abstract":"This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Organizations","id":"ITEM-1","issue":"B","issued":{"date-parts":[["2013"]]},"page":"37-61","publisher":"Emerald Group Publishing Limited","title":"Institutional ambidexterity: Leveraging institutional complexity in practice","type":"article-journal","volume":"39"},"uris":["http://www.mendeley.com/documents/?uuid=ff8dc873-f050-4c05-bdec-08925d6e6ab8"]},{"id":"ITEM-2","itemData":{"DOI":"10.1177/1476127015625040","author":[{"dropping-particle":"","family":"Ocasio","given":"William","non-dropping-particle":"","parse-names":false,"suffix":""},{"dropping-particle":"","family":"Radoynovska","given":"Nevena","non-dropping-particle":"","parse-names":false,"suffix":""}],"container-title":"Strategic Organization","id":"ITEM-2","issue":"4","issued":{"date-parts":[["2016"]]},"page":"287 - 309","title":"Strategy and commitments to institutional logics : Organizational heterogeneity in business models and governance","type":"article-journal","volume":"14"},"uris":["http://www.mendeley.com/documents/?uuid=eede86b6-3a39-4b52-acc9-94e8cc3fbd5e"]}],"mendeley":{"formattedCitation":"(Ocasio &amp; Radoynovska, 2016; Jarzabkowski et al., 2013)","plainTextFormattedCitation":"(Ocasio &amp; Radoynovska, 2016; Jarzabkowski et al., 2013)","previouslyFormattedCitation":"(Ocasio &amp; Radoynovska, 2016; Jarzabkowski et al., 2013)"},"properties":{"noteIndex":0},"schema":"https://github.com/citation-style-language/schema/raw/master/csl-citation.json"}</w:instrText>
      </w:r>
      <w:r>
        <w:rPr>
          <w:rFonts w:cs="Calibri"/>
        </w:rPr>
        <w:fldChar w:fldCharType="separate"/>
      </w:r>
      <w:r>
        <w:rPr>
          <w:rFonts w:cs="Calibri"/>
          <w:noProof/>
        </w:rPr>
        <w:t>(Ocasio &amp; Radoynovska, 2016; Jarzabkowski et al., 2013)</w:t>
      </w:r>
      <w:r>
        <w:rPr>
          <w:rFonts w:cs="Calibri"/>
        </w:rPr>
        <w:fldChar w:fldCharType="end"/>
      </w:r>
      <w:r>
        <w:rPr>
          <w:rFonts w:cs="Calibri"/>
        </w:rPr>
        <w:t xml:space="preserve">. Exploring agency within institutional pluralism has been examined within the healthcare sector </w:t>
      </w:r>
      <w:r>
        <w:fldChar w:fldCharType="begin" w:fldLock="1"/>
      </w:r>
      <w:r>
        <w:rPr>
          <w:rFonts w:cs="Calibri"/>
        </w:rPr>
        <w:instrText>ADDIN CSL_CITATION {"citationItems":[{"id":"ITEM-1","itemData":{"DOI":"10.1177/0170840615604503","ISSN":"17413044","abstract":"Our study examines how interdependent actors in a professionalized context interpret the co-occurrence of a professional logic and a policy-driven logic. The empirical setting comprises two hospitals in the English National Health Service. Two issues stand out. First, our study shows that any logic is variegated and ambiguous, so policymakers and organizational managers cannot assume that they are easily blended. Second, it shows how nurse consultants exhibit agency in blending these two logics in pursuit of positional gain in professional and managerial organization. They can do so because of their ambiguous status level: in comparison to doctors, their status as nurses is low; within the nursing profession their status is high. Theoretically, by focusing upon interpretation of multiple institutional logics at the micro level, our study renders visible the agency of interpreting actors, interdependency of actors, their interpretation of institutional logics, situational context, and the effect of, and upon, social position of actors.","author":[{"dropping-particle":"","family":"Currie","given":"Graeme","non-dropping-particle":"","parse-names":false,"suffix":""},{"dropping-particle":"","family":"Spyridonidis","given":"Dimitrios","non-dropping-particle":"","parse-names":false,"suffix":""}],"container-title":"Organization Studies","id":"ITEM-1","issue":"1","issued":{"date-parts":[["2016"]]},"page":"77-97","title":"Interpretation of Multiple Institutional Logics on the Ground: Actors’ Position, their Agency and Situational Constraints in Professionalized Contexts","type":"article-journal","volume":"37"},"uris":["http://www.mendeley.com/documents/?uuid=be657142-d26b-4dc5-bf61-aff1e8d069fa"]}],"mendeley":{"formattedCitation":"(Currie &amp; Spyridonidis, 2016)","plainTextFormattedCitation":"(Currie &amp; Spyridonidis, 2016)","previouslyFormattedCitation":"(Currie &amp; Spyridonidis, 2016)"},"properties":{"noteIndex":0},"schema":"https://github.com/citation-style-language/schema/raw/master/csl-citation.json"}</w:instrText>
      </w:r>
      <w:r>
        <w:rPr>
          <w:rFonts w:cs="Calibri"/>
        </w:rPr>
        <w:fldChar w:fldCharType="separate"/>
      </w:r>
      <w:r>
        <w:rPr>
          <w:rFonts w:cs="Calibri"/>
          <w:noProof/>
        </w:rPr>
        <w:t>(Currie &amp; Spyridonidis, 2016)</w:t>
      </w:r>
      <w:r>
        <w:rPr>
          <w:rFonts w:cs="Calibri"/>
        </w:rPr>
        <w:fldChar w:fldCharType="end"/>
      </w:r>
      <w:r>
        <w:rPr>
          <w:rFonts w:cs="Calibri"/>
        </w:rPr>
        <w:t xml:space="preserve"> and within cross sector partnerships </w:t>
      </w:r>
      <w:r>
        <w:fldChar w:fldCharType="begin" w:fldLock="1"/>
      </w:r>
      <w:r w:rsidR="00974B75">
        <w:rPr>
          <w:rFonts w:cs="Calibri"/>
        </w:rPr>
        <w:instrText>ADDIN CSL_CITATION {"citationItems":[{"id":"ITEM-1","itemData":{"DOI":"10.1007/s10551-017-3775-0","ISBN":"1055101737750","ISSN":"15730697","abstract":"This study examines how institutional logics interplay in a cross-sector social partnership that manages refugee integration in a rural district in Germany. In an inductive 15-month case study that drew on interviews and observations, we observe the dynamic materialization of institutional logics in day-to-day practices and an increasing contradiction and even rivalry between community- and market-based institutional logics over time. As a result, we delineate a model explaining the interplay of institutional logics along two dimensions: the dominance of one salient logic and whether conflicts arise among logics. Our analysis also addresses the unifying properties of community as an institutional logic, especially in the context of urgency conditions. In addition, we show the influence of exogenous events and their media coverage on the interplay and conflicts of institutional logics. By unfolding the complexity of refugee integration—one of the global grand challenges of the present—we deepen the current understanding of the specific challenges addressed by cross-sector social partnerships.","author":[{"dropping-particle":"","family":"Hesse","given":"Andreas","non-dropping-particle":"","parse-names":false,"suffix":""},{"dropping-particle":"","family":"Kreutzer","given":"Karin","non-dropping-particle":"","parse-names":false,"suffix":""},{"dropping-particle":"","family":"Diehl","given":"Marjo Riitta","non-dropping-particle":"","parse-names":false,"suffix":""}],"container-title":"Journal of Business Ethics","id":"ITEM-1","issued":{"date-parts":[["2019"]]},"page":"679-704","title":"Dynamics of Institutional Logics in a Cross-Sector Social Partnership: The Case of Refugee Integration in Germany","type":"article-journal","volume":"159"},"uris":["http://www.mendeley.com/documents/?uuid=72ea7223-f32f-42e0-8843-5be6e7e0fe2e"]}],"mendeley":{"formattedCitation":"(Hesse, Kreutzer, &amp; Diehl, 2019)","plainTextFormattedCitation":"(Hesse, Kreutzer, &amp; Diehl, 2019)","previouslyFormattedCitation":"(Hesse, Kreutzer, &amp; Diehl, 2019)"},"properties":{"noteIndex":0},"schema":"https://github.com/citation-style-language/schema/raw/master/csl-citation.json"}</w:instrText>
      </w:r>
      <w:r>
        <w:rPr>
          <w:rFonts w:cs="Calibri"/>
        </w:rPr>
        <w:fldChar w:fldCharType="separate"/>
      </w:r>
      <w:r>
        <w:rPr>
          <w:rFonts w:cs="Calibri"/>
          <w:noProof/>
        </w:rPr>
        <w:t>(Hesse, Kreutzer, &amp; Diehl, 2019)</w:t>
      </w:r>
      <w:r>
        <w:rPr>
          <w:rFonts w:cs="Calibri"/>
        </w:rPr>
        <w:fldChar w:fldCharType="end"/>
      </w:r>
      <w:r>
        <w:rPr>
          <w:rFonts w:cs="Calibri"/>
        </w:rPr>
        <w:t xml:space="preserve">; however, there is a gap in the literature surrounding the lived experiences of individuals working within a pluralistic environment based within blue-light organisations, such as SYFR. </w:t>
      </w:r>
      <w:r w:rsidR="00673A6F">
        <w:rPr>
          <w:rFonts w:cs="Calibri"/>
        </w:rPr>
        <w:t xml:space="preserve">This was supported by the choice to conduct an institutional ethnography (see section 3.3.2) to examine the role of </w:t>
      </w:r>
      <w:r w:rsidR="00AD5F82">
        <w:rPr>
          <w:rFonts w:cs="Calibri"/>
        </w:rPr>
        <w:t xml:space="preserve">SYFR’s </w:t>
      </w:r>
      <w:r w:rsidR="00AE238C">
        <w:rPr>
          <w:rFonts w:cs="Calibri"/>
        </w:rPr>
        <w:t>C</w:t>
      </w:r>
      <w:r w:rsidR="00AD5F82">
        <w:rPr>
          <w:rFonts w:cs="Calibri"/>
        </w:rPr>
        <w:t>ommunication</w:t>
      </w:r>
      <w:r w:rsidR="001028E7">
        <w:rPr>
          <w:rFonts w:cs="Calibri"/>
        </w:rPr>
        <w:t>s</w:t>
      </w:r>
      <w:r w:rsidR="00AD5F82">
        <w:rPr>
          <w:rFonts w:cs="Calibri"/>
        </w:rPr>
        <w:t xml:space="preserve"> team</w:t>
      </w:r>
      <w:r w:rsidR="00AE238C">
        <w:rPr>
          <w:rFonts w:cs="Calibri"/>
        </w:rPr>
        <w:t>’</w:t>
      </w:r>
      <w:r w:rsidR="00AD5F82">
        <w:rPr>
          <w:rFonts w:cs="Calibri"/>
        </w:rPr>
        <w:t xml:space="preserve">s </w:t>
      </w:r>
      <w:r w:rsidR="00673A6F">
        <w:rPr>
          <w:rFonts w:cs="Calibri"/>
        </w:rPr>
        <w:t xml:space="preserve">agency within </w:t>
      </w:r>
      <w:r w:rsidR="00673A6F">
        <w:rPr>
          <w:rFonts w:cs="Calibri"/>
        </w:rPr>
        <w:lastRenderedPageBreak/>
        <w:t xml:space="preserve">pluralistic environments. </w:t>
      </w:r>
      <w:r>
        <w:rPr>
          <w:rFonts w:cs="Calibri"/>
        </w:rPr>
        <w:t xml:space="preserve">This </w:t>
      </w:r>
      <w:r w:rsidR="009727AC">
        <w:rPr>
          <w:rFonts w:cs="Calibri"/>
        </w:rPr>
        <w:t>is</w:t>
      </w:r>
      <w:r>
        <w:rPr>
          <w:rFonts w:cs="Calibri"/>
        </w:rPr>
        <w:t xml:space="preserve"> </w:t>
      </w:r>
      <w:r w:rsidR="001F7965">
        <w:rPr>
          <w:rFonts w:cs="Calibri"/>
        </w:rPr>
        <w:t xml:space="preserve">analysed </w:t>
      </w:r>
      <w:r>
        <w:rPr>
          <w:rFonts w:cs="Calibri"/>
        </w:rPr>
        <w:t xml:space="preserve">in both RQ1 and RQ2, with RQ1 examining how SYFR create their communication strategy within a pluralistic environment (discussed in chapter 4), and RQ2 delving further into the institutions that have influenced these choices and how they intersect and interact with each other at different times (discussed in chapter 5). </w:t>
      </w:r>
      <w:r w:rsidR="001F7965">
        <w:rPr>
          <w:rFonts w:cs="Calibri"/>
        </w:rPr>
        <w:t xml:space="preserve">Analysing </w:t>
      </w:r>
      <w:r>
        <w:rPr>
          <w:rFonts w:cs="Calibri"/>
        </w:rPr>
        <w:t>the management of different logics suggests that organisations and the people working within them have agency in maintaining and shaping the institution.</w:t>
      </w:r>
    </w:p>
    <w:p w14:paraId="245609E8" w14:textId="77777777" w:rsidR="00787F73" w:rsidRDefault="00787F73" w:rsidP="00866155">
      <w:pPr>
        <w:rPr>
          <w:rFonts w:cs="Calibri"/>
        </w:rPr>
      </w:pPr>
    </w:p>
    <w:p w14:paraId="13C6BE8F" w14:textId="77777777" w:rsidR="00787F73" w:rsidRDefault="00742FB7" w:rsidP="00866155">
      <w:pPr>
        <w:pStyle w:val="Heading4"/>
        <w:spacing w:line="360" w:lineRule="auto"/>
      </w:pPr>
      <w:bookmarkStart w:id="112" w:name="_Toc67579731"/>
      <w:bookmarkStart w:id="113" w:name="_Toc98148292"/>
      <w:bookmarkStart w:id="114" w:name="_Toc93410792"/>
      <w:bookmarkStart w:id="115" w:name="_Toc139645565"/>
      <w:bookmarkStart w:id="116" w:name="_Toc139636610"/>
      <w:r>
        <w:rPr>
          <w:rFonts w:ascii="Calibri" w:hAnsi="Calibri" w:cs="Calibri"/>
        </w:rPr>
        <w:t xml:space="preserve">The role of Individual agency </w:t>
      </w:r>
      <w:bookmarkEnd w:id="112"/>
      <w:bookmarkEnd w:id="113"/>
      <w:bookmarkEnd w:id="114"/>
      <w:r>
        <w:rPr>
          <w:rFonts w:ascii="Calibri" w:hAnsi="Calibri" w:cs="Calibri"/>
        </w:rPr>
        <w:t>in institutions</w:t>
      </w:r>
      <w:bookmarkEnd w:id="115"/>
      <w:bookmarkEnd w:id="116"/>
    </w:p>
    <w:p w14:paraId="4A892D0B" w14:textId="77777777" w:rsidR="00787F73" w:rsidRDefault="00742FB7" w:rsidP="00866155">
      <w:pPr>
        <w:contextualSpacing/>
      </w:pPr>
      <w:r>
        <w:rPr>
          <w:rFonts w:cs="Calibri"/>
        </w:rPr>
        <w:t xml:space="preserve">Institutional theory literature has historically discussed how institutions impact the structure and culture within an organisation </w:t>
      </w:r>
      <w:r>
        <w:fldChar w:fldCharType="begin" w:fldLock="1"/>
      </w:r>
      <w:r w:rsidR="00D177B9">
        <w:rPr>
          <w:rFonts w:cs="Calibri"/>
        </w:rPr>
        <w:instrText>ADDIN CSL_CITATION {"citationItems":[{"id":"ITEM-1","itemData":{"DOI":"10.3917/mana.155.0583","ISBN":"0199601933","ISSN":"1286-4692","abstract":"How do institutions influence and shape cognition and action in individuals and organizations, and how are they in turn shaped by them? Various social science disciplines have offered a range of theories and perspectives to provide answers to this question. Within organization studies in recent years, several scholars have developed the institutional logics perspective. An institutional logic is the set of material practices and symbolic systems including assumptions, values, and beliefs by which individuals and organizations provide meaning to their daily activity, organize time and space, and reproduce their lives and experiences. This approach affords significant insights, methodologies, and research tools, to analyze the multiple combinations of factors that may determine cognition, behaviour, and rationalities. In tracing the development of the institutional logics perspective from earlier institutional theory, the book analyzes seminal research, illustrating how and why influential works on institutional theory motivated a distinct new approach to scholarship on institutional logics. The book shows how the institutional logics perspective transforms institutional theory. It presents novel theory, further elaborates the institutional logics perspective, and forges new linkages to key literatures on practice, identity, and social and cognitive psychology. It develops the microfoundations of institutional logics and institutional entrepreneurship, proposing a set of mechanisms that go beyond meta-theory, integrating this work with macro theory on institutional logics into a cross-levels model of cultural heterogeneity. By incorporating current psychological understanding of human behaviour and linking it to sociological perspectives, it aims to provide an encompassing framework for institutional analysis, and to be an essential and accessible reference for scholars and advanced students of organizational behaviour, organization and management theory, business strategy, and cultural sociology.","author":[{"dropping-particle":"","family":"Friedland","given":"Roger","non-dropping-particle":"","parse-names":false,"suffix":""}],"container-title":"M@n@gement","id":"ITEM-1","issue":"5","issued":{"date-parts":[["2012"]]},"page":"583 - 595","title":"The Institutional logics Perspective: A new approach to culture, Structure, and Process. Patricia H. Thornton, William Ocasio, and Michael Lounsbury (2012). Oxford: Oxford University Press","type":"article-journal","volume":"15"},"uris":["http://www.mendeley.com/documents/?uuid=a33863ca-056b-4f97-a8bf-716e2695fe66"]},{"id":"ITEM-2","itemData":{"DOI":"10.1093/acprof","ISBN":"9780199682676","ISSN":"0873626X","PMID":"16683413","abstract":"This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-2","issued":{"date-parts":[["2012"]]},"publisher":"Oxford Acdemic","publisher-place":"Oxford","title":"The Institutional Logics Perspective: A New Approach to Culture, Structure and Process","type":"book"},"uris":["http://www.mendeley.com/documents/?uuid=7afe7588-cd0b-4a95-b78a-3214c1130169"]}],"mendeley":{"formattedCitation":"(Friedland, 2012; Thornton, Ocasio, &amp; Lounsbury, 2012)","plainTextFormattedCitation":"(Friedland, 2012; Thornton, Ocasio, &amp; Lounsbury, 2012)","previouslyFormattedCitation":"(Friedland, 2012; Thornton, Ocasio, &amp; Lounsbury, 2012)"},"properties":{"noteIndex":0},"schema":"https://github.com/citation-style-language/schema/raw/master/csl-citation.json"}</w:instrText>
      </w:r>
      <w:r>
        <w:rPr>
          <w:rFonts w:cs="Calibri"/>
        </w:rPr>
        <w:fldChar w:fldCharType="separate"/>
      </w:r>
      <w:r w:rsidR="00E37B0E" w:rsidRPr="00E37B0E">
        <w:rPr>
          <w:rFonts w:cs="Calibri"/>
          <w:noProof/>
        </w:rPr>
        <w:t>(Friedland, 2012; Thornton, Ocasio, &amp; Lounsbury, 2012)</w:t>
      </w:r>
      <w:r>
        <w:rPr>
          <w:rFonts w:cs="Calibri"/>
        </w:rPr>
        <w:fldChar w:fldCharType="end"/>
      </w:r>
      <w:r>
        <w:rPr>
          <w:rFonts w:cs="Calibri"/>
        </w:rPr>
        <w:t xml:space="preserve">; however, this overlooks the role of the individual in working within and shaping the institution. There is now a growing body of literature on institutional entrepreneurs and how individuals use agency to create, maintain and disrupt the logics of the institution </w:t>
      </w:r>
      <w:r>
        <w:fldChar w:fldCharType="begin" w:fldLock="1"/>
      </w:r>
      <w:r w:rsidR="00974B75">
        <w:rPr>
          <w:rFonts w:cs="Calibri"/>
        </w:rPr>
        <w:instrText>ADDIN CSL_CITATION {"citationItems":[{"id":"ITEM-1","itemData":{"DOI":"10.5465/amr.2015.0020","ISBN":"354068297X","ISSN":"03029743","PMID":"127021146","abstract":"In this article I argue that the quest to establish microfoundations for institutional theory is hindered by two assumptions on which it currently rests: that structure simply con-strains and enables action and that agency is mostly associated with reflexivity. I un-pack these two assumptions and propose alternative microfoundations on which (1) structure not only constrains and enables action but also actively orients it toward some possibilities over others, and (2) the pre-reflective dimension of agency is explicitly theorized. It thus becomes possible to bridge long-standing divides within institutional theory, opening up avenues for further developing its microfoundations.","author":[{"dropping-particle":"","family":"Cardinale","given":"Ivano","non-dropping-particle":"","parse-names":false,"suffix":""}],"container-title":"Academy of Management Review","id":"ITEM-1","issue":"1","issued":{"date-parts":[["2018"]]},"page":"132-155","title":"Beyond Constraining and Enabling: Toward New Microfoundations for Institutional Theory","type":"article-journal","volume":"43"},"uris":["http://www.mendeley.com/documents/?uuid=d9c484f7-3075-4731-8304-8986df5d71a1"]},{"id":"ITEM-2","itemData":{"ISBN":"1526415054","author":[{"dropping-particle":"","family":"Greenwood","given":"Royston","non-dropping-particle":"","parse-names":false,"suffix":""},{"dropping-particle":"","family":"Oliver","given":"Christine","non-dropping-particle":"","parse-names":false,"suffix":""},{"dropping-particle":"","family":"Sahlin","given":"Kerstin","non-dropping-particle":"","parse-names":false,"suffix":""},{"dropping-particle":"","family":"Suddaby","given":"Roy","non-dropping-particle":"","parse-names":false,"suffix":""}],"chapter-number":"1","container-title":"The Sage handbook of Organizational Institutionalism","editor":[{"dropping-particle":"","family":"Greenwood","given":"Royston","non-dropping-particle":"","parse-names":false,"suffix":""},{"dropping-particle":"","family":"Oliver","given":"Christine","non-dropping-particle":"","parse-names":false,"suffix":""},{"dropping-particle":"","family":"Lawrence","given":"Thomas B","non-dropping-particle":"","parse-names":false,"suffix":""},{"dropping-particle":"","family":"Meyer","given":"Renate E","non-dropping-particle":"","parse-names":false,"suffix":""}],"id":"ITEM-2","issued":{"date-parts":[["2008"]]},"page":"1 -34","publisher":"Sage","publisher-place":"London","title":"Introduction","type":"chapter"},"uris":["http://www.mendeley.com/documents/?uuid=3fed7a46-7a1f-43ad-aae4-af5880dadba6"]},{"id":"ITEM-3","itemData":{"DOI":"10.1177/1056492609347564","ISSN":"10564926","abstract":"This essay offers a critical summation of the use of neo-institutionalism to study organizations. While institutionalism has succeeded in becoming the dominant theory to study macro-organizational phenomena, there is a danger that the theory has been stretched far beyond its core purpose-to understand how organizational structures and processes acquire meaning and continuity beyond their technical goals. I discuss some possible reasons for this displacement and identify four nascent threads of research that hold strong potential for bringing institutional theory back to its core assumptions and objectives; categories, language, work, and aesthetics. © The Author(s) 2010.","author":[{"dropping-particle":"","family":"Suddaby","given":"Roy","non-dropping-particle":"","parse-names":false,"suffix":""}],"container-title":"Journal of Management Inquiry","id":"ITEM-3","issue":"1","issued":{"date-parts":[["2010"]]},"page":"14-20","title":"Challenges for institutional theory","type":"article-journal","volume":"19"},"uris":["http://www.mendeley.com/documents/?uuid=48d38a20-6474-4586-8ab9-0cdc9bff1589"]},{"id":"ITEM-4","itemData":{"DOI":"10.1111/j.1467-9299.2012.02105.x","ISBN":"00014273","ISSN":"0170-8406","PMID":"18837629","abstract":"Over recent decades, a number of managerial reform initiatives in continental Europe have aimed at moving away from the traditional Weberian model of public administration. Such shifting bases of legitimacy are brought about by changes in the institutional logics in place, which not only provide frames of reference but also social identities and vocabularies of motive for the actors in the field. In this article, we approach the expanding research on public service motivation (PSM) by employing an institutional prism. Based on an executive survey in a continental European context, we examine the assumption that high PSM is associated with the traditional ethos and social identity in the public sector. What we find is that a Weberian legalistic-bureaucratic logic supports neither a high attraction to policy-making nor a high level of compassion. A managerial orientation, on the other hand, entails significantly higher scores on these two dimensions, as well as on overall PSM.","author":[{"dropping-particle":"","family":"Dacin","given":"M Tina","non-dropping-particle":"","parse-names":false,"suffix":""},{"dropping-particle":"","family":"Goodstein","given":"Jerry","non-dropping-particle":"","parse-names":false,"suffix":""},{"dropping-particle":"","family":"Scott","given":"W Richard","non-dropping-particle":"","parse-names":false,"suffix":""}],"container-title":"The Academy of Management Journal","id":"ITEM-4","issue":"1","issued":{"date-parts":[["2002"]]},"page":"45-56","title":"Institutional Theory and Institutional Change: Introduction to the Special Research Forum","type":"article-journal","volume":"45"},"uris":["http://www.mendeley.com/documents/?uuid=ce784237-38a8-4089-a19f-9157aeaf33bb"]},{"id":"ITEM-5","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Practice","id":"ITEM-5","issue":"3","issued":{"date-parts":[["2010"]]},"page":"421-440","title":"Institutional theory and entrepreneurship: Where are we now and where do we need to move in the future?","type":"article-journal","volume":"34"},"uris":["http://www.mendeley.com/documents/?uuid=e36ff41e-f87e-4ac2-ad15-cf1983b501ae"]}],"mendeley":{"formattedCitation":"(Cardinale, 2018; Bruton, Ahlstrom, &amp; Li, 2010; Suddaby, 2010; Greenwood et al., 2008; Dacin, Goodstein, &amp; Scott, 2002)","plainTextFormattedCitation":"(Cardinale, 2018; Bruton, Ahlstrom, &amp; Li, 2010; Suddaby, 2010; Greenwood et al., 2008; Dacin, Goodstein, &amp; Scott, 2002)","previouslyFormattedCitation":"(Cardinale, 2018; Bruton, Ahlstrom, &amp; Li, 2010; Suddaby, 2010; Greenwood et al., 2008; Dacin, Goodstein, &amp; Scott, 2002)"},"properties":{"noteIndex":0},"schema":"https://github.com/citation-style-language/schema/raw/master/csl-citation.json"}</w:instrText>
      </w:r>
      <w:r>
        <w:rPr>
          <w:rFonts w:cs="Calibri"/>
        </w:rPr>
        <w:fldChar w:fldCharType="separate"/>
      </w:r>
      <w:r>
        <w:rPr>
          <w:rFonts w:cs="Calibri"/>
          <w:noProof/>
        </w:rPr>
        <w:t>(Cardinale, 2018; Bruton, Ahlstrom, &amp; Li, 2010; Suddaby, 2010; Greenwood et al., 2008; Dacin, Goodstein, &amp; Scott, 2002)</w:t>
      </w:r>
      <w:r>
        <w:rPr>
          <w:rFonts w:cs="Calibri"/>
        </w:rPr>
        <w:fldChar w:fldCharType="end"/>
      </w:r>
      <w:r>
        <w:rPr>
          <w:rFonts w:cs="Calibri"/>
        </w:rPr>
        <w:t xml:space="preserve">. Exploring agency more widely within the institutional literature suggests that the institution is socially constructed, insofar as there is the potential for individuals to shape the institution </w:t>
      </w:r>
      <w:r>
        <w:fldChar w:fldCharType="begin" w:fldLock="1"/>
      </w:r>
      <w:r w:rsidR="00C541CC">
        <w:rPr>
          <w:rFonts w:cs="Calibri"/>
        </w:rPr>
        <w:instrText>ADDIN CSL_CITATION {"citationItems":[{"id":"ITEM-1","itemData":{"DOI":"10.1111/joms.12124","ISSN":"14676486","abstract":"Multinational enterprises (MNEs) operate in complex transnational organizational fields with multiple, diverse, and possibly conflicting institutional forces. This paper examines how such complex environments affect a firm's adoption of Corporate Social Responsibility (CSR) practices. To capture the effect of transnational fields, we consider the institutional influences of all country environments to which the firm is linked through its portfolio of operations and propose that these effects will be weighted depending on their relative salience. We identify a set of factors that make certain pressures more salient than others, including firm's economic dependence on a particular country, heterogeneity of institutional forces within the firm's transnational field, exposure to leading countries with more stringent CSR templates, and intensity and commitment to particular economic linkages (i.e., foreign direct investment versus international trade). Our hypotheses are tested and supported in a study of 710 US MNEs from 2007 to 2011 with global ties to over 100 countries.","author":[{"dropping-particle":"","family":"Marano","given":"Valentina","non-dropping-particle":"","parse-names":false,"suffix":""},{"dropping-particle":"","family":"Kostova","given":"Tatiana","non-dropping-particle":"","parse-names":false,"suffix":""}],"container-title":"Journal of Management Studies","id":"ITEM-1","issue":"1","issued":{"date-parts":[["2016"]]},"page":"28-54","title":"Unpacking the Institutional Complexity in Adoption of CSR Practices in Multinational Enterprises","type":"article-journal","volume":"53"},"uris":["http://www.mendeley.com/documents/?uuid=ded94b6d-fc3a-4b3c-b1d9-4f3038f2d4c1"]},{"id":"ITEM-2","itemData":{"DOI":"10.1057/jit.2009.11","ISSN":"02683962","abstract":"Institutional theory has proven to be a central analytical perspective for investigating the role of social and historical structures of information systems (IS) implementation. However, it does not explicitly account for how organisational actors make sense of and enact technologies in their local context. We address this limitation by exploring the potential of using institutional theory with sensemaking theory to study IS implementation in organisations. We argue that each theoretical perspective has its own explanatory power and that a combination of the two facilitates a much richer interpretation of IS implementation by linking macro- and micro-levels of analysis. To illustrate this, we report from an empirical study of the implementation of an Electronic Patient Record (EPR) system in a clinical setting. Using key constructs from the two theories, our findings address the phenomenon of implementing EPRs at three levels: the organisational field, the organisational/group, and the individual/socio-cognitive level. The study shows how a rationalised myth of an efficient EPR system has travelled from the organisational field to the hospital ward and on to individual doctors. The findings also provide evidence of a strong human agency by showing how doctors enact their work practices and shape the use of the EPR system. The study contributes to IS research by showing the need to address macro-level structures, as well as individual interpretations and practical use situations, in order to identify how and why information systems are adopted by users. © 2009 JIT Palgrave Macmillan All rights reserved.","author":[{"dropping-particle":"","family":"Jensen","given":"Tina Blegind","non-dropping-particle":"","parse-names":false,"suffix":""},{"dropping-particle":"","family":"Kjærgaard","given":"Annemette","non-dropping-particle":"","parse-names":false,"suffix":""},{"dropping-particle":"","family":"Svejvig","given":"Per","non-dropping-particle":"","parse-names":false,"suffix":""}],"container-title":"Journal of Information Technology","id":"ITEM-2","issue":"4","issued":{"date-parts":[["2009"]]},"page":"343-353","title":"Using institutional theory with sensemaking theory: A case study of information system implementation in healthcare","type":"article-journal","volume":"24"},"uris":["http://www.mendeley.com/documents/?uuid=ce64e0bb-77bf-416f-b59c-b4bbd65a84e8"]},{"id":"ITEM-3","itemData":{"author":[{"dropping-particle":"","family":"Besharov","given":"Marya L.","non-dropping-particle":"","parse-names":false,"suffix":""},{"dropping-particle":"","family":"Smith","given":"Wendy K.","non-dropping-particle":"","parse-names":false,"suffix":""}],"container-title":"The Academy of Management Review","id":"ITEM-3","issue":"3","issued":{"date-parts":[["2014"]]},"page":"364-381","title":"Multiple Institutional Logics In Organizations: Explaining Their Varied Nature And Implications","type":"article-journal","volume":"39"},"uris":["http://www.mendeley.com/documents/?uuid=57cbbf37-05be-48a2-ad9d-1095a2aeb8e5"]},{"id":"ITEM-4","itemData":{"DOI":"10.1111/j.1467-9299.2012.02105.x","ISBN":"00014273","ISSN":"0170-8406","PMID":"18837629","abstract":"Over recent decades, a number of managerial reform initiatives in continental Europe have aimed at moving away from the traditional Weberian model of public administration. Such shifting bases of legitimacy are brought about by changes in the institutional logics in place, which not only provide frames of reference but also social identities and vocabularies of motive for the actors in the field. In this article, we approach the expanding research on public service motivation (PSM) by employing an institutional prism. Based on an executive survey in a continental European context, we examine the assumption that high PSM is associated with the traditional ethos and social identity in the public sector. What we find is that a Weberian legalistic-bureaucratic logic supports neither a high attraction to policy-making nor a high level of compassion. A managerial orientation, on the other hand, entails significantly higher scores on these two dimensions, as well as on overall PSM.","author":[{"dropping-particle":"","family":"Dacin","given":"M Tina","non-dropping-particle":"","parse-names":false,"suffix":""},{"dropping-particle":"","family":"Goodstein","given":"Jerry","non-dropping-particle":"","parse-names":false,"suffix":""},{"dropping-particle":"","family":"Scott","given":"W Richard","non-dropping-particle":"","parse-names":false,"suffix":""}],"container-title":"The Academy of Management Journal","id":"ITEM-4","issue":"1","issued":{"date-parts":[["2002"]]},"page":"45-56","title":"Institutional Theory and Institutional Change: Introduction to the Special Research Forum","type":"article-journal","volume":"45"},"uris":["http://www.mendeley.com/documents/?uuid=ce784237-38a8-4089-a19f-9157aeaf33bb"]},{"id":"ITEM-5","itemData":{"DOI":"10.3917/mana.155.0583","ISBN":"0199601933","ISSN":"1286-4692","abstract":"How do institutions influence and shape cognition and action in individuals and organizations, and how are they in turn shaped by them? Various social science disciplines have offered a range of theories and perspectives to provide answers to this question. Within organization studies in recent years, several scholars have developed the institutional logics perspective. An institutional logic is the set of material practices and symbolic systems including assumptions, values, and beliefs by which individuals and organizations provide meaning to their daily activity, organize time and space, and reproduce their lives and experiences. This approach affords significant insights, methodologies, and research tools, to analyze the multiple combinations of factors that may determine cognition, behaviour, and rationalities. In tracing the development of the institutional logics perspective from earlier institutional theory, the book analyzes seminal research, illustrating how and why influential works on institutional theory motivated a distinct new approach to scholarship on institutional logics. The book shows how the institutional logics perspective transforms institutional theory. It presents novel theory, further elaborates the institutional logics perspective, and forges new linkages to key literatures on practice, identity, and social and cognitive psychology. It develops the microfoundations of institutional logics and institutional entrepreneurship, proposing a set of mechanisms that go beyond meta-theory, integrating this work with macro theory on institutional logics into a cross-levels model of cultural heterogeneity. By incorporating current psychological understanding of human behaviour and linking it to sociological perspectives, it aims to provide an encompassing framework for institutional analysis, and to be an essential and accessible reference for scholars and advanced students of organizational behaviour, organization and management theory, business strategy, and cultural sociology.","author":[{"dropping-particle":"","family":"Friedland","given":"Roger","non-dropping-particle":"","parse-names":false,"suffix":""}],"container-title":"M@n@gement","id":"ITEM-5","issue":"5","issued":{"date-parts":[["2012"]]},"page":"583 - 595","title":"The Institutional logics Perspective: A new approach to culture, Structure, and Process. Patricia H. Thornton, William Ocasio, and Michael Lounsbury (2012). Oxford: Oxford University Press","type":"article-journal","volume":"15"},"uris":["http://www.mendeley.com/documents/?uuid=a33863ca-056b-4f97-a8bf-716e2695fe66"]}],"mendeley":{"formattedCitation":"(Marano &amp; Kostova, 2016; Besharov &amp; Smith, 2014; Friedland, 2012; Jensen, Kjærgaard, &amp; Svejvig, 2009; Dacin, Goodstein, &amp; Scott, 2002)","plainTextFormattedCitation":"(Marano &amp; Kostova, 2016; Besharov &amp; Smith, 2014; Friedland, 2012; Jensen, Kjærgaard, &amp; Svejvig, 2009; Dacin, Goodstein, &amp; Scott, 2002)","previouslyFormattedCitation":"(Marano &amp; Kostova, 2016; Besharov &amp; Smith, 2014; Friedland, 2012; Jensen, Kjærgaard, &amp; Svejvig, 2009; Dacin, Goodstein, &amp; Scott, 2002)"},"properties":{"noteIndex":0},"schema":"https://github.com/citation-style-language/schema/raw/master/csl-citation.json"}</w:instrText>
      </w:r>
      <w:r>
        <w:rPr>
          <w:rFonts w:cs="Calibri"/>
        </w:rPr>
        <w:fldChar w:fldCharType="separate"/>
      </w:r>
      <w:r w:rsidR="00C541CC" w:rsidRPr="00C541CC">
        <w:rPr>
          <w:rFonts w:cs="Calibri"/>
          <w:noProof/>
        </w:rPr>
        <w:t>(Marano &amp; Kostova, 2016; Besharov &amp; Smith, 2014; Friedland, 2012; Jensen, Kjærgaard, &amp; Svejvig, 2009; Dacin, Goodstein, &amp; Scott, 2002)</w:t>
      </w:r>
      <w:r>
        <w:rPr>
          <w:rFonts w:cs="Calibri"/>
        </w:rPr>
        <w:fldChar w:fldCharType="end"/>
      </w:r>
      <w:r>
        <w:rPr>
          <w:rFonts w:cs="Calibri"/>
        </w:rPr>
        <w:t xml:space="preserve">. </w:t>
      </w:r>
    </w:p>
    <w:p w14:paraId="0B91E893" w14:textId="77777777" w:rsidR="00787F73" w:rsidRDefault="00787F73" w:rsidP="00866155">
      <w:pPr>
        <w:contextualSpacing/>
        <w:rPr>
          <w:rFonts w:cs="Calibri"/>
        </w:rPr>
      </w:pPr>
    </w:p>
    <w:p w14:paraId="77940041" w14:textId="68106B26" w:rsidR="00787F73" w:rsidRDefault="00742FB7" w:rsidP="00866155">
      <w:r>
        <w:rPr>
          <w:rFonts w:cs="Calibri"/>
        </w:rPr>
        <w:t xml:space="preserve">It is also important to understand the relationship between individuals and the institutions in terms of how the individuals </w:t>
      </w:r>
      <w:r>
        <w:rPr>
          <w:rFonts w:cs="Calibri"/>
          <w:i/>
          <w:iCs/>
        </w:rPr>
        <w:t>use</w:t>
      </w:r>
      <w:r>
        <w:rPr>
          <w:rFonts w:cs="Calibri"/>
        </w:rPr>
        <w:t xml:space="preserve"> those logics. The literature states that institutions can constrain and enable individuals, but also notes that they can interpret and use the logics in different ways </w:t>
      </w:r>
      <w:r>
        <w:fldChar w:fldCharType="begin" w:fldLock="1"/>
      </w:r>
      <w:r>
        <w:rPr>
          <w:rFonts w:cs="Calibri"/>
        </w:rPr>
        <w:instrText>ADDIN CSL_CITATION {"citationItems":[{"id":"ITEM-1","itemData":{"DOI":"10.1111/j.1540-6520.2010.00390.x","ISBN":"10422587","ISSN":"10422587","PMID":"49206381","abstract":"Institutional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Practice","id":"ITEM-1","issue":"3","issued":{"date-parts":[["2010"]]},"page":"421-440","title":"Institutional theory and entrepreneurship: Where are we now and where do we need to move in the future?","type":"article-journal","volume":"34"},"uris":["http://www.mendeley.com/documents/?uuid=e36ff41e-f87e-4ac2-ad15-cf1983b501ae"]},{"id":"ITEM-2","itemData":{"DOI":"http://dx.doi.org/10.1108/09564230910978511","ISBN":"0263557001030","ISSN":"0264-0473","PMID":"42012058","abstract":"Purpose – The institutional work literature has paid little attention to cognition and interests in the creation, maintenance, and disruption of institutions. The purpose of this paper is to explore the construct of interests as it relates to institutional work projects. The authors frame interests as recognitions situated within broader institutional meaning systems, with a specific focus on interest plurality. Design/methodology/approach – The authors conducted an 18-month ethnography exploring institutional work projects within a rural chamber of commerce. The authors aimed to understand how projects contributed to community survival on a micro-level and institutional change on a macro-level. Rural chambers of commerce represent a unique example of emergent public-private partnerships, challenging traditional commercial logics of chambers of commerce. The research design included qualitative data collection, coding, and analysis of field notes, interviews, and archival sources. Findings – Purposive action was grounded in the community inhabited by the rural chamber of commerce and not the institution itself. Recognized interests enabled nontraditional workers – public employees with newly founded and legitimate roles within the chamber – to pursue community- focussed projects. Change across the institution of chambers of commerce occurred because of the separated and aggregate projects spanning across rural communities. Originality/value – Recognized interests are a social, plural, and malleable phenomenon supporting situated agency and the co-creation activities embodied in institutional work projects. The authors contribute to the institutional work literature by introducing the idea of interest plurality and illustrating how the work of rural chambers of commerce captures contemporary forms of community organizing. Keywords Institutional work, Ethnography, Interests, Organizational change, Chamber of commerce, Plurality Paper type Research paper","author":[{"dropping-particle":"","family":"Crawford","given":"Brett","non-dropping-particle":"","parse-names":false,"suffix":""},{"dropping-particle":"","family":"Branch","given":"John","non-dropping-particle":"","parse-names":false,"suffix":""}],"container-title":"Journal of Organizational Ethnography","id":"ITEM-2","issue":"1","issued":{"date-parts":[["2015"]]},"page":"98 - 116","title":"Interest plurality and institutional work: An ethnography of rural community organizing","type":"article-journal","volume":"4"},"uris":["http://www.mendeley.com/documents/?uuid=85adcd74-d347-48ed-907b-5c36d6c9670a"]}],"mendeley":{"formattedCitation":"(Crawford &amp; Branch, 2015; Bruton, Ahlstrom, &amp; Li, 2010)","plainTextFormattedCitation":"(Crawford &amp; Branch, 2015; Bruton, Ahlstrom, &amp; Li, 2010)","previouslyFormattedCitation":"(Crawford &amp; Branch, 2015; Bruton, Ahlstrom, &amp; Li, 2010)"},"properties":{"noteIndex":0},"schema":"https://github.com/citation-style-language/schema/raw/master/csl-citation.json"}</w:instrText>
      </w:r>
      <w:r>
        <w:rPr>
          <w:rFonts w:cs="Calibri"/>
        </w:rPr>
        <w:fldChar w:fldCharType="separate"/>
      </w:r>
      <w:r>
        <w:rPr>
          <w:rFonts w:cs="Calibri"/>
          <w:noProof/>
        </w:rPr>
        <w:t>(Crawford &amp; Branch, 2015; Bruton, Ahlstrom, &amp; Li, 2010)</w:t>
      </w:r>
      <w:r>
        <w:rPr>
          <w:rFonts w:cs="Calibri"/>
        </w:rPr>
        <w:fldChar w:fldCharType="end"/>
      </w:r>
      <w:r>
        <w:rPr>
          <w:rFonts w:cs="Calibri"/>
        </w:rPr>
        <w:t xml:space="preserve">. For </w:t>
      </w:r>
      <w:r w:rsidR="001F7965">
        <w:rPr>
          <w:rFonts w:cs="Calibri"/>
        </w:rPr>
        <w:t>instance</w:t>
      </w:r>
      <w:r>
        <w:rPr>
          <w:rFonts w:cs="Calibri"/>
        </w:rPr>
        <w:t xml:space="preserve">, in the case of the SLB in Norway, the increasing managerial logic of digitisation constricted their ability to operate discretion in decision making </w:t>
      </w:r>
      <w:r>
        <w:fldChar w:fldCharType="begin" w:fldLock="1"/>
      </w:r>
      <w:r>
        <w:rPr>
          <w:rFonts w:cs="Calibri"/>
        </w:rPr>
        <w:instrText>ADDIN CSL_CITATION {"citationItems":[{"id":"ITEM-1","itemData":{"DOI":"10.1016/j.giq.2018.09.003","ISSN":"0740624X","abstract":"Public service workers exercise discretionary power during policy implementation. Due to an immense diffusion of information and communications technology (ICT) in public service provision, they are increasingly exposed to reforms aiming at more efficient and fair decision-making. Whereas extant literature has found that ICT can both enable and constrain public service workers' ability to exercise discretion, we know less about underlying explanations for these inconclusive findings. This paper addresses this research gap by exploring how and why public service workers react to digitized discretionary practices. We draw upon institutional logics to show the underlying considerations of public service workers when they are faced with multiple conflicting demands from market-oriented goals of digitization and professional norms. To identify their reactions and underlying considerations, we have conducted a multiple case analysis of two Norwegian organizations; a district court and a tax administration office. We conclude that public service workers are positive to digitization when it promotes professional aspects of their work and that professional discretion is considered necessary to accomplish tasks of greater complexity.","author":[{"dropping-particle":"","family":"Busch","given":"Peter André","non-dropping-particle":"","parse-names":false,"suffix":""},{"dropping-particle":"","family":"Henriksen","given":"Helle Zinner","non-dropping-particle":"","parse-names":false,"suffix":""},{"dropping-particle":"","family":"Sæbø","given":"Øystein","non-dropping-particle":"","parse-names":false,"suffix":""}],"container-title":"Government Information Quarterly","id":"ITEM-1","issue":"4","issued":{"date-parts":[["2018"]]},"page":"547-556","title":"Opportunities and challenges of digitized discretionary practices: a public service worker perspective","type":"article-journal","volume":"35"},"uris":["http://www.mendeley.com/documents/?uuid=a8db8d0e-13f6-4808-95a9-ee4ec1563a8e"]}],"mendeley":{"formattedCitation":"(Busch, Henriksen, &amp; Sæbø, 2018)","plainTextFormattedCitation":"(Busch, Henriksen, &amp; Sæbø, 2018)","previouslyFormattedCitation":"(Busch, Henriksen, &amp; Sæbø, 2018)"},"properties":{"noteIndex":0},"schema":"https://github.com/citation-style-language/schema/raw/master/csl-citation.json"}</w:instrText>
      </w:r>
      <w:r>
        <w:rPr>
          <w:rFonts w:cs="Calibri"/>
        </w:rPr>
        <w:fldChar w:fldCharType="separate"/>
      </w:r>
      <w:r>
        <w:rPr>
          <w:rFonts w:cs="Calibri"/>
          <w:noProof/>
          <w:lang w:eastAsia="en-US"/>
        </w:rPr>
        <w:t>(Busch, Henriksen, &amp; Sæbø, 2018)</w:t>
      </w:r>
      <w:r>
        <w:rPr>
          <w:rFonts w:cs="Calibri"/>
        </w:rPr>
        <w:fldChar w:fldCharType="end"/>
      </w:r>
      <w:r w:rsidR="001F7965">
        <w:rPr>
          <w:rFonts w:cs="Calibri"/>
          <w:lang w:eastAsia="en-US"/>
        </w:rPr>
        <w:t>.</w:t>
      </w:r>
      <w:r>
        <w:rPr>
          <w:rFonts w:cs="Calibri"/>
          <w:lang w:eastAsia="en-US"/>
        </w:rPr>
        <w:t xml:space="preserve"> </w:t>
      </w:r>
      <w:r w:rsidR="001F7965">
        <w:rPr>
          <w:rFonts w:cs="Calibri"/>
          <w:lang w:eastAsia="en-US"/>
        </w:rPr>
        <w:t>W</w:t>
      </w:r>
      <w:r>
        <w:rPr>
          <w:rFonts w:cs="Calibri"/>
          <w:lang w:eastAsia="en-US"/>
        </w:rPr>
        <w:t xml:space="preserve">hereas in Coule &amp; Patmore’s (2013) study of not-for-profit organisations focusing on social welfare, they found that workers used the conflicting logics to frame and then pursue their own interests, using historical logics from when they were established in the early 1900s. This </w:t>
      </w:r>
      <w:r>
        <w:rPr>
          <w:rFonts w:cs="Calibri"/>
        </w:rPr>
        <w:t>highlight</w:t>
      </w:r>
      <w:r w:rsidR="00D4014B">
        <w:rPr>
          <w:rFonts w:cs="Calibri"/>
        </w:rPr>
        <w:t>ed</w:t>
      </w:r>
      <w:r>
        <w:rPr>
          <w:rFonts w:cs="Calibri"/>
        </w:rPr>
        <w:t xml:space="preserve"> the need </w:t>
      </w:r>
      <w:r w:rsidR="00D4014B">
        <w:rPr>
          <w:rFonts w:cs="Calibri"/>
        </w:rPr>
        <w:t xml:space="preserve">for this research to use </w:t>
      </w:r>
      <w:r>
        <w:rPr>
          <w:rFonts w:cs="Calibri"/>
        </w:rPr>
        <w:t xml:space="preserve"> an interpretivist philosophical approach, using </w:t>
      </w:r>
      <w:r>
        <w:rPr>
          <w:rFonts w:cs="Calibri"/>
        </w:rPr>
        <w:lastRenderedPageBreak/>
        <w:t xml:space="preserve">qualitative research methods </w:t>
      </w:r>
      <w:r w:rsidR="00D4014B">
        <w:rPr>
          <w:rFonts w:cs="Calibri"/>
        </w:rPr>
        <w:t xml:space="preserve">to </w:t>
      </w:r>
      <w:r>
        <w:rPr>
          <w:rFonts w:cs="Calibri"/>
        </w:rPr>
        <w:t xml:space="preserve">focus on the lived experiences of people within </w:t>
      </w:r>
      <w:r w:rsidR="00D4014B">
        <w:rPr>
          <w:rFonts w:cs="Calibri"/>
        </w:rPr>
        <w:t xml:space="preserve">SYFR </w:t>
      </w:r>
      <w:r>
        <w:fldChar w:fldCharType="begin" w:fldLock="1"/>
      </w:r>
      <w:r w:rsidR="00974B75">
        <w:rPr>
          <w:rFonts w:cs="Calibri"/>
        </w:rPr>
        <w:instrText>ADDIN CSL_CITATION {"citationItems":[{"id":"ITEM-1","itemData":{"DOI":"10.1108/S0733-558X(2013)0039A&amp;B015","ISSN":"0733558X","abstract":"This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Organizations","id":"ITEM-1","issue":"B","issued":{"date-parts":[["2013"]]},"page":"37-61","publisher":"Emerald Group Publishing Limited","title":"Institutional ambidexterity: Leveraging institutional complexity in practice","type":"article-journal","volume":"39"},"uris":["http://www.mendeley.com/documents/?uuid=ff8dc873-f050-4c05-bdec-08925d6e6ab8"]}],"mendeley":{"formattedCitation":"(Jarzabkowski et al., 2013)","plainTextFormattedCitation":"(Jarzabkowski et al., 2013)","previouslyFormattedCitation":"(Jarzabkowski et al., 2013)"},"properties":{"noteIndex":0},"schema":"https://github.com/citation-style-language/schema/raw/master/csl-citation.json"}</w:instrText>
      </w:r>
      <w:r>
        <w:rPr>
          <w:rFonts w:cs="Calibri"/>
        </w:rPr>
        <w:fldChar w:fldCharType="separate"/>
      </w:r>
      <w:r>
        <w:rPr>
          <w:rFonts w:cs="Calibri"/>
          <w:noProof/>
        </w:rPr>
        <w:t>(Jarzabkowski et al., 2013)</w:t>
      </w:r>
      <w:r>
        <w:rPr>
          <w:rFonts w:cs="Calibri"/>
        </w:rPr>
        <w:fldChar w:fldCharType="end"/>
      </w:r>
      <w:r>
        <w:rPr>
          <w:rFonts w:cs="Calibri"/>
        </w:rPr>
        <w:t>, and is discussed in Chapter 3.</w:t>
      </w:r>
    </w:p>
    <w:p w14:paraId="03DAA7F1" w14:textId="77777777" w:rsidR="00787F73" w:rsidRDefault="00787F73" w:rsidP="00866155">
      <w:pPr>
        <w:contextualSpacing/>
        <w:rPr>
          <w:rFonts w:cs="Calibri"/>
        </w:rPr>
      </w:pPr>
    </w:p>
    <w:p w14:paraId="7669726F" w14:textId="77777777" w:rsidR="00787F73" w:rsidRDefault="00742FB7" w:rsidP="00866155">
      <w:pPr>
        <w:contextualSpacing/>
      </w:pPr>
      <w:r>
        <w:rPr>
          <w:rFonts w:cs="Calibri"/>
        </w:rPr>
        <w:t xml:space="preserve">The role of the individual in the implementation and maintenance of logics therefore needs to include a discussion of power. For instance, within an organisation there are often hierarchical structures of power, which will influence the individual’s agency for change as they may or may not have the ability to make decisions at an organisational level </w:t>
      </w:r>
      <w:r>
        <w:fldChar w:fldCharType="begin" w:fldLock="1"/>
      </w:r>
      <w:r>
        <w:rPr>
          <w:rFonts w:cs="Calibri"/>
        </w:rPr>
        <w:instrText>ADDIN CSL_CITATION {"citationItems":[{"id":"ITEM-1","itemData":{"DOI":"10.1177/1056492609347564","ISSN":"10564926","abstract":"This essay offers a critical summation of the use of neo-institutionalism to study organizations. While institutionalism has succeeded in becoming the dominant theory to study macro-organizational phenomena, there is a danger that the theory has been stretched far beyond its core purpose-to understand how organizational structures and processes acquire meaning and continuity beyond their technical goals. I discuss some possible reasons for this displacement and identify four nascent threads of research that hold strong potential for bringing institutional theory back to its core assumptions and objectives; categories, language, work, and aesthetics. © The Author(s) 2010.","author":[{"dropping-particle":"","family":"Suddaby","given":"Roy","non-dropping-particle":"","parse-names":false,"suffix":""}],"container-title":"Journal of Management Inquiry","id":"ITEM-1","issue":"1","issued":{"date-parts":[["2010"]]},"page":"14-20","title":"Challenges for institutional theory","type":"article-journal","volume":"19"},"uris":["http://www.mendeley.com/documents/?uuid=48d38a20-6474-4586-8ab9-0cdc9bff1589"]},{"id":"ITEM-2","itemData":{"DOI":"10.1177/0007650318789104","ISSN":"15524205","abstract":"Social innovations are urgently needed as we confront complex social problems. As these social problems feature substantial interdependencies among multiple systems and actors, developing and implementing innovative solutions involve the re-negotiating of settled institutions or the building of new ones. In this introductory article, we introduce a stylized three-cycle model highlighting the institutional nature of social innovation efforts. The model conceptualizes social innovation processes as the product of agentic, relational, and situated dynamics in three interrelated cycles that operate at the micro, meso, and macro levels of analysis. The five papers included in this special issue address one or more of these cycles. We draw on these papers and the model to stimulate and offer guidance to future conversations on social innovations from an institutional theory perspective.","author":[{"dropping-particle":"","family":"Wijk","given":"Jakomijn","non-dropping-particle":"van","parse-names":false,"suffix":""},{"dropping-particle":"","family":"Zietsma","given":"Charlene","non-dropping-particle":"","parse-names":false,"suffix":""},{"dropping-particle":"","family":"Dorado","given":"Silvia","non-dropping-particle":"","parse-names":false,"suffix":""},{"dropping-particle":"","family":"Bakker","given":"Frank G.A.","non-dropping-particle":"de","parse-names":false,"suffix":""},{"dropping-particle":"","family":"Martí","given":"Ignasi","non-dropping-particle":"","parse-names":false,"suffix":""}],"container-title":"Business and Society","id":"ITEM-2","issue":"5","issued":{"date-parts":[["2019"]]},"page":"887-918","title":"Social Innovation: Integrating Micro, Meso, and Macro Level Insights From Institutional Theory","type":"article-journal","volume":"58"},"uris":["http://www.mendeley.com/documents/?uuid=e7aea813-38d5-4cfc-809f-0f93b22a795c"]}],"mendeley":{"formattedCitation":"(van Wijk et al., 2019; Suddaby, 2010)","plainTextFormattedCitation":"(van Wijk et al., 2019; Suddaby, 2010)","previouslyFormattedCitation":"(van Wijk et al., 2019; Suddaby, 2010)"},"properties":{"noteIndex":0},"schema":"https://github.com/citation-style-language/schema/raw/master/csl-citation.json"}</w:instrText>
      </w:r>
      <w:r>
        <w:rPr>
          <w:rFonts w:cs="Calibri"/>
        </w:rPr>
        <w:fldChar w:fldCharType="separate"/>
      </w:r>
      <w:r>
        <w:rPr>
          <w:rFonts w:cs="Calibri"/>
          <w:noProof/>
        </w:rPr>
        <w:t>(van Wijk et al., 2019; Suddaby, 2010)</w:t>
      </w:r>
      <w:r>
        <w:rPr>
          <w:rFonts w:cs="Calibri"/>
        </w:rPr>
        <w:fldChar w:fldCharType="end"/>
      </w:r>
      <w:r>
        <w:rPr>
          <w:rFonts w:cs="Calibri"/>
        </w:rPr>
        <w:t>. Within the case of SYFR, this may be influenced by the positioning of the Communications department within the wider organisation, which was briefly discussed in section 1.3.</w:t>
      </w:r>
    </w:p>
    <w:p w14:paraId="4657FAC5" w14:textId="77777777" w:rsidR="00787F73" w:rsidRDefault="00787F73" w:rsidP="00866155">
      <w:pPr>
        <w:contextualSpacing/>
        <w:rPr>
          <w:rFonts w:cs="Calibri"/>
        </w:rPr>
      </w:pPr>
    </w:p>
    <w:p w14:paraId="383C2784" w14:textId="77777777" w:rsidR="00787F73" w:rsidRDefault="00742FB7" w:rsidP="00866155">
      <w:pPr>
        <w:pStyle w:val="Heading3"/>
      </w:pPr>
      <w:bookmarkStart w:id="117" w:name="_Toc153554303"/>
      <w:bookmarkStart w:id="118" w:name="_Toc158823544"/>
      <w:bookmarkStart w:id="119" w:name="_Toc193367184"/>
      <w:r>
        <w:rPr>
          <w:rFonts w:ascii="Calibri" w:hAnsi="Calibri" w:cs="Calibri"/>
        </w:rPr>
        <w:t>2.1.4: Conclusion</w:t>
      </w:r>
      <w:bookmarkEnd w:id="117"/>
      <w:bookmarkEnd w:id="118"/>
      <w:bookmarkEnd w:id="119"/>
    </w:p>
    <w:p w14:paraId="76C4C585" w14:textId="77777777" w:rsidR="00787F73" w:rsidRDefault="00742FB7" w:rsidP="00866155">
      <w:pPr>
        <w:contextualSpacing/>
      </w:pPr>
      <w:r>
        <w:rPr>
          <w:rFonts w:cs="Calibri"/>
        </w:rPr>
        <w:t xml:space="preserve">This section has explored the main theoretical lens of this project: institutional theory. It provided a description of societal and field level institutions, their impact on organisations and individuals via the institutional logics’ perspective, and the role of agency within the creation and maintenance of logics.  </w:t>
      </w:r>
      <w:r>
        <w:t>This section has signposted to the research questions,</w:t>
      </w:r>
      <w:r>
        <w:rPr>
          <w:rFonts w:cs="Calibri"/>
        </w:rPr>
        <w:t xml:space="preserve"> with a focus on RQ2 which expressly examines the role of institutions on SYFR’s communication strategy, and has indicated some of the contributions it makes to the literature, such as the examination of the role of institutions within a FRS. </w:t>
      </w:r>
    </w:p>
    <w:p w14:paraId="75DA85F6" w14:textId="77777777" w:rsidR="00787F73" w:rsidRDefault="00787F73" w:rsidP="00866155">
      <w:pPr>
        <w:contextualSpacing/>
        <w:rPr>
          <w:rFonts w:cs="Calibri"/>
        </w:rPr>
      </w:pPr>
    </w:p>
    <w:p w14:paraId="5B5217F1" w14:textId="58EB81A5" w:rsidR="00787F73" w:rsidRDefault="00742FB7" w:rsidP="00866155">
      <w:pPr>
        <w:contextualSpacing/>
      </w:pPr>
      <w:r>
        <w:rPr>
          <w:rFonts w:cs="Calibri"/>
        </w:rPr>
        <w:t xml:space="preserve">Institutional theory provided this project with the theoretical lens with which to view the context and data within the research. It provided the tools to explore the role(s) of different institutions and how this impacted the daily experiences of those working within the Communications team in SYFR. </w:t>
      </w:r>
      <w:r w:rsidR="00C84401">
        <w:rPr>
          <w:rFonts w:cs="Calibri"/>
        </w:rPr>
        <w:t>While</w:t>
      </w:r>
      <w:r>
        <w:rPr>
          <w:rFonts w:cs="Calibri"/>
        </w:rPr>
        <w:t xml:space="preserve"> institutional theory can provide the analytical understanding of </w:t>
      </w:r>
      <w:r>
        <w:rPr>
          <w:rFonts w:cs="Calibri"/>
          <w:i/>
          <w:iCs/>
        </w:rPr>
        <w:t>why</w:t>
      </w:r>
      <w:r>
        <w:rPr>
          <w:rFonts w:cs="Calibri"/>
        </w:rPr>
        <w:t xml:space="preserve"> SYFR communicate in the way they do, there needs to be an additional lens with which to explore </w:t>
      </w:r>
      <w:r>
        <w:rPr>
          <w:rFonts w:cs="Calibri"/>
          <w:i/>
          <w:iCs/>
        </w:rPr>
        <w:t>how</w:t>
      </w:r>
      <w:r>
        <w:rPr>
          <w:rFonts w:cs="Calibri"/>
        </w:rPr>
        <w:t xml:space="preserve"> SYFR communicate in that manner. Combining institutional theory with other theories can provide additional insight into phenomena </w:t>
      </w:r>
      <w:r>
        <w:fldChar w:fldCharType="begin" w:fldLock="1"/>
      </w:r>
      <w:r>
        <w:rPr>
          <w:rFonts w:cs="Calibri"/>
        </w:rPr>
        <w:instrText>ADDIN CSL_CITATION {"citationItems":[{"id":"ITEM-1","itemData":{"DOI":"10.1080/03075079.2021.1946032","ISSN":"1470174X","abstract":"While institutional logics theory has increasingly been applied in higher education research, especially in the past five years, agreement is lacking on how to approach institutional logics analysis. This results in proliferating institutional logics in higher education studies and often confuses newcomers to the field as to how to use institutional logics in their empirical research. As a response to this situation, our study outlines the state-of-the-art application of institutional logics in higher education studies through scrutinising 59 articles that apply institutional logics in organisation studies in the field of higher education. Specifically, we ask the following research questions: What approaches to institutional logics analysis are used in higher education studies? What institutional logics are identified/applied in higher education studies? What challenges are evident in applying institutional logics in higher education studies? How does the use of institutional logics in higher education research contribute to institutional logics theory? The most profound outcomes of our literature analysis are: First, we construct a novel typology of approaches to institutional logics analysis that is positioned on two-dimensions: the reasoning applied (deductive vs. inductive), and the level at which the logic is examined (societal vs. field/local); Second, we create an exhaustive list of institutional logics (over 50) applied and identified in these studies; Third, we discover major challenges in using institutional logics in higher education research. Finally, we clearly define societal-level and field-level logics and suggest a rationalisation of institutional logics approaches in order to fully utilise the explanatory power of institutional logics.","author":[{"dropping-particle":"","family":"Cai","given":"Yuzhuo","non-dropping-particle":"","parse-names":false,"suffix":""},{"dropping-particle":"","family":"Mountford","given":"Nicola","non-dropping-particle":"","parse-names":false,"suffix":""}],"container-title":"Studies in Higher Education","id":"ITEM-1","issue":"8","issued":{"date-parts":[["2022"]]},"page":"1627-1651","title":"Institutional logics analysis in higher education research","type":"article-journal","volume":"47"},"uris":["http://www.mendeley.com/documents/?uuid=b02524ae-b3f4-409c-8ba0-8ba3e0859742"]}],"mendeley":{"formattedCitation":"(Cai &amp; Mountford, 2022)","plainTextFormattedCitation":"(Cai &amp; Mountford, 2022)","previouslyFormattedCitation":"(Cai &amp; Mountford, 2022)"},"properties":{"noteIndex":0},"schema":"https://github.com/citation-style-language/schema/raw/master/csl-citation.json"}</w:instrText>
      </w:r>
      <w:r>
        <w:rPr>
          <w:rFonts w:cs="Calibri"/>
        </w:rPr>
        <w:fldChar w:fldCharType="separate"/>
      </w:r>
      <w:r>
        <w:rPr>
          <w:rFonts w:cs="Calibri"/>
          <w:noProof/>
        </w:rPr>
        <w:t>(Cai &amp; Mountford, 2022)</w:t>
      </w:r>
      <w:r>
        <w:rPr>
          <w:rFonts w:cs="Calibri"/>
        </w:rPr>
        <w:fldChar w:fldCharType="end"/>
      </w:r>
      <w:r>
        <w:rPr>
          <w:rFonts w:cs="Calibri"/>
        </w:rPr>
        <w:t xml:space="preserve">, such as with our focus on social media communication; this area of interest can also be explored using communication theory. </w:t>
      </w:r>
    </w:p>
    <w:p w14:paraId="776D4FD7" w14:textId="77777777" w:rsidR="00787F73" w:rsidRDefault="00787F73" w:rsidP="00866155">
      <w:pPr>
        <w:contextualSpacing/>
        <w:rPr>
          <w:rFonts w:cs="Calibri"/>
        </w:rPr>
      </w:pPr>
    </w:p>
    <w:p w14:paraId="379CDC66" w14:textId="5DD985E9" w:rsidR="00787F73" w:rsidRDefault="00742FB7" w:rsidP="00866155">
      <w:pPr>
        <w:pStyle w:val="Heading2"/>
      </w:pPr>
      <w:bookmarkStart w:id="120" w:name="_Hlk945296491"/>
      <w:bookmarkStart w:id="121" w:name="_Hlk94802937"/>
      <w:bookmarkStart w:id="122" w:name="_Toc62815579"/>
      <w:bookmarkStart w:id="123" w:name="_Toc153554304"/>
      <w:bookmarkStart w:id="124" w:name="_Toc158823545"/>
      <w:bookmarkStart w:id="125" w:name="_Toc138687415"/>
      <w:bookmarkStart w:id="126" w:name="_Toc139645567"/>
      <w:bookmarkStart w:id="127" w:name="_Toc139636612"/>
      <w:bookmarkStart w:id="128" w:name="_Toc98148296"/>
      <w:bookmarkStart w:id="129" w:name="_Toc67579735"/>
      <w:bookmarkStart w:id="130" w:name="_Toc93410796"/>
      <w:bookmarkStart w:id="131" w:name="_Toc93335981"/>
      <w:bookmarkStart w:id="132" w:name="_Toc193367185"/>
      <w:bookmarkEnd w:id="120"/>
      <w:bookmarkEnd w:id="121"/>
      <w:r>
        <w:rPr>
          <w:rFonts w:ascii="Calibri" w:hAnsi="Calibri" w:cs="Calibri"/>
        </w:rPr>
        <w:lastRenderedPageBreak/>
        <w:t xml:space="preserve">2.2: Communication </w:t>
      </w:r>
      <w:bookmarkEnd w:id="122"/>
      <w:bookmarkEnd w:id="123"/>
      <w:bookmarkEnd w:id="124"/>
      <w:bookmarkEnd w:id="125"/>
      <w:bookmarkEnd w:id="126"/>
      <w:bookmarkEnd w:id="127"/>
      <w:bookmarkEnd w:id="128"/>
      <w:bookmarkEnd w:id="129"/>
      <w:bookmarkEnd w:id="130"/>
      <w:bookmarkEnd w:id="131"/>
      <w:r w:rsidR="00921B36">
        <w:rPr>
          <w:rFonts w:ascii="Calibri" w:hAnsi="Calibri" w:cs="Calibri"/>
        </w:rPr>
        <w:t>theory</w:t>
      </w:r>
      <w:bookmarkEnd w:id="132"/>
    </w:p>
    <w:p w14:paraId="17C0011C" w14:textId="77777777" w:rsidR="00787F73" w:rsidRDefault="00742FB7" w:rsidP="00866155">
      <w:pPr>
        <w:pStyle w:val="Heading3"/>
      </w:pPr>
      <w:bookmarkStart w:id="133" w:name="_Toc139645568"/>
      <w:bookmarkStart w:id="134" w:name="_Toc93410797"/>
      <w:bookmarkStart w:id="135" w:name="_Toc153554305"/>
      <w:bookmarkStart w:id="136" w:name="_Toc62660733"/>
      <w:bookmarkStart w:id="137" w:name="_Toc67579736"/>
      <w:bookmarkStart w:id="138" w:name="_Toc98148297"/>
      <w:bookmarkStart w:id="139" w:name="_Toc138687416"/>
      <w:bookmarkStart w:id="140" w:name="_Toc158823546"/>
      <w:bookmarkStart w:id="141" w:name="_Toc62815580"/>
      <w:bookmarkStart w:id="142" w:name="_Toc93335982"/>
      <w:bookmarkStart w:id="143" w:name="_Toc139636613"/>
      <w:bookmarkStart w:id="144" w:name="_Toc193367186"/>
      <w:r>
        <w:rPr>
          <w:rFonts w:ascii="Calibri" w:hAnsi="Calibri" w:cs="Calibri"/>
        </w:rPr>
        <w:t>2.2.1: Introduction</w:t>
      </w:r>
      <w:bookmarkEnd w:id="133"/>
      <w:bookmarkEnd w:id="134"/>
      <w:bookmarkEnd w:id="135"/>
      <w:bookmarkEnd w:id="136"/>
      <w:bookmarkEnd w:id="137"/>
      <w:bookmarkEnd w:id="138"/>
      <w:bookmarkEnd w:id="139"/>
      <w:bookmarkEnd w:id="140"/>
      <w:bookmarkEnd w:id="141"/>
      <w:bookmarkEnd w:id="142"/>
      <w:bookmarkEnd w:id="143"/>
      <w:bookmarkEnd w:id="144"/>
    </w:p>
    <w:p w14:paraId="3BF750A9" w14:textId="029152CE" w:rsidR="00787F73" w:rsidRDefault="00742FB7" w:rsidP="00866155">
      <w:pPr>
        <w:contextualSpacing/>
      </w:pPr>
      <w:r>
        <w:rPr>
          <w:rFonts w:cs="Calibri"/>
        </w:rPr>
        <w:t xml:space="preserve">This project used communication theory to develop the understanding of how SYFR use social media for community disaster resilience. As with institutional theory, communication theory contains a variety of different sub-theories. </w:t>
      </w:r>
      <w:r>
        <w:t>This section provides an overview of communication, which supports the understanding and analysis of how SYFR communicate with the citizens in South Yorkshire about community disaster resilience</w:t>
      </w:r>
      <w:r>
        <w:rPr>
          <w:rFonts w:cs="Calibri"/>
        </w:rPr>
        <w:t xml:space="preserve">. Communication </w:t>
      </w:r>
      <w:r w:rsidRPr="0040407A">
        <w:rPr>
          <w:rFonts w:cs="Calibri"/>
        </w:rPr>
        <w:t xml:space="preserve">theory </w:t>
      </w:r>
      <w:r w:rsidR="00E67582" w:rsidRPr="0040407A">
        <w:rPr>
          <w:rFonts w:cs="Calibri"/>
        </w:rPr>
        <w:t>was</w:t>
      </w:r>
      <w:r w:rsidRPr="0040407A">
        <w:rPr>
          <w:rFonts w:cs="Calibri"/>
        </w:rPr>
        <w:t xml:space="preserve"> combined with institutional theory to focus on the ways that different institutions are communicated to SYFR</w:t>
      </w:r>
      <w:r w:rsidR="001F7965">
        <w:rPr>
          <w:rFonts w:cs="Calibri"/>
        </w:rPr>
        <w:t>.</w:t>
      </w:r>
      <w:r w:rsidRPr="0040407A">
        <w:rPr>
          <w:rFonts w:cs="Calibri"/>
        </w:rPr>
        <w:t xml:space="preserve"> </w:t>
      </w:r>
      <w:r w:rsidR="001F7965">
        <w:rPr>
          <w:rFonts w:cs="Calibri"/>
        </w:rPr>
        <w:t>This will also support an</w:t>
      </w:r>
      <w:r>
        <w:rPr>
          <w:rFonts w:cs="Calibri"/>
        </w:rPr>
        <w:t xml:space="preserve"> </w:t>
      </w:r>
      <w:r w:rsidR="001F7965">
        <w:rPr>
          <w:rFonts w:cs="Calibri"/>
        </w:rPr>
        <w:t>analysis of</w:t>
      </w:r>
      <w:r>
        <w:rPr>
          <w:rFonts w:cs="Calibri"/>
        </w:rPr>
        <w:t xml:space="preserve"> the </w:t>
      </w:r>
      <w:r>
        <w:t>impact on their c</w:t>
      </w:r>
      <w:r>
        <w:rPr>
          <w:rFonts w:cs="Calibri"/>
        </w:rPr>
        <w:t xml:space="preserve">ommunication strategy and the resulting consequences for those receiving SYFR’s communication; this aims to be a contribution to the wider theory literature. This thesis largely focused on risk communication and public information campaigns (PIC), but before exploring these topics this chapter gives a brief definition of communication. </w:t>
      </w:r>
    </w:p>
    <w:p w14:paraId="19DE33CC" w14:textId="77777777" w:rsidR="00787F73" w:rsidRDefault="00787F73" w:rsidP="00866155">
      <w:pPr>
        <w:contextualSpacing/>
        <w:rPr>
          <w:rFonts w:cs="Calibri"/>
          <w:color w:val="C45911"/>
        </w:rPr>
      </w:pPr>
    </w:p>
    <w:p w14:paraId="7C75C8C3" w14:textId="77777777" w:rsidR="00787F73" w:rsidRDefault="00742FB7" w:rsidP="00866155">
      <w:pPr>
        <w:pStyle w:val="Heading4"/>
        <w:spacing w:line="360" w:lineRule="auto"/>
      </w:pPr>
      <w:bookmarkStart w:id="145" w:name="_Toc62815581"/>
      <w:bookmarkStart w:id="146" w:name="_Toc139645569"/>
      <w:bookmarkStart w:id="147" w:name="_Toc138687417"/>
      <w:bookmarkStart w:id="148" w:name="_Toc93335983"/>
      <w:bookmarkStart w:id="149" w:name="_Toc67579737"/>
      <w:bookmarkStart w:id="150" w:name="_Toc93410798"/>
      <w:bookmarkStart w:id="151" w:name="_Toc139636614"/>
      <w:bookmarkStart w:id="152" w:name="_Toc62660734"/>
      <w:bookmarkStart w:id="153" w:name="_Toc98148298"/>
      <w:r>
        <w:rPr>
          <w:rFonts w:ascii="Calibri" w:hAnsi="Calibri" w:cs="Calibri"/>
        </w:rPr>
        <w:t>Defining communication</w:t>
      </w:r>
      <w:bookmarkEnd w:id="145"/>
      <w:bookmarkEnd w:id="146"/>
      <w:bookmarkEnd w:id="147"/>
      <w:bookmarkEnd w:id="148"/>
      <w:bookmarkEnd w:id="149"/>
      <w:bookmarkEnd w:id="150"/>
      <w:bookmarkEnd w:id="151"/>
      <w:bookmarkEnd w:id="152"/>
      <w:bookmarkEnd w:id="153"/>
    </w:p>
    <w:p w14:paraId="4DA3CEC2" w14:textId="77777777" w:rsidR="00787F73" w:rsidRDefault="00742FB7" w:rsidP="00866155">
      <w:pPr>
        <w:contextualSpacing/>
      </w:pPr>
      <w:r>
        <w:rPr>
          <w:rFonts w:cs="Calibri"/>
        </w:rPr>
        <w:t xml:space="preserve">Communication is one of the fundamental activities of life, and is not just something we do, but something that we embody </w:t>
      </w:r>
      <w:r>
        <w:fldChar w:fldCharType="begin" w:fldLock="1"/>
      </w:r>
      <w:r>
        <w:rPr>
          <w:rFonts w:cs="Calibri"/>
        </w:rPr>
        <w:instrText>ADDIN CSL_CITATION {"citationItems":[{"id":"ITEM-1","itemData":{"DOI":"10.1080/1553118X.2018.1452240","ISSN":"15531198","abstract":"This article addresses the concept of “communication” in strategic communication, and proposes a new lens through which to view communication in order to deepen knowledge of strategic communication, as well as to significantly improve the alignment of strategic communication with the demands of today’s strategy development process. Looking at modern strategy theory, this article focuses on communication theory as an ongoing process of meaning construction. It posits that communication is a process that is interactive by nature and participatory at all levels. This process is not necessarily two-way but omnidirectional diachronic, with an emphasis on the external and internal arenas of continuous meaning presentations, negotiations, and constructions. Strategic communication, therefore, needs to be conceptualized as an agile management process in which the focus is on feeding these arenas for strategy building and implementation, and on testing strategic decisions by presenting and negotiating these in a continuous loop.","author":[{"dropping-particle":"","family":"Ruler","given":"Betteke","non-dropping-particle":"van","parse-names":false,"suffix":""}],"container-title":"International Journal of Strategic Communication","id":"ITEM-1","issue":"4","issued":{"date-parts":[["2018"]]},"page":"367-381","publisher":"Routledge","title":"Communication Theory: An Underrated Pillar on Which Strategic Communication Rests","type":"article-journal","volume":"12"},"uris":["http://www.mendeley.com/documents/?uuid=8803fbb7-8e9b-4714-a499-454d86e6e1e4"]},{"id":"ITEM-2","itemData":{"DOI":"10.1177/1548051816641876","ISSN":"19397089","abstract":"Communication is a topic frequently linked to leadership; however, the linkage often is limited to a view of communication as a tool to be employed by leaders in efforts to achieve particular purposes. The aim of this article is to provide a more expansive view of the communication process and its current and potential contributions to an understanding of leadership theory and dynamics. The article begins with an exploration of the ways that the study of communication intersects with the study of leadership itself, and then explores a number of communication concepts that are particularly important to the study and practice of leadership, but which have yet to be fully examined. As offered in this article, communication is considerably more than a leadership tool or strategy. Rather, it is an orientation, a world view, a way of understanding leadership that focuses more broadly on the process of social influence itself.","author":[{"dropping-particle":"","family":"Ruben","given":"Brent D.","non-dropping-particle":"","parse-names":false,"suffix":""},{"dropping-particle":"","family":"Gigliotti","given":"Ralph A.","non-dropping-particle":"","parse-names":false,"suffix":""}],"container-title":"Journal of Leadership and Organizational Studies","id":"ITEM-2","issue":"4","issued":{"date-parts":[["2016"]]},"page":"467-479","title":"Leadership as Social Influence: An Expanded View of Leadership Communication Theory and Practice","type":"article-journal","volume":"23"},"uris":["http://www.mendeley.com/documents/?uuid=6f654276-ff28-49cc-800d-dcf444b430c3"]}],"mendeley":{"formattedCitation":"(van Ruler, 2018; Ruben &amp; Gigliotti, 2016)","plainTextFormattedCitation":"(van Ruler, 2018; Ruben &amp; Gigliotti, 2016)","previouslyFormattedCitation":"(van Ruler, 2018; Ruben &amp; Gigliotti, 2016)"},"properties":{"noteIndex":0},"schema":"https://github.com/citation-style-language/schema/raw/master/csl-citation.json"}</w:instrText>
      </w:r>
      <w:r>
        <w:rPr>
          <w:rFonts w:cs="Calibri"/>
        </w:rPr>
        <w:fldChar w:fldCharType="separate"/>
      </w:r>
      <w:r>
        <w:rPr>
          <w:rFonts w:cs="Calibri"/>
          <w:noProof/>
        </w:rPr>
        <w:t>(van Ruler, 2018; Ruben &amp; Gigliotti, 2016)</w:t>
      </w:r>
      <w:r>
        <w:rPr>
          <w:rFonts w:cs="Calibri"/>
        </w:rPr>
        <w:fldChar w:fldCharType="end"/>
      </w:r>
      <w:r>
        <w:rPr>
          <w:rFonts w:cs="Calibri"/>
        </w:rPr>
        <w:t>. The word communication has Latin roots which translate</w:t>
      </w:r>
      <w:r w:rsidR="001F7965">
        <w:rPr>
          <w:rFonts w:cs="Calibri"/>
        </w:rPr>
        <w:t>s</w:t>
      </w:r>
      <w:r>
        <w:rPr>
          <w:rFonts w:cs="Calibri"/>
        </w:rPr>
        <w:t xml:space="preserve"> as “to share with” or “discuss together” (van Ruler, 2018); this reveals the importance of understanding the role of communication and the different actors involved. Communication can be viewed as a process through which relationships, groups and societies are created and maintained </w:t>
      </w:r>
      <w:r>
        <w:fldChar w:fldCharType="begin" w:fldLock="1"/>
      </w:r>
      <w:r>
        <w:rPr>
          <w:rFonts w:cs="Calibri"/>
        </w:rPr>
        <w:instrText>ADDIN CSL_CITATION {"citationItems":[{"id":"ITEM-1","itemData":{"DOI":"10.1177/1548051816641876","ISSN":"19397089","abstract":"Communication is a topic frequently linked to leadership; however, the linkage often is limited to a view of communication as a tool to be employed by leaders in efforts to achieve particular purposes. The aim of this article is to provide a more expansive view of the communication process and its current and potential contributions to an understanding of leadership theory and dynamics. The article begins with an exploration of the ways that the study of communication intersects with the study of leadership itself, and then explores a number of communication concepts that are particularly important to the study and practice of leadership, but which have yet to be fully examined. As offered in this article, communication is considerably more than a leadership tool or strategy. Rather, it is an orientation, a world view, a way of understanding leadership that focuses more broadly on the process of social influence itself.","author":[{"dropping-particle":"","family":"Ruben","given":"Brent D.","non-dropping-particle":"","parse-names":false,"suffix":""},{"dropping-particle":"","family":"Gigliotti","given":"Ralph A.","non-dropping-particle":"","parse-names":false,"suffix":""}],"container-title":"Journal of Leadership and Organizational Studies","id":"ITEM-1","issue":"4","issued":{"date-parts":[["2016"]]},"page":"467-479","title":"Leadership as Social Influence: An Expanded View of Leadership Communication Theory and Practice","type":"article-journal","volume":"23"},"uris":["http://www.mendeley.com/documents/?uuid=6f654276-ff28-49cc-800d-dcf444b430c3"]},{"id":"ITEM-2","itemData":{"author":[{"dropping-particle":"","family":"Best","given":"Paul","non-dropping-particle":"","parse-names":false,"suffix":""},{"dropping-particle":"","family":"Manktelow","given":"Roger","non-dropping-particle":"","parse-names":false,"suffix":""},{"dropping-particle":"","family":"Taylor","given":"Brian","non-dropping-particle":"","parse-names":false,"suffix":""}],"container-title":"Children and Youth Services Review","id":"ITEM-2","issued":{"date-parts":[["2014"]]},"page":"27 - 36","title":"Online communication, social media and adolescent wellbeing: A systematic narrative review","type":"article-journal","volume":"41"},"uris":["http://www.mendeley.com/documents/?uuid=f61bdf40-3ff6-484f-baf8-7beae55c0c31"]}],"mendeley":{"formattedCitation":"(Ruben &amp; Gigliotti, 2016; Best, Manktelow, &amp; Taylor, 2014)","plainTextFormattedCitation":"(Ruben &amp; Gigliotti, 2016; Best, Manktelow, &amp; Taylor, 2014)","previouslyFormattedCitation":"(Ruben &amp; Gigliotti, 2016; Best, Manktelow, &amp; Taylor, 2014)"},"properties":{"noteIndex":0},"schema":"https://github.com/citation-style-language/schema/raw/master/csl-citation.json"}</w:instrText>
      </w:r>
      <w:r>
        <w:rPr>
          <w:rFonts w:cs="Calibri"/>
        </w:rPr>
        <w:fldChar w:fldCharType="separate"/>
      </w:r>
      <w:r>
        <w:rPr>
          <w:rFonts w:cs="Calibri"/>
          <w:noProof/>
        </w:rPr>
        <w:t>(Ruben &amp; Gigliotti, 2016; Best, Manktelow, &amp; Taylor, 2014)</w:t>
      </w:r>
      <w:r>
        <w:rPr>
          <w:rFonts w:cs="Calibri"/>
        </w:rPr>
        <w:fldChar w:fldCharType="end"/>
      </w:r>
      <w:r>
        <w:rPr>
          <w:rFonts w:cs="Calibri"/>
        </w:rPr>
        <w:t xml:space="preserve">. This indicates a theoretical bridge between institutional and communication theory, specifically the communication of logics and the creation and maintenance of an institution; this is explored within the institutional messaging literature </w:t>
      </w:r>
      <w:r>
        <w:fldChar w:fldCharType="begin" w:fldLock="1"/>
      </w:r>
      <w:r>
        <w:rPr>
          <w:rFonts w:cs="Calibri"/>
        </w:rPr>
        <w:instrText>ADDIN CSL_CITATION {"citationItems":[{"id":"ITEM-1","itemData":{"DOI":"10.1177/0893318910389280","ISBN":"0893318910389","ISSN":"08933189","abstract":"Institutional messages provide a conceptual and empirical link between the predominantly macro world of institutions and the micro world of organizational communication. The concept of the institutional message is used colloquially but has not been developed theoretically.The conception that emerges from a review of the scholarly and primitive uses is that institutional messages are collations of thoughts that take on lives independent of senders and recipients. They may have the force of rules, spread intentionally or unintentionally via multiple channels to narrow or wider audiences. This essay considers the institutionality of messages in terms of their endurance, reach, encumbency, and intentionality. Institutional messages carry institutional logics--patterns of beliefs and rules. They are collations of thoughts that are intentional, enduring, have a wide reach, and encumber organizational participants to engage in certain behaviors or to take performative responses. It is argued that individuals and organizations develop institutional logics as they make sense of institutional messages. Implications and suggestions for research are included.","author":[{"dropping-particle":"","family":"Lammers","given":"John C.","non-dropping-particle":"","parse-names":false,"suffix":""}],"container-title":"Management Communication Quarterly","id":"ITEM-1","issue":"1","issued":{"date-parts":[["2011"]]},"page":"154-182","title":"How institutions communicate: Institutional messages, institutional logics, and organizational communication","type":"article-journal","volume":"25"},"uris":["http://www.mendeley.com/documents/?uuid=cec7b65b-e94c-48aa-9dd9-78555a7cf79b"]},{"id":"ITEM-2","itemData":{"DOI":"10.1177/0893318910389265","ISBN":"0893318910389","ISSN":"08933189","abstract":"Let me begin by saying how much I agree with the overarching intent of John Lammers’ essay. His manifest purpose is to highlight the ways in which a neo-institutional view of organizations might benefit from paying closer attention to communication theory. To accomplish this, Lammers offers a new construct, which he proposes as a means of focusing attention on the role of communication in replicating and diffusing institutional logics. In this regard, Lammers’ essay succeeds. The nub of his argument is that researchers interested in institutions can improve their understanding of key processes of institutional reproduction by attending more carefully to the mechanisms and patterns of formal communication made on behalf of institu- tions. He terms this new construct “institutional messages,” which are defined as communication “created in an inter-organizational environment that tran- scends particular settings, interactants and organizations” (p. 19). Lammers goes on to describe a program of research that might emerge as a result of the new construct. This research will focus on categorizing the types of institu- tional messages, analyzing processes of sending and receiving them, measur- ing their endurance or strength, and so on.","author":[{"dropping-particle":"","family":"Suddaby","given":"Roy","non-dropping-particle":"","parse-names":false,"suffix":""}],"container-title":"Management Communication Quarterly","id":"ITEM-2","issue":"1","issued":{"date-parts":[["2011"]]},"page":"183-190","title":"How communication institutionalizes: A response to Lammers","type":"article-journal","volume":"25"},"uris":["http://www.mendeley.com/documents/?uuid=b827eb1a-ee97-4c21-8b66-dad74c5ed940"]}],"mendeley":{"formattedCitation":"(Lammers, 2011; Suddaby, 2011)","plainTextFormattedCitation":"(Lammers, 2011; Suddaby, 2011)","previouslyFormattedCitation":"(Lammers, 2011; Suddaby, 2011)"},"properties":{"noteIndex":0},"schema":"https://github.com/citation-style-language/schema/raw/master/csl-citation.json"}</w:instrText>
      </w:r>
      <w:r>
        <w:rPr>
          <w:rFonts w:cs="Calibri"/>
        </w:rPr>
        <w:fldChar w:fldCharType="separate"/>
      </w:r>
      <w:r>
        <w:rPr>
          <w:rFonts w:cs="Calibri"/>
          <w:noProof/>
        </w:rPr>
        <w:t>(Lammers, 2011; Suddaby, 2011)</w:t>
      </w:r>
      <w:r>
        <w:rPr>
          <w:rFonts w:cs="Calibri"/>
        </w:rPr>
        <w:fldChar w:fldCharType="end"/>
      </w:r>
      <w:r>
        <w:rPr>
          <w:rFonts w:cs="Calibri"/>
        </w:rPr>
        <w:t>.</w:t>
      </w:r>
    </w:p>
    <w:p w14:paraId="203FD44D" w14:textId="77777777" w:rsidR="00787F73" w:rsidRDefault="00787F73" w:rsidP="00866155">
      <w:pPr>
        <w:contextualSpacing/>
        <w:rPr>
          <w:rFonts w:cs="Calibri"/>
        </w:rPr>
      </w:pPr>
    </w:p>
    <w:p w14:paraId="4BC0500F" w14:textId="77777777" w:rsidR="00787F73" w:rsidRDefault="00742FB7" w:rsidP="00866155">
      <w:pPr>
        <w:contextualSpacing/>
      </w:pPr>
      <w:r>
        <w:rPr>
          <w:rFonts w:cs="Calibri"/>
        </w:rPr>
        <w:t xml:space="preserve">Understanding how communication works between organisations and people is key to this thesis. As a blue-light service, SYFR communicates with their local population on various topics, including updates about the service, information about current disasters, but also communicating prior to disasters; this is known as risk communication </w:t>
      </w:r>
      <w:r>
        <w:fldChar w:fldCharType="begin" w:fldLock="1"/>
      </w:r>
      <w:r w:rsidR="00974B75">
        <w:rPr>
          <w:rFonts w:cs="Calibri"/>
        </w:rPr>
        <w:instrText>ADDIN CSL_CITATION {"citationItems":[{"id":"ITEM-1","itemData":{"DOI":"10.1080/17538947.2018.1480670","ISSN":"17538955","abstract":"Although Twitter is used for emergency management activities, the relevance of tweets during a hazard event is still open to debate. In this study, six different computational (i.e. Natural Language Processing) and spatiotemporal analytical approaches were implemented to assess the relevance of risk information extracted from tweets obtained during the 2013 Colorado flood event. Primarily, tweets containing information about the flooding events and its impacts were analysed. Examination of the relationships between tweet volume and its content with precipitation amount, damage extent, and official reports revealed that relevant tweets provided information about the event and its impacts rather than any other risk information that public expects to receive via alert messages. However, only 14% of the geo-tagged tweets and only 0.06% of the total fire hose tweets were found to be relevant to the event. By providing insight into the quality of social media data and its usefulness to emergency management activities, this study contributes to the literature on quality of big data. Future research in this area would focus on assessing the reliability of relevant tweets for disaster related situational awareness.","author":[{"dropping-particle":"","family":"Liu","given":"Xiaohui","non-dropping-particle":"","parse-names":false,"suffix":""},{"dropping-particle":"","family":"Kar","given":"Bandana","non-dropping-particle":"","parse-names":false,"suffix":""},{"dropping-particle":"","family":"Zhang","given":"Chaoyang","non-dropping-particle":"","parse-names":false,"suffix":""},{"dropping-particle":"","family":"Cochran","given":"David M.","non-dropping-particle":"","parse-names":false,"suffix":""}],"container-title":"International Journal of Digital Earth","id":"ITEM-1","issue":"7","issued":{"date-parts":[["2019"]]},"page":"781-801","publisher":"Taylor &amp; Francis","title":"Assessing relevance of tweets for risk communication","type":"article-journal","volume":"12"},"uris":["http://www.mendeley.com/documents/?uuid=a1aeac85-39ce-43ac-8e69-76cb0fe26dfc"]},{"id":"ITEM-2","itemData":{"DOI":"10.1177/1010539517691338","ISSN":"10105395","PMID":"28330399","abstract":"Using nudge theory and some examples of risk communication that followed the Fukushima disaster, this article discusses the influences and justifications of risk communication, in addition to how risk communication systems are designed. To assist people in making decisions based on their own value systems, we provide three suggestions, keeping in mind that people can be influenced (ie, \"nudged\") depending on how risk communication takes place: (1) accumulate knowledge on the process of evaluating how the method of risk communication and a system's default design could impact people; (2) clarify the purpose and outcomes of risk communication; and (3) see what risk communication might be ethically unjustifiable. Quantitative studies on risk communication and collective narratives will provide some ideas for how to design better risk communication systems and to help people make decisions. Furthermore, we have shown examples of unjustifiable risk communication.","author":[{"dropping-particle":"","family":"Murakami","given":"Michio","non-dropping-particle":"","parse-names":false,"suffix":""},{"dropping-particle":"","family":"Tsubokura","given":"Masaharu","non-dropping-particle":"","parse-names":false,"suffix":""}],"container-title":"Asia-Pacific Journal of Public Health","id":"ITEM-2","issue":"2S","issued":{"date-parts":[["2017"]]},"page":"193S-200S","title":"Evaluating Risk Communication after the Fukushima Disaster Based on Nudge Theory","type":"article-journal","volume":"29"},"uris":["http://www.mendeley.com/documents/?uuid=659035c1-e802-4320-a699-cd3a86797331"]},{"id":"ITEM-3","itemData":{"DOI":"10.1016/j.proeng.2018.01.032","ISSN":"18777058","abstract":"The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Engineering","id":"ITEM-3","issued":{"date-parts":[["2018"]]},"page":"246-253","publisher":"Elsevier B.V.","title":"Conceptual Framework for Motivating Actions towards Disaster Preparedness Through Risk Communication","type":"article-journal","volume":"212"},"uris":["http://www.mendeley.com/documents/?uuid=01e245d0-867b-47cd-8164-80d2bc1d7862"]}],"mendeley":{"formattedCitation":"(Liu et al., 2019; Abunyewah, Gajendran, &amp; Maund, 2018; Murakami &amp; Tsubokura, 2017)","manualFormatting":"(Abunyewah et al., 2018; Liu et al., 2019; Murakami &amp; Tsubokura, 2017)","plainTextFormattedCitation":"(Liu et al., 2019; Abunyewah, Gajendran, &amp; Maund, 2018; Murakami &amp; Tsubokura, 2017)","previouslyFormattedCitation":"(Liu et al., 2019; Abunyewah, Gajendran, &amp; Maund, 2018; Murakami &amp; Tsubokura, 2017)"},"properties":{"noteIndex":0},"schema":"https://github.com/citation-style-language/schema/raw/master/csl-citation.json"}</w:instrText>
      </w:r>
      <w:r>
        <w:rPr>
          <w:rFonts w:cs="Calibri"/>
        </w:rPr>
        <w:fldChar w:fldCharType="separate"/>
      </w:r>
      <w:r>
        <w:rPr>
          <w:rFonts w:cs="Calibri"/>
          <w:noProof/>
        </w:rPr>
        <w:t>(Abunyewah et al., 2018; Liu et al., 2019; Murakami &amp; Tsubokura, 2017)</w:t>
      </w:r>
      <w:r>
        <w:rPr>
          <w:rFonts w:cs="Calibri"/>
        </w:rPr>
        <w:fldChar w:fldCharType="end"/>
      </w:r>
      <w:r>
        <w:rPr>
          <w:rFonts w:cs="Calibri"/>
        </w:rPr>
        <w:t xml:space="preserve">.  </w:t>
      </w:r>
    </w:p>
    <w:p w14:paraId="53897FD8" w14:textId="77777777" w:rsidR="00787F73" w:rsidRDefault="00742FB7" w:rsidP="00866155">
      <w:pPr>
        <w:pStyle w:val="Heading3"/>
      </w:pPr>
      <w:bookmarkStart w:id="154" w:name="_Hlk67041741"/>
      <w:bookmarkStart w:id="155" w:name="_Toc93335985"/>
      <w:bookmarkStart w:id="156" w:name="_Toc67579741"/>
      <w:bookmarkStart w:id="157" w:name="_Toc98148302"/>
      <w:bookmarkStart w:id="158" w:name="_Toc62660736"/>
      <w:bookmarkStart w:id="159" w:name="_Toc139636615"/>
      <w:bookmarkStart w:id="160" w:name="_Toc62815583"/>
      <w:bookmarkStart w:id="161" w:name="_Toc139645570"/>
      <w:bookmarkStart w:id="162" w:name="_Toc153554306"/>
      <w:bookmarkStart w:id="163" w:name="_Toc158823547"/>
      <w:bookmarkStart w:id="164" w:name="_Toc93410802"/>
      <w:bookmarkStart w:id="165" w:name="_Toc138687420"/>
      <w:bookmarkStart w:id="166" w:name="_Toc193367187"/>
      <w:bookmarkEnd w:id="154"/>
      <w:r>
        <w:rPr>
          <w:rFonts w:ascii="Calibri" w:hAnsi="Calibri" w:cs="Calibri"/>
        </w:rPr>
        <w:lastRenderedPageBreak/>
        <w:t>2.2.2: Risk communication</w:t>
      </w:r>
      <w:bookmarkEnd w:id="155"/>
      <w:bookmarkEnd w:id="156"/>
      <w:bookmarkEnd w:id="157"/>
      <w:bookmarkEnd w:id="158"/>
      <w:bookmarkEnd w:id="159"/>
      <w:bookmarkEnd w:id="160"/>
      <w:bookmarkEnd w:id="161"/>
      <w:bookmarkEnd w:id="162"/>
      <w:bookmarkEnd w:id="163"/>
      <w:bookmarkEnd w:id="164"/>
      <w:bookmarkEnd w:id="165"/>
      <w:bookmarkEnd w:id="166"/>
    </w:p>
    <w:p w14:paraId="5CFA7262" w14:textId="77777777" w:rsidR="00787F73" w:rsidRDefault="00742FB7" w:rsidP="00866155">
      <w:pPr>
        <w:pStyle w:val="Heading4"/>
        <w:spacing w:line="360" w:lineRule="auto"/>
      </w:pPr>
      <w:bookmarkStart w:id="167" w:name="_Hlk670417411"/>
      <w:bookmarkStart w:id="168" w:name="_Toc93410803"/>
      <w:bookmarkStart w:id="169" w:name="_Toc139645571"/>
      <w:bookmarkStart w:id="170" w:name="_Toc139636616"/>
      <w:bookmarkStart w:id="171" w:name="_Toc67579742"/>
      <w:bookmarkStart w:id="172" w:name="_Toc98148303"/>
      <w:bookmarkStart w:id="173" w:name="_Toc62660737"/>
      <w:bookmarkEnd w:id="167"/>
      <w:r>
        <w:rPr>
          <w:rFonts w:ascii="Calibri" w:hAnsi="Calibri" w:cs="Calibri"/>
        </w:rPr>
        <w:t xml:space="preserve">What is risk? </w:t>
      </w:r>
      <w:bookmarkEnd w:id="168"/>
      <w:bookmarkEnd w:id="169"/>
      <w:bookmarkEnd w:id="170"/>
      <w:bookmarkEnd w:id="171"/>
      <w:bookmarkEnd w:id="172"/>
      <w:bookmarkEnd w:id="173"/>
    </w:p>
    <w:p w14:paraId="0F030F8B" w14:textId="60031880" w:rsidR="00787F73" w:rsidRDefault="00742FB7" w:rsidP="00866155">
      <w:pPr>
        <w:contextualSpacing/>
      </w:pPr>
      <w:r>
        <w:rPr>
          <w:rFonts w:cs="Calibri"/>
        </w:rPr>
        <w:t xml:space="preserve">Risk can be viewed in </w:t>
      </w:r>
      <w:r w:rsidR="0054206F">
        <w:rPr>
          <w:rFonts w:cs="Calibri"/>
        </w:rPr>
        <w:t xml:space="preserve">various </w:t>
      </w:r>
      <w:r>
        <w:rPr>
          <w:rFonts w:cs="Calibri"/>
        </w:rPr>
        <w:t>ways</w:t>
      </w:r>
      <w:r w:rsidR="0054206F">
        <w:rPr>
          <w:rFonts w:cs="Calibri"/>
        </w:rPr>
        <w:t>:</w:t>
      </w:r>
      <w:r>
        <w:rPr>
          <w:rFonts w:cs="Calibri"/>
        </w:rPr>
        <w:t xml:space="preserve"> as “an inevitable part of life” </w:t>
      </w:r>
      <w:r>
        <w:fldChar w:fldCharType="begin" w:fldLock="1"/>
      </w:r>
      <w:r>
        <w:rPr>
          <w:rFonts w:cs="Calibri"/>
        </w:rPr>
        <w:instrText>ADDIN CSL_CITATION {"citationItems":[{"id":"ITEM-1","itemData":{"DOI":"10.1080/15358590903402200","ISBN":"1535859090340","author":[{"dropping-particle":"","family":"Sellnow","given":"Tim","non-dropping-particle":"","parse-names":false,"suffix":""},{"dropping-particle":"","family":"Sellnow","given":"Deanna","non-dropping-particle":"","parse-names":false,"suffix":""}],"container-title":"The Review of Communication","id":"ITEM-1","issue":"2","issued":{"date-parts":[["2010"]]},"page":"112-126","title":"The Instructional Dynamic of Risk and Crisis Communication: Distinguishing Instructional Messages from Dialogue","type":"article-journal","volume":"10"},"locator":"113","uris":["http://www.mendeley.com/documents/?uuid=1f43dade-4825-4b23-9f47-5994f8fc2ae0"]}],"mendeley":{"formattedCitation":"(Sellnow &amp; Sellnow, 2010, p. 113)","plainTextFormattedCitation":"(Sellnow &amp; Sellnow, 2010, p. 113)","previouslyFormattedCitation":"(Sellnow &amp; Sellnow, 2010, p. 113)"},"properties":{"noteIndex":0},"schema":"https://github.com/citation-style-language/schema/raw/master/csl-citation.json"}</w:instrText>
      </w:r>
      <w:r>
        <w:rPr>
          <w:rFonts w:cs="Calibri"/>
        </w:rPr>
        <w:fldChar w:fldCharType="separate"/>
      </w:r>
      <w:r>
        <w:rPr>
          <w:rFonts w:cs="Calibri"/>
          <w:noProof/>
        </w:rPr>
        <w:t>(Sellnow &amp; Sellnow, 2010, p. 113)</w:t>
      </w:r>
      <w:r>
        <w:rPr>
          <w:rFonts w:cs="Calibri"/>
        </w:rPr>
        <w:fldChar w:fldCharType="end"/>
      </w:r>
      <w:r>
        <w:rPr>
          <w:rFonts w:cs="Calibri"/>
        </w:rPr>
        <w:t xml:space="preserve"> or the product of hazard and vulnerability </w:t>
      </w:r>
      <w:r>
        <w:fldChar w:fldCharType="begin" w:fldLock="1"/>
      </w:r>
      <w:r w:rsidR="00974B75">
        <w:rPr>
          <w:rFonts w:cs="Calibri"/>
        </w:rPr>
        <w:instrText>ADDIN CSL_CITATION {"citationItems":[{"id":"ITEM-1","itemData":{"DOI":"10.1061/(asce)nh.1527-6996.0000294","ISBN":"0000000167","ISSN":"1527-6988","abstract":"©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Review","id":"ITEM-1","issue":"3","issued":{"date-parts":[["2018"]]},"page":"1 - 21","title":"Flood Risk Assessment, Future Trend Modeling, and Risk Communication: A Review of Ongoing Research","type":"article-journal","volume":"19"},"uris":["http://www.mendeley.com/documents/?uuid=72f77961-1216-4228-ab43-b36cf7f2e2d4"]}],"mendeley":{"formattedCitation":"(Salman &amp; Li, 2018)","plainTextFormattedCitation":"(Salman &amp; Li, 2018)","previouslyFormattedCitation":"(Salman &amp; Li, 2018)"},"properties":{"noteIndex":0},"schema":"https://github.com/citation-style-language/schema/raw/master/csl-citation.json"}</w:instrText>
      </w:r>
      <w:r>
        <w:rPr>
          <w:rFonts w:cs="Calibri"/>
        </w:rPr>
        <w:fldChar w:fldCharType="separate"/>
      </w:r>
      <w:r>
        <w:rPr>
          <w:rFonts w:cs="Calibri"/>
          <w:noProof/>
        </w:rPr>
        <w:t>(Salman &amp; Li, 2018)</w:t>
      </w:r>
      <w:r>
        <w:rPr>
          <w:rFonts w:cs="Calibri"/>
        </w:rPr>
        <w:fldChar w:fldCharType="end"/>
      </w:r>
      <w:r>
        <w:rPr>
          <w:rFonts w:cs="Calibri"/>
        </w:rPr>
        <w:t xml:space="preserve">. Risk can also be described as a social construct affected and impacted by the cultural and social influences within the community or society </w:t>
      </w:r>
      <w:r>
        <w:fldChar w:fldCharType="begin" w:fldLock="1"/>
      </w:r>
      <w:r>
        <w:rPr>
          <w:rFonts w:cs="Calibri"/>
        </w:rPr>
        <w:instrText>ADDIN CSL_CITATION {"citationItems":[{"id":"ITEM-1","itemData":{"author":[{"dropping-particle":"","family":"Cornia","given":"Alessio","non-dropping-particle":"","parse-names":false,"suffix":""},{"dropping-particle":"","family":"Dressel","given":"Kerstin","non-dropping-particle":"","parse-names":false,"suffix":""},{"dropping-particle":"","family":"Pfeil","given":"Patricia","non-dropping-particle":"","parse-names":false,"suffix":""}],"container-title":"Journal of Risk Research","id":"ITEM-1","issue":"3","issued":{"date-parts":[["2016"]]},"page":"288-304","title":"Risk cultures and dominant approaches towards disasters in seven European countries","type":"article-journal","volume":"19"},"uris":["http://www.mendeley.com/documents/?uuid=f35ac1e8-c33e-4f67-84e4-56d077b436c6"]}],"mendeley":{"formattedCitation":"(Cornia, Dressel, &amp; Pfeil, 2016)","plainTextFormattedCitation":"(Cornia, Dressel, &amp; Pfeil, 2016)","previouslyFormattedCitation":"(Cornia, Dressel, &amp; Pfeil, 2016)"},"properties":{"noteIndex":0},"schema":"https://github.com/citation-style-language/schema/raw/master/csl-citation.json"}</w:instrText>
      </w:r>
      <w:r>
        <w:rPr>
          <w:rFonts w:cs="Calibri"/>
        </w:rPr>
        <w:fldChar w:fldCharType="separate"/>
      </w:r>
      <w:r>
        <w:rPr>
          <w:rFonts w:cs="Calibri"/>
          <w:noProof/>
        </w:rPr>
        <w:t>(Cornia, Dressel, &amp; Pfeil, 2016)</w:t>
      </w:r>
      <w:r>
        <w:rPr>
          <w:rFonts w:cs="Calibri"/>
        </w:rPr>
        <w:fldChar w:fldCharType="end"/>
      </w:r>
      <w:r w:rsidR="0054206F">
        <w:rPr>
          <w:rFonts w:cs="Calibri"/>
        </w:rPr>
        <w:t>.It therefore</w:t>
      </w:r>
      <w:r>
        <w:rPr>
          <w:rFonts w:cs="Calibri"/>
        </w:rPr>
        <w:t xml:space="preserve"> could influence how institutional actors create and maintain different institutional logics. This places an importance on understanding risk, especially for agencies who work within emergency services, such as SYFR and the wider FRS. </w:t>
      </w:r>
    </w:p>
    <w:p w14:paraId="0377F73B" w14:textId="77777777" w:rsidR="00787F73" w:rsidRDefault="00787F73" w:rsidP="00866155">
      <w:pPr>
        <w:contextualSpacing/>
        <w:rPr>
          <w:rFonts w:cs="Calibri"/>
        </w:rPr>
      </w:pPr>
    </w:p>
    <w:p w14:paraId="2C543A99" w14:textId="4C5FE0C4" w:rsidR="00787F73" w:rsidRDefault="00742FB7" w:rsidP="00866155">
      <w:pPr>
        <w:contextualSpacing/>
      </w:pPr>
      <w:r>
        <w:rPr>
          <w:rFonts w:cs="Calibri"/>
        </w:rPr>
        <w:t xml:space="preserve">Within the UK disaster and risk management sector, risk is explained and detailed within the National Risk Register </w:t>
      </w:r>
      <w:r>
        <w:fldChar w:fldCharType="begin" w:fldLock="1"/>
      </w:r>
      <w:r w:rsidR="00EF6487">
        <w:rPr>
          <w:rFonts w:cs="Calibri"/>
        </w:rPr>
        <w:instrText>ADDIN CSL_CITATION {"citationItems":[{"id":"ITEM-1","itemData":{"ISBN":"289116/0708","abstract":"The National Risk Register sets out ‘our assessment of the likelihood and potential impact of a range of different risks that may directly affect the UK’ as promised in the National Security Strategy,1 published earlier this year. The publication of information on these risks, previously held confidentially within government, is intended to encourage public debate on security and help organisations, individuals, families and communities, who want to do so, to prepare for emergencies.","author":[{"dropping-particle":"","family":"Cabinet Office","given":"","non-dropping-particle":"","parse-names":false,"suffix":""}],"id":"ITEM-1","issued":{"date-parts":[["2020"]]},"number-of-pages":"1-52","title":"National Risk Register","type":"report"},"uris":["http://www.mendeley.com/documents/?uuid=71d47fc5-79d7-49ef-a7b7-d82696d830e2"]},{"id":"ITEM-2","itemData":{"ISBN":"289116/0708","abstract":"The National Risk Register sets out ‘our assessment of the likelihood and potential impact of a range of different risks that may directly affect the UK’ as promised in the National Security Strategy,1 published earlier this year. The publication of information on these risks, previously held confidentially within government, is intended to encourage public debate on security and help organisations, individuals, families and communities, who want to do so, to prepare for emergencies.","author":[{"dropping-particle":"","family":"Cabinet Office","given":"","non-dropping-particle":"","parse-names":false,"suffix":""}],"id":"ITEM-2","issued":{"date-parts":[["2023"]]},"page":"1-52","title":"National Risk Register","type":"article-journal"},"uris":["http://www.mendeley.com/documents/?uuid=bfdd9aa0-68d9-4271-a6a4-723bf17fcbad"]}],"mendeley":{"formattedCitation":"(Cabinet Office, 2020, 2023)","plainTextFormattedCitation":"(Cabinet Office, 2020, 2023)","previouslyFormattedCitation":"(Cabinet Office, 2020, 2023)"},"properties":{"noteIndex":0},"schema":"https://github.com/citation-style-language/schema/raw/master/csl-citation.json"}</w:instrText>
      </w:r>
      <w:r>
        <w:rPr>
          <w:rFonts w:cs="Calibri"/>
        </w:rPr>
        <w:fldChar w:fldCharType="separate"/>
      </w:r>
      <w:r w:rsidR="00D177B9" w:rsidRPr="00D177B9">
        <w:rPr>
          <w:rFonts w:cs="Calibri"/>
          <w:noProof/>
        </w:rPr>
        <w:t>(Cabinet Office, 2020, 2023)</w:t>
      </w:r>
      <w:r>
        <w:rPr>
          <w:rFonts w:cs="Calibri"/>
        </w:rPr>
        <w:fldChar w:fldCharType="end"/>
      </w:r>
      <w:r>
        <w:rPr>
          <w:rFonts w:cs="Calibri"/>
        </w:rPr>
        <w:t xml:space="preserve">.  The National Risk Register is a document which explores the perceived risks to the UK, including environmental, social, and economic. It is produced under the Civil Contingencies Act (2004) and assesses the likelihood and potential damage of each risk and provides an explanation of the mitigation efforts in place. Within the Risk Register there is a section which describes preparedness advice for the </w:t>
      </w:r>
      <w:r w:rsidR="0082350B">
        <w:rPr>
          <w:rFonts w:cs="Calibri"/>
        </w:rPr>
        <w:t>public. This</w:t>
      </w:r>
      <w:r>
        <w:rPr>
          <w:rFonts w:cs="Calibri"/>
        </w:rPr>
        <w:t xml:space="preserve"> highlight</w:t>
      </w:r>
      <w:r w:rsidR="0082350B">
        <w:rPr>
          <w:rFonts w:cs="Calibri"/>
        </w:rPr>
        <w:t>s</w:t>
      </w:r>
      <w:r>
        <w:rPr>
          <w:rFonts w:cs="Calibri"/>
        </w:rPr>
        <w:t xml:space="preserve"> the different roles of individuals and organisations within risk reduction, and perhaps the different institutional logics within risk management. This register is used by organisations and authorities, such as SYFR, to better understand the risks to the public within their geographical area. SYFR has a statutory obligation to work with agencies (under the Civil Contingencies Act (2004)) to mitigate those risks, this requires communication between the agencies and the communities at risk, known as risk communication.  </w:t>
      </w:r>
    </w:p>
    <w:p w14:paraId="3658C0D8" w14:textId="77777777" w:rsidR="00787F73" w:rsidRDefault="00787F73" w:rsidP="00866155">
      <w:pPr>
        <w:contextualSpacing/>
        <w:rPr>
          <w:rFonts w:cs="Calibri"/>
        </w:rPr>
      </w:pPr>
    </w:p>
    <w:p w14:paraId="05EB0054" w14:textId="77777777" w:rsidR="00787F73" w:rsidRDefault="00742FB7" w:rsidP="00866155">
      <w:pPr>
        <w:pStyle w:val="Heading4"/>
        <w:spacing w:line="360" w:lineRule="auto"/>
      </w:pPr>
      <w:r>
        <w:rPr>
          <w:rFonts w:ascii="Calibri" w:hAnsi="Calibri" w:cs="Calibri"/>
        </w:rPr>
        <w:t>What is risk communication?</w:t>
      </w:r>
    </w:p>
    <w:p w14:paraId="23785289" w14:textId="77777777" w:rsidR="00787F73" w:rsidRDefault="00742FB7" w:rsidP="00866155">
      <w:r>
        <w:rPr>
          <w:rFonts w:cs="Calibri"/>
        </w:rPr>
        <w:t xml:space="preserve">Risk communication is defined as “the real-time exchange of information, advice and opinions between experts, community leaders or officials and the people who are at risk, which is an integral part of any emergency response” </w:t>
      </w:r>
      <w:r>
        <w:fldChar w:fldCharType="begin" w:fldLock="1"/>
      </w:r>
      <w:r>
        <w:rPr>
          <w:rFonts w:cs="Calibri"/>
        </w:rPr>
        <w:instrText>ADDIN CSL_CITATION {"citationItems":[{"id":"ITEM-1","itemData":{"ISBN":"9789241550208","abstract":"New evidence-based guidance from the World Health Organization developed using a systematic search of the most recent research on key issues in emergency risk communication practice and experience. During public health emergencies, people need to know what health risks they face, and what actions they can take to protect their lives, their health, their families and communities","author":[{"dropping-particle":"","family":"World Health Organisation","given":"","non-dropping-particle":"","parse-names":false,"suffix":""}],"id":"ITEM-1","issued":{"date-parts":[["2017"]]},"number-of-pages":"79","publisher-place":"Geneva","title":"Communicating Risk in Public Health Emergencies","type":"report"},"locator":"vii","uris":["http://www.mendeley.com/documents/?uuid=cf9998f9-0492-42af-94e6-2c29017d5e18"]}],"mendeley":{"formattedCitation":"(World Health Organisation, 2017, p. vii)","plainTextFormattedCitation":"(World Health Organisation, 2017, p. vii)","previouslyFormattedCitation":"(World Health Organisation, 2017, p. vii)"},"properties":{"noteIndex":0},"schema":"https://github.com/citation-style-language/schema/raw/master/csl-citation.json"}</w:instrText>
      </w:r>
      <w:r>
        <w:rPr>
          <w:rFonts w:cs="Calibri"/>
        </w:rPr>
        <w:fldChar w:fldCharType="separate"/>
      </w:r>
      <w:r>
        <w:rPr>
          <w:rFonts w:cs="Calibri"/>
          <w:noProof/>
        </w:rPr>
        <w:t>(World Health Organisation, 2017, p. vii)</w:t>
      </w:r>
      <w:r>
        <w:rPr>
          <w:rFonts w:cs="Calibri"/>
        </w:rPr>
        <w:fldChar w:fldCharType="end"/>
      </w:r>
      <w:r>
        <w:rPr>
          <w:rFonts w:cs="Calibri"/>
        </w:rPr>
        <w:t xml:space="preserve">. This therefore falls within the conceptual field of disaster risk reduction (DRR), which is defined by the United National </w:t>
      </w:r>
      <w:r w:rsidRPr="0040407A">
        <w:rPr>
          <w:rFonts w:cs="Calibri"/>
        </w:rPr>
        <w:t xml:space="preserve">Office for Disaster Risk Reduction (UNDRR) as “preventing new and reducing existing disaster risk and managing residual risk” </w:t>
      </w:r>
      <w:r w:rsidRPr="0040407A">
        <w:fldChar w:fldCharType="begin" w:fldLock="1"/>
      </w:r>
      <w:r w:rsidRPr="0040407A">
        <w:rPr>
          <w:rFonts w:cs="Calibri"/>
        </w:rPr>
        <w:instrText>ADDIN CSL_CITATION {"citationItems":[{"id":"ITEM-1","itemData":{"URL":"https://www.undrr.org/terminology/disaster-risk-reduction","accessed":{"date-parts":[["2021","3","2"]]},"author":[{"dropping-particle":"","family":"UNDRR","given":"","non-dropping-particle":"","parse-names":false,"suffix":""}],"id":"ITEM-1","issued":{"date-parts":[["0"]]},"title":"Disaster risk reduction","type":"webpage"},"uris":["http://www.mendeley.com/documents/?uuid=e73cafd9-4eec-40d2-a110-d1484618eda0"]}],"mendeley":{"formattedCitation":"(UNDRR)","manualFormatting":"(UNDRR, n.d)","plainTextFormattedCitation":"(UNDRR)","previouslyFormattedCitation":"(UNDRR)"},"properties":{"noteIndex":0},"schema":"https://github.com/citation-style-language/schema/raw/master/csl-citation.json"}</w:instrText>
      </w:r>
      <w:r w:rsidRPr="0040407A">
        <w:rPr>
          <w:rFonts w:cs="Calibri"/>
        </w:rPr>
        <w:fldChar w:fldCharType="separate"/>
      </w:r>
      <w:r w:rsidRPr="0040407A">
        <w:rPr>
          <w:rFonts w:cs="Calibri"/>
          <w:noProof/>
        </w:rPr>
        <w:t>(UNDRR, n.d)</w:t>
      </w:r>
      <w:r w:rsidRPr="0040407A">
        <w:rPr>
          <w:rFonts w:cs="Calibri"/>
        </w:rPr>
        <w:fldChar w:fldCharType="end"/>
      </w:r>
      <w:r w:rsidRPr="0040407A">
        <w:rPr>
          <w:rFonts w:cs="Calibri"/>
        </w:rPr>
        <w:t xml:space="preserve">. </w:t>
      </w:r>
      <w:r w:rsidR="00CB08F8">
        <w:rPr>
          <w:rFonts w:cs="Calibri"/>
        </w:rPr>
        <w:t xml:space="preserve">DRR </w:t>
      </w:r>
      <w:r w:rsidRPr="0040407A">
        <w:rPr>
          <w:rFonts w:cs="Calibri"/>
        </w:rPr>
        <w:lastRenderedPageBreak/>
        <w:t xml:space="preserve">focuses on taking action prior to a disaster, helping to prepare individuals to respond to risk effectively </w:t>
      </w:r>
      <w:r w:rsidRPr="0040407A">
        <w:fldChar w:fldCharType="begin" w:fldLock="1"/>
      </w:r>
      <w:r w:rsidR="00974B75">
        <w:rPr>
          <w:rFonts w:cs="Calibri"/>
        </w:rPr>
        <w:instrText>ADDIN CSL_CITATION {"citationItems":[{"id":"ITEM-1","itemData":{"DOI":"10.1016/j.ijdrr.2016.11.014","ISSN":"22124209","abstract":"The use of social media applications by citizens, public authorities, and humanitarian organisations generates vast quantities of data. Research predominantly focuses on the use of social media and associated analysis tools during the short-term response phase of a disaster. As such, the use of social media analysis tools to harness social media data for preparedness purposes is currently unclear. This research uses a combination of semi-structured interviews with 20 Red Cross Red Crescent and humanitarian actors, an online survey, two workshops and desk-based research to examine the opportunities and barriers faced by humanitarian actors in using social media analysis tools to analyse social media data for disaster preparedness. Whilst social media analysis tools provide humanitarian actors with an opportunity to understand the effectiveness of their preparedness communication on social media, to monitor risks and disasters, and to build community preparedness networks, this study identified a limited use of social media analysis tools by research participants. This (non) use of social media analysis tools was influenced by the interaction between seven categories of barriers relating to the user of the tool or the tool itself: language, culture, value, financial, human resources, technology, and data. In discussing these barriers, the authors highlight the key role that context plays in determining the significance of each barrier on the selection and use of social media analysis tools for preparedness.","author":[{"dropping-particle":"","family":"Anson","given":"Susan","non-dropping-particle":"","parse-names":false,"suffix":""},{"dropping-particle":"","family":"Watson","given":"Hayley","non-dropping-particle":"","parse-names":false,"suffix":""},{"dropping-particle":"","family":"Wadhwa","given":"Kush","non-dropping-particle":"","parse-names":false,"suffix":""},{"dropping-particle":"","family":"Metz","given":"Karin","non-dropping-particle":"","parse-names":false,"suffix":""}],"container-title":"International Journal of Disaster Risk Reduction","id":"ITEM-1","issued":{"date-parts":[["2017"]]},"page":"131-139","publisher":"Elsevier Ltd","title":"Analysing social media data for disaster preparedness: Understanding the opportunities and barriers faced by humanitarian actors","type":"article-journal","volume":"21"},"uris":["http://www.mendeley.com/documents/?uuid=7c91a9ee-7c4a-421b-a2c6-6d5e6dd6dd52"]}],"mendeley":{"formattedCitation":"(Anson et al., 2017)","plainTextFormattedCitation":"(Anson et al., 2017)","previouslyFormattedCitation":"(Anson et al., 2017)"},"properties":{"noteIndex":0},"schema":"https://github.com/citation-style-language/schema/raw/master/csl-citation.json"}</w:instrText>
      </w:r>
      <w:r w:rsidRPr="0040407A">
        <w:rPr>
          <w:rFonts w:cs="Calibri"/>
        </w:rPr>
        <w:fldChar w:fldCharType="separate"/>
      </w:r>
      <w:r w:rsidRPr="0040407A">
        <w:rPr>
          <w:rFonts w:cs="Calibri"/>
          <w:noProof/>
        </w:rPr>
        <w:t>(Anson et al., 2017)</w:t>
      </w:r>
      <w:r w:rsidRPr="0040407A">
        <w:rPr>
          <w:rFonts w:cs="Calibri"/>
        </w:rPr>
        <w:fldChar w:fldCharType="end"/>
      </w:r>
      <w:r>
        <w:rPr>
          <w:rFonts w:cs="Calibri"/>
        </w:rPr>
        <w:t>, which could be viewed as an institutional logic which will influence emergency services, such as SYFR.</w:t>
      </w:r>
    </w:p>
    <w:p w14:paraId="5A031833" w14:textId="77777777" w:rsidR="00787F73" w:rsidRDefault="00787F73" w:rsidP="00866155">
      <w:pPr>
        <w:rPr>
          <w:rFonts w:cs="Calibri"/>
        </w:rPr>
      </w:pPr>
    </w:p>
    <w:p w14:paraId="43C452D7" w14:textId="153E97D9" w:rsidR="00787F73" w:rsidRDefault="00742FB7" w:rsidP="00866155">
      <w:r>
        <w:rPr>
          <w:rFonts w:cs="Calibri"/>
        </w:rPr>
        <w:t xml:space="preserve">Communicating risk can be done in many ways, but there is a consensus among researchers that risk communication is about: creating awareness; alerting the communities to risk; exchanging information and opinions; contains actionable information; and is timely  </w:t>
      </w:r>
      <w:r>
        <w:fldChar w:fldCharType="begin" w:fldLock="1"/>
      </w:r>
      <w:r w:rsidR="00974B75">
        <w:rPr>
          <w:rFonts w:cs="Calibri"/>
        </w:rPr>
        <w:instrText>ADDIN CSL_CITATION {"citationItems":[{"id":"ITEM-1","itemData":{"DOI":"10.1016/j.ijdrr.2017.04.015","ISSN":"22124209","abstract":"The medium of film is well established for education and communication about hazardous phenomena as it provides engaging ways to directly view hazards and their impacts. Empirical analysis can help to understand films’ effectiveness in informing populations at risk and catalysing action to reduce risk. Using volcanic eruptions as a focus, an evidence-based methodology was devised to create, use, and track the outcomes of digital film tools designed to raise hazard and risk awareness, and develop preparedness efforts. Experiences from two contrasting eruptions were documented, with the secondary purpose of fostering social and cultural memories of eruptions, developed in response to demand from at-risk communities during field-based research. The films were created as a partnership with local volcano monitoring scientists and at-risk populations who, consequently, became the leading focus of the films, thus offering a substantial contrast to other types of hazard communication. The films were analysed by sharing them with at-risk communities and evaluating the immediate influence on learning and affect. Results indicated that the use of local content and actors to share experiences and teach valuable lessons were inspirational. Recognizable faces and spaces helped to convey disaster risk reduction messages. They also motivated audiences to consider ownership of risk and potential actions to reduce risk and strengthen resilience. This study demonstrated the effectiveness of co-production in the design and execution of intervention strategies for volcanic risk reduction. Co-production of films with local agencies resulted in products that were contextually appropriate, meaningful for audiences, and useful risk communication tools.","author":[{"dropping-particle":"","family":"Hicks","given":"Anna","non-dropping-particle":"","parse-names":false,"suffix":""},{"dropping-particle":"","family":"Armijos","given":"Maria Teresa","non-dropping-particle":"","parse-names":false,"suffix":""},{"dropping-particle":"","family":"Barclay","given":"Jenni","non-dropping-particle":"","parse-names":false,"suffix":""},{"dropping-particle":"","family":"Stone","given":"Jonathan","non-dropping-particle":"","parse-names":false,"suffix":""},{"dropping-particle":"","family":"Robertson","given":"Richard","non-dropping-particle":"","parse-names":false,"suffix":""},{"dropping-particle":"","family":"Cortés","given":"Gloria Patricia","non-dropping-particle":"","parse-names":false,"suffix":""}],"container-title":"International Journal of Disaster Risk Reduction","id":"ITEM-1","issued":{"date-parts":[["2017"]]},"page":"138-151","publisher":"Elsevier Ltd","title":"Risk communication films: Process, product and potential for improving preparedness and behaviour change","type":"article-journal","volume":"23"},"uris":["http://www.mendeley.com/documents/?uuid=0f5f1ccc-9589-4eed-a1d9-c3f921c1cc41"]},{"id":"ITEM-2","itemData":{"DOI":"10.1016/j.proeng.2018.01.032","ISSN":"18777058","abstract":"The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Engineering","id":"ITEM-2","issued":{"date-parts":[["2018"]]},"page":"246-253","publisher":"Elsevier B.V.","title":"Conceptual Framework for Motivating Actions towards Disaster Preparedness Through Risk Communication","type":"article-journal","volume":"212"},"uris":["http://www.mendeley.com/documents/?uuid=01e245d0-867b-47cd-8164-80d2bc1d7862"]},{"id":"ITEM-3","itemData":{"DOI":"10.1016/j.jhydrol.2018.11.007","ISSN":"00221694","abstract":"Flood risk management is gradually shifting from a risk-based approach to an integrated one that, among other elements, considers risk communication (RC) as a means of boosting resilience. Regardless of the above, few scientists have tackled up to now the integration of RC into flood risk management. In this connection, this particular study seeks to check out the potential of a risk dialogue approach (based on an ad hoc RC strategy) to change attitudes and behaviours in relation to flash flood risk. Via a pre-post survey design, we evaluated risk perception and awareness regarding a Civil Protection Plan (CPP) implemented locally (i.e., in the municipality of Navaluenga, central Spain). For this particular objective, a questionnaire survey was created, and 201 adults (representing more than 10% of the population census) were interviewed twice in a one-year period. Before the second survey, an RC strategy was created. The RC strategy comprised briefings, quiz answers, storytelling, a contest of videos and photographs about past floods, and an intergenerational workshop. A t-test for paired sample analyses and a general linear model (GLM) repeated measures ANOVA were applied to identify changes in risk perception and awareness. Our results indicate that the RC strategy did increase flood risk perception in Navaluenga in the long term (lifetime). Also, it increased the level of awareness of the various features that comprise the CPP, enabling people to be more competent in facing a flash flood. Some cognitive biases detected in the perceptual process of human beings may shed some light on the results obtained. The implementation of well-thought-out RC strategies can play a role in improving resilience, particularly in geographic areas such as the Iberian Peninsula, in which climate change scenarios indicate a likely increase in the severity and frequency of flooding.","author":[{"dropping-particle":"","family":"Bodoque","given":"J. M.","non-dropping-particle":"","parse-names":false,"suffix":""},{"dropping-particle":"","family":"Díez-Herrero","given":"A.","non-dropping-particle":"","parse-names":false,"suffix":""},{"dropping-particle":"","family":"Amerigo","given":"M.","non-dropping-particle":"","parse-names":false,"suffix":""},{"dropping-particle":"","family":"García","given":"J. A.","non-dropping-particle":"","parse-names":false,"suffix":""},{"dropping-particle":"","family":"Olcina","given":"J.","non-dropping-particle":"","parse-names":false,"suffix":""}],"container-title":"Journal of Hydrology","id":"ITEM-3","issued":{"date-parts":[["2019"]]},"page":"769-779","publisher":"Elsevier","title":"Enhancing flash flood risk perception and awareness of mitigation actions through risk communication: A pre-post survey design","type":"article-journal","volume":"568"},"uris":["http://www.mendeley.com/documents/?uuid=035f4ef7-201a-47c7-8e7a-0cc5c28eb0f7"]},{"id":"ITEM-4","itemData":{"DOI":"10.1016/j.ijdrr.2022.102808","ISSN":"22124209","abstract":"The main objective of this study is to examine the role of risk communication during the COVID-19 crisis, which is often neglected in studies investigating the outbreak of the pandemic. The study is based on survey data from a group of international (non-Japanese) students in Japan and the theoretical foundation of fear appeal theory. The results, which are based on the panel data structure, show that individually, (1) the act of seeking out others to discuss risks in depth in the current pandemic context or (2) the observed adoption of advocated precautionary health behaviours is not necessarily a good indicator of mental management, but (3) the combined effect of (1) and (2) unexpectedly suggests a conciliatory effect on the fear of disasters. Moreover, this evidence-based finding (3) suggests that a reciprocal relationship exists between threat and efficacy in terms of mediating fear under the framework and theory of fear appeals, indirectly challenging the fear control response proposition of the extended parallel process model. Our empirical findings emphasize the role of risk discourse and information sharing combined with preventive health behaviours adopted within a community in the context of global health crises.","author":[{"dropping-particle":"","family":"Dao","given":"Minh Tuan","non-dropping-particle":"","parse-names":false,"suffix":""},{"dropping-particle":"","family":"Lim","given":"Seunghoo","non-dropping-particle":"","parse-names":false,"suffix":""}],"container-title":"International Journal of Disaster Risk Reduction","id":"ITEM-4","issued":{"date-parts":[["2022"]]},"page":"1 - 12","title":"Fear of disasters within the risk communication network of foreign students in Japan amid the COVID-19 pandemic crisis: A cohort design","type":"article-journal","volume":"71"},"uris":["http://www.mendeley.com/documents/?uuid=4e8897e0-d91f-4155-89aa-75260c35275c"]},{"id":"ITEM-5","itemData":{"DOI":"10.1016/j.ijdrr.2022.102903","ISSN":"22124209","abstract":"In today's information age, both excess and lack of information can cause a disaster. COVID-19 pandemic not only highlighted the significance of risk communication but also pointed out several unintended and distressing consequences due to information gaps and miscommunications. Despite facing a common threat, the local communities suffered differential impacts during the pandemic. This paper classifies the nature of risk communications experienced across different countries into three categories, namely: inadequate, ideal, and infodemic risk communication that influenced the local perceptions and responses. It further argues that inadequately planned risk communications tend to create new risks and compromise the efforts towards managing a disaster. As global risks are responded locally, there is a need for more inclusive and engaging risk communication that involves communities as responsible stakeholders who understand, plan, and respond to risks to increase their propensity for resilience during disasters and crisis situations.","author":[{"dropping-particle":"","family":"Khan","given":"Shabana","non-dropping-particle":"","parse-names":false,"suffix":""},{"dropping-particle":"","family":"Mishra","given":"Jyoti","non-dropping-particle":"","parse-names":false,"suffix":""},{"dropping-particle":"","family":"Ahmed","given":"Nova","non-dropping-particle":"","parse-names":false,"suffix":""},{"dropping-particle":"","family":"Onyige","given":"Chioma Daisy","non-dropping-particle":"","parse-names":false,"suffix":""},{"dropping-particle":"","family":"Lin","given":"Kuanhui Elaine","non-dropping-particle":"","parse-names":false,"suffix":""},{"dropping-particle":"","family":"Siew","given":"Renard","non-dropping-particle":"","parse-names":false,"suffix":""},{"dropping-particle":"","family":"Lim","given":"Boon Han","non-dropping-particle":"","parse-names":false,"suffix":""}],"container-title":"International Journal of Disaster Risk Reduction","id":"ITEM-5","issued":{"date-parts":[["2022"]]},"page":"1-13","title":"Risk communication and community engagement during COVID-19","type":"article-journal","volume":"74"},"uris":["http://www.mendeley.com/documents/?uuid=849f61bc-f758-47e1-97be-298ae2c6fa66"]},{"id":"ITEM-6","itemData":{"DOI":"10.1111/risa.13828","ISSN":"15396924","PMID":"34569091","abstract":"During public health emergencies, government practitioners must rapidly make sense of the risk to human health and the emergency risk communication (ERC) options available. These practitioners determine what, how, and when information is communicated to the public. Recurring criticism of ERC indicates that the communication is not meeting the needs of the community. To improve ERC practice, it is therefore critical to understand practitioners’ sensemaking in these complex and time-critical settings. This article unpacks the realities and complexities of sensemaking, the process by which practitioners create meaning from the information they receive about an emergency as it unfolds. Qualitative interviews gathered practitioners’ lived experiences of public health emergencies, namely, smoke events (e.g., wildfires and industrial facility fires), and thematic analysis drew on sensemaking literature. The evidence shows that sensemaking is challenging, as practitioners experience pressure from the emergency context and organizational, political, and social expectations. Sensemaking for ERC comes with an underlying imperative to accurately make sense of the situation, in a timely manner and in a way that leads to the best health outcomes. Practitioners must balance creating plausible meaning (sensemaking) with the accuracy expected by stakeholders. The analysis also highlights how sensemaking scope is delimited by professional expert identities and roles within the emergency management system; that is, practitioners’ understanding of their expertise and role, and that of other practitioners. Past lived experiences are viewed as key facilitators of both individual and collective sensemaking, and the history of similar public health events shapes sensemaking in this context.","author":[{"dropping-particle":"","family":"Thomas","given":"Madeleine","non-dropping-particle":"","parse-names":false,"suffix":""},{"dropping-particle":"","family":"Klemm","given":"Celine","non-dropping-particle":"","parse-names":false,"suffix":""},{"dropping-particle":"","family":"Hutchins","given":"Brett","non-dropping-particle":"","parse-names":false,"suffix":""},{"dropping-particle":"","family":"Kaufman","given":"Stefan","non-dropping-particle":"","parse-names":false,"suffix":""}],"container-title":"Risk Analysis","id":"ITEM-6","issue":"11","issued":{"date-parts":[["2022"]]},"page":"2536-2549","title":"Unpacking the Realities and Complexities of Sensemaking: Government Practitioners’ Experiences of Emergency Risk Communication","type":"article-journal","volume":"42"},"uris":["http://www.mendeley.com/documents/?uuid=727bc174-52fa-41c4-9eb1-898bb6178901"]},{"id":"ITEM-7","itemData":{"DOI":"10.1017/dmp.2020.347","ISSN":"1938744X","PMID":"32907685","abstract":"ObjectiveThe purpose of this study was to demonstrate the use of social network analysis to understand public discourse on Twitter around the novel coronavirus pandemic (COVID-19). We examined different network properties that might affect the successful dissemination by and adoption of public health messages from public health officials and health agencies.MethodsWe focused on conversations on Twitter during three key communication events from late January to early June of 2020. We used Netlytic, a free web-based software that collects publicly available data from social media sites such as Twitter.ResultsWe found that the network of conversations around COVID-19 is highly decentralized, fragmented, and loosely connected; these characteristics can hinder the successful dissemination of public health messages in a network. Competing conversations and misinformation can hamper risk communication efforts in a way that imperil public health.ConclusionLooking at basic metrics might create a misleading picture of the effectiveness of risk communication efforts on social media if not analyzed within the context of the larger network. Social network analysis of conversations on social media should be an integral part of how public health officials and agencies plan, monitor, and evaluate risk communication efforts.","author":[{"dropping-particle":"","family":"Pascual-Ferrá","given":"Paola","non-dropping-particle":"","parse-names":false,"suffix":""},{"dropping-particle":"","family":"Alperstein","given":"Neil","non-dropping-particle":"","parse-names":false,"suffix":""},{"dropping-particle":"","family":"Barnett","given":"Daniel J.","non-dropping-particle":"","parse-names":false,"suffix":""}],"container-title":"Disaster Medicine and Public Health Preparedness","id":"ITEM-7","issue":"2","issued":{"date-parts":[["2022"]]},"page":"561-569","title":"Social Network Analysis of COVID-19 Public Discourse on Twitter: Implications for Risk Communication","type":"article-journal","volume":"16"},"uris":["http://www.mendeley.com/documents/?uuid=158b85ff-955e-4d7f-bfb1-e3b2dc838613"]},{"id":"ITEM-8","itemData":{"DOI":"10.1108/ITP-05-2021-0363","ISSN":"09593845","abstract":"Purpose: Despite the huge potential of social media, its functionality and impact for enhanced risk communication remain unclear. Drawing on dialogic theory by integrating both “speak from power” and “speak to power” measurements, the article aims to propose a systematic framework to address this issue. Design/methodology/approach: The impact of social media on risk communication is measured by the correlation between “speak from power” and “speak to power” levels, where the former primarily spoke to two facets of the risk communication process – rapidness and attentiveness, and the latter was benchmarked against popularity and commitment. The framework was empirically validated with data relating to coronavirus disease (COVID-19) risk communication in 25,024 selected posts on 17 official provincial Weibo accounts in China. Findings: The analysis results suggest the relationship between the “speak from power” and “speak to power” is mixed rather than causality, which confirms that neither the outcome-centric nor the process-centric method alone can render a full picture of government–public interconnectivity. Besides, the proposed interconnectivity matrix reveals that two provinces have evidenced the formation of government–public mutuality, which provides empirical evidence that dialogic relationships could exist in social media during risk communication. Originality/value: The authors' study proposed a prototype framework that underlines the need that the impact of social media on risk communication should and must be assessed through a combination of process and outcome or interconnectivity. The authors further divide the impact of social media on risk communication into dialogue enabler, “speak from power” booster, “speak to power” channel and mass media alternative.","author":[{"dropping-particle":"","family":"Zhu","given":"Ruilin","non-dropping-particle":"","parse-names":false,"suffix":""},{"dropping-particle":"","family":"Song","given":"Yanqing","non-dropping-particle":"","parse-names":false,"suffix":""},{"dropping-particle":"","family":"He","given":"Shuang","non-dropping-particle":"","parse-names":false,"suffix":""},{"dropping-particle":"","family":"Hu","given":"Xuan","non-dropping-particle":"","parse-names":false,"suffix":""},{"dropping-particle":"","family":"Hu","given":"Wangsu","non-dropping-particle":"","parse-names":false,"suffix":""},{"dropping-particle":"","family":"Liu","given":"Bingsheng","non-dropping-particle":"","parse-names":false,"suffix":""}],"container-title":"Information Technology and People","id":"ITEM-8","issue":"7","issued":{"date-parts":[["2022"]]},"page":"2518-2540","title":"Toward dialogue through a holistic measuring framework – the impact of social media on risk communication in the COVID-19","type":"article-journal","volume":"35"},"uris":["http://www.mendeley.com/documents/?uuid=0a67c08d-e86f-4697-a72d-997e6e8a75ba"]}],"mendeley":{"formattedCitation":"(Dao &amp; Lim, 2022; Khan et al., 2022; Pascual-Ferrá, Alperstein, &amp; Barnett, 2022; Thomas et al., 2022; Zhu et al., 2022; Bodoque et al., 2019; Abunyewah, Gajendran, &amp; Maund, 2018; Hicks et al., 2017)","plainTextFormattedCitation":"(Dao &amp; Lim, 2022; Khan et al., 2022; Pascual-Ferrá, Alperstein, &amp; Barnett, 2022; Thomas et al., 2022; Zhu et al., 2022; Bodoque et al., 2019; Abunyewah, Gajendran, &amp; Maund, 2018; Hicks et al., 2017)","previouslyFormattedCitation":"(Dao &amp; Lim, 2022; Khan et al., 2022; Pascual-Ferrá, Alperstein, &amp; Barnett, 2022; Thomas et al., 2022; Zhu et al., 2022; Bodoque et al., 2019; Abunyewah, Gajendran, &amp; Maund, 2018; Hicks et al., 2017)"},"properties":{"noteIndex":0},"schema":"https://github.com/citation-style-language/schema/raw/master/csl-citation.json"}</w:instrText>
      </w:r>
      <w:r>
        <w:rPr>
          <w:rFonts w:cs="Calibri"/>
        </w:rPr>
        <w:fldChar w:fldCharType="separate"/>
      </w:r>
      <w:r>
        <w:rPr>
          <w:rFonts w:cs="Calibri"/>
          <w:noProof/>
        </w:rPr>
        <w:t>(Dao &amp; Lim, 2022; Khan et al., 2022; Pascual-Ferrá, Alperstein, &amp; Barnett, 2022; Thomas et al., 2022; Zhu et al., 2022; Bodoque et al., 2019; Abunyewah, Gajendran, &amp; Maund, 2018; Hicks et al., 2017)</w:t>
      </w:r>
      <w:r>
        <w:rPr>
          <w:rFonts w:cs="Calibri"/>
        </w:rPr>
        <w:fldChar w:fldCharType="end"/>
      </w:r>
      <w:r>
        <w:rPr>
          <w:rFonts w:cs="Calibri"/>
        </w:rPr>
        <w:t xml:space="preserve">. This adds a temporal element to risk communication, namely communicating the risk prior to the impact of said risk. This links to the theme of temporality from the institutional theory section, namely how logics are not static over time. This temporality of communication can be explored with the difference between risk and crisis communication. </w:t>
      </w:r>
    </w:p>
    <w:p w14:paraId="5DAAD4AD" w14:textId="77777777" w:rsidR="00787F73" w:rsidRDefault="00787F73" w:rsidP="00866155">
      <w:pPr>
        <w:contextualSpacing/>
        <w:rPr>
          <w:rFonts w:cs="Calibri"/>
        </w:rPr>
      </w:pPr>
    </w:p>
    <w:p w14:paraId="7DADD121" w14:textId="77777777" w:rsidR="00787F73" w:rsidRDefault="00742FB7" w:rsidP="00866155">
      <w:pPr>
        <w:pStyle w:val="Heading5"/>
        <w:spacing w:line="360" w:lineRule="auto"/>
      </w:pPr>
      <w:bookmarkStart w:id="174" w:name="_Toc98148304"/>
      <w:bookmarkStart w:id="175" w:name="_Toc67579743"/>
      <w:bookmarkStart w:id="176" w:name="_Toc93410804"/>
      <w:bookmarkStart w:id="177" w:name="_Toc139645572"/>
      <w:bookmarkStart w:id="178" w:name="_Toc139636617"/>
      <w:r>
        <w:rPr>
          <w:rFonts w:ascii="Calibri" w:hAnsi="Calibri" w:cs="Calibri"/>
        </w:rPr>
        <w:t>The temporality of risk and crisis communication</w:t>
      </w:r>
      <w:bookmarkEnd w:id="174"/>
      <w:bookmarkEnd w:id="175"/>
      <w:bookmarkEnd w:id="176"/>
      <w:bookmarkEnd w:id="177"/>
      <w:bookmarkEnd w:id="178"/>
    </w:p>
    <w:p w14:paraId="103CC87E" w14:textId="30B3E800" w:rsidR="00787F73" w:rsidRDefault="00742FB7" w:rsidP="00866155">
      <w:pPr>
        <w:contextualSpacing/>
      </w:pPr>
      <w:r>
        <w:rPr>
          <w:rFonts w:cs="Calibri"/>
        </w:rPr>
        <w:t xml:space="preserve">Risk and crisis communication each take place at different times within the </w:t>
      </w:r>
      <w:r w:rsidR="00921B36">
        <w:rPr>
          <w:rFonts w:cs="Calibri"/>
        </w:rPr>
        <w:t>disaster management cycle</w:t>
      </w:r>
      <w:r>
        <w:rPr>
          <w:rFonts w:cs="Calibri"/>
        </w:rPr>
        <w:t xml:space="preserve">. Risk communication focuses on what might happen, acknowledging potential hazards (pre disaster), and crisis communication focuses on what is happening or has happened (during or post disaster) </w:t>
      </w:r>
      <w:r>
        <w:fldChar w:fldCharType="begin" w:fldLock="1"/>
      </w:r>
      <w:r w:rsidR="00974B75">
        <w:rPr>
          <w:rFonts w:cs="Calibri"/>
        </w:rPr>
        <w:instrText>ADDIN CSL_CITATION {"citationItems":[{"id":"ITEM-1","itemData":{"author":[{"dropping-particle":"","family":"Macdonagh","given":"Peter","non-dropping-particle":"","parse-names":false,"suffix":""},{"dropping-particle":"","family":"Comer","given":"Michelle","non-dropping-particle":"","parse-names":false,"suffix":""},{"dropping-particle":"","family":"Mackin","given":"Martin","non-dropping-particle":"","parse-names":false,"suffix":""},{"dropping-particle":"","family":"O'Byrnes","given":"Ruth","non-dropping-particle":"","parse-names":false,"suffix":""},{"dropping-particle":"","family":"Dobrokhotova","given":"Ekaterina","non-dropping-particle":"","parse-names":false,"suffix":""},{"dropping-particle":"","family":"Wendt","given":"Willi","non-dropping-particle":"","parse-names":false,"suffix":""},{"dropping-particle":"","family":"Kloyber","given":"Christian","non-dropping-particle":"","parse-names":false,"suffix":""},{"dropping-particle":"","family":"Elliot","given":"Aideen","non-dropping-particle":"","parse-names":false,"suffix":""},{"dropping-particle":"","family":"McCarthy","given":"Sadbh","non-dropping-particle":"","parse-names":false,"suffix":""}],"id":"ITEM-1","issued":{"date-parts":[["2016"]]},"number-of-pages":"1-131","title":"D35.1 - Best Practice In Communication for Civil Resilience","type":"report"},"uris":["http://www.mendeley.com/documents/?uuid=9c2e1b15-5c78-4c06-bc51-02589f54f1b9"]},{"id":"ITEM-2","itemData":{"DOI":"10.1111/disa.12092","ISBN":"0361-3666","ISSN":"0361-3666","PMID":"25243593","abstract":"A comprehensive review of online, official, and scientific literature was carried out in 2012-13 to develop a framework of disaster social media. This framework can be used to facilitate the creation of disaster social media tools, the formulation of disaster social media implementation processes, and the scientific study of disaster social media effects. Disaster social media users in the framework include communities, government, individuals, organisations, and media outlets. Fifteen distinct disaster social media uses were identified, ranging from preparing and receiving disaster preparedness information and warnings and signalling and detecting disasters prior to an event to (re)connecting community members following a disaster. The framework illustrates that a variety of entities may utilise and produce disaster social media content. Consequently, disaster social media use can be conceptualised as occurring at a number of levels, even within the same disaster. Suggestions are provided on how the proposed framework can inform future disaster social media development and research.","author":[{"dropping-particle":"","family":"Houston","given":"J B","non-dropping-particle":"","parse-names":false,"suffix":""},{"dropping-particle":"","family":"Hawthorne","given":"J","non-dropping-particle":"","parse-names":false,"suffix":""},{"dropping-particle":"","family":"Perreault","given":"M F","non-dropping-particle":"","parse-names":false,"suffix":""},{"dropping-particle":"","family":"Park","given":"E H","non-dropping-particle":"","parse-names":false,"suffix":""},{"dropping-particle":"","family":"Hode","given":"M G","non-dropping-particle":"","parse-names":false,"suffix":""},{"dropping-particle":"","family":"Halliwell","given":"M R","non-dropping-particle":"","parse-names":false,"suffix":""},{"dropping-particle":"","family":"McGowen","given":"S E T","non-dropping-particle":"","parse-names":false,"suffix":""},{"dropping-particle":"","family":"Davis","given":"R","non-dropping-particle":"","parse-names":false,"suffix":""},{"dropping-particle":"","family":"Vaid","given":"S","non-dropping-particle":"","parse-names":false,"suffix":""},{"dropping-particle":"","family":"McElderry","given":"J a","non-dropping-particle":"","parse-names":false,"suffix":""},{"dropping-particle":"","family":"Griffith","given":"S a","non-dropping-particle":"","parse-names":false,"suffix":""}],"container-title":"Disasters","id":"ITEM-2","issue":"1","issued":{"date-parts":[["2014"]]},"page":"1-22","title":"Social media and disasters: a functional framework for social media use in disaster planning, response, and research","type":"article-journal","volume":"39"},"uris":["http://www.mendeley.com/documents/?uuid=5c25cc81-f505-46f0-b50e-8b74da34d4da"]},{"id":"ITEM-3","itemData":{"DOI":"10.1080/15358590903402200","ISBN":"1535859090340","author":[{"dropping-particle":"","family":"Sellnow","given":"Tim","non-dropping-particle":"","parse-names":false,"suffix":""},{"dropping-particle":"","family":"Sellnow","given":"Deanna","non-dropping-particle":"","parse-names":false,"suffix":""}],"container-title":"The Review of Communication","id":"ITEM-3","issue":"2","issued":{"date-parts":[["2010"]]},"page":"112-126","title":"The Instructional Dynamic of Risk and Crisis Communication: Distinguishing Instructional Messages from Dialogue","type":"article-journal","volume":"10"},"uris":["http://www.mendeley.com/documents/?uuid=1f43dade-4825-4b23-9f47-5994f8fc2ae0"]}],"mendeley":{"formattedCitation":"(Macdonagh et al., 2016; Houston et al., 2014; Sellnow &amp; Sellnow, 2010)","manualFormatting":"(Macdonagh et al., 2016; Houston et al., 2014; Sellnow &amp; Sellnow, 2010)","plainTextFormattedCitation":"(Macdonagh et al., 2016; Houston et al., 2014; Sellnow &amp; Sellnow, 2010)","previouslyFormattedCitation":"(Macdonagh et al., 2016; Houston et al., 2014; Sellnow &amp; Sellnow, 2010)"},"properties":{"noteIndex":0},"schema":"https://github.com/citation-style-language/schema/raw/master/csl-citation.json"}</w:instrText>
      </w:r>
      <w:r>
        <w:rPr>
          <w:rFonts w:cs="Calibri"/>
        </w:rPr>
        <w:fldChar w:fldCharType="separate"/>
      </w:r>
      <w:r>
        <w:rPr>
          <w:rFonts w:cs="Calibri"/>
          <w:noProof/>
        </w:rPr>
        <w:t>(Macdonagh et al., 2016; Houston et al., 2014; Sellnow &amp; Sellnow, 2010)</w:t>
      </w:r>
      <w:r>
        <w:rPr>
          <w:rFonts w:cs="Calibri"/>
        </w:rPr>
        <w:fldChar w:fldCharType="end"/>
      </w:r>
      <w:r>
        <w:rPr>
          <w:rFonts w:cs="Calibri"/>
        </w:rPr>
        <w:t xml:space="preserve">. Essentially, crisis communications are what happens when the risk has not been effectively mitigated or prevented. This can be shown in Figure 4, which maps the different communication types to the </w:t>
      </w:r>
      <w:r w:rsidR="00921B36">
        <w:rPr>
          <w:rFonts w:cs="Calibri"/>
        </w:rPr>
        <w:t>disaster management cycle</w:t>
      </w:r>
      <w:r>
        <w:rPr>
          <w:rFonts w:cs="Calibri"/>
        </w:rPr>
        <w:t>.</w:t>
      </w:r>
    </w:p>
    <w:p w14:paraId="06E433AA" w14:textId="77777777" w:rsidR="00787F73" w:rsidRDefault="00787F73" w:rsidP="00866155">
      <w:pPr>
        <w:contextualSpacing/>
        <w:rPr>
          <w:rFonts w:cs="Calibri"/>
        </w:rPr>
      </w:pPr>
    </w:p>
    <w:p w14:paraId="7B9EA279" w14:textId="77777777" w:rsidR="00787F73" w:rsidRDefault="00742FB7" w:rsidP="00866155">
      <w:pPr>
        <w:contextualSpacing/>
        <w:jc w:val="center"/>
      </w:pPr>
      <w:r>
        <w:rPr>
          <w:noProof/>
        </w:rPr>
        <w:lastRenderedPageBreak/>
        <w:drawing>
          <wp:inline distT="0" distB="0" distL="0" distR="0" wp14:anchorId="4FC7E59E" wp14:editId="42C0B5FD">
            <wp:extent cx="5751830" cy="38417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2"/>
                    <a:stretch>
                      <a:fillRect/>
                    </a:stretch>
                  </pic:blipFill>
                  <pic:spPr bwMode="auto">
                    <a:xfrm>
                      <a:off x="0" y="0"/>
                      <a:ext cx="5751830" cy="3841750"/>
                    </a:xfrm>
                    <a:prstGeom prst="rect">
                      <a:avLst/>
                    </a:prstGeom>
                  </pic:spPr>
                </pic:pic>
              </a:graphicData>
            </a:graphic>
          </wp:inline>
        </w:drawing>
      </w:r>
    </w:p>
    <w:p w14:paraId="0FCBF21F" w14:textId="77777777" w:rsidR="00787F73" w:rsidRDefault="00787F73" w:rsidP="00866155">
      <w:pPr>
        <w:contextualSpacing/>
        <w:jc w:val="center"/>
        <w:rPr>
          <w:rFonts w:cs="Calibri"/>
        </w:rPr>
      </w:pPr>
    </w:p>
    <w:p w14:paraId="1E1453F9" w14:textId="035E53C8" w:rsidR="00787F73" w:rsidRDefault="00742FB7" w:rsidP="00866155">
      <w:pPr>
        <w:pStyle w:val="caption1"/>
        <w:jc w:val="center"/>
      </w:pPr>
      <w:bookmarkStart w:id="179" w:name="_Toc90567297"/>
      <w:bookmarkStart w:id="180" w:name="_Toc153554386"/>
      <w:bookmarkStart w:id="181" w:name="_Toc193367282"/>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4</w:t>
      </w:r>
      <w:r>
        <w:rPr>
          <w:rFonts w:cs="Calibri"/>
        </w:rPr>
        <w:fldChar w:fldCharType="end"/>
      </w:r>
      <w:r>
        <w:rPr>
          <w:rFonts w:cs="Calibri"/>
        </w:rPr>
        <w:t xml:space="preserve">: Different types of communication in the </w:t>
      </w:r>
      <w:r w:rsidR="00921B36">
        <w:rPr>
          <w:rFonts w:cs="Calibri"/>
        </w:rPr>
        <w:t>disaster management cycle</w:t>
      </w:r>
      <w:r>
        <w:rPr>
          <w:rFonts w:cs="Calibri"/>
        </w:rPr>
        <w:t xml:space="preserve">. Image created by the </w:t>
      </w:r>
      <w:bookmarkEnd w:id="179"/>
      <w:r>
        <w:rPr>
          <w:rFonts w:cs="Calibri"/>
        </w:rPr>
        <w:t>author.</w:t>
      </w:r>
      <w:bookmarkEnd w:id="180"/>
      <w:bookmarkEnd w:id="181"/>
    </w:p>
    <w:p w14:paraId="0CE64097" w14:textId="1B8531FA" w:rsidR="00787F73" w:rsidRDefault="00742FB7" w:rsidP="00866155">
      <w:pPr>
        <w:contextualSpacing/>
      </w:pPr>
      <w:r>
        <w:rPr>
          <w:rFonts w:cs="Calibri"/>
        </w:rPr>
        <w:t>There is a large body of literature on crisis communication</w:t>
      </w:r>
      <w:r w:rsidR="00D41D72">
        <w:rPr>
          <w:rFonts w:cs="Calibri"/>
        </w:rPr>
        <w:t>.</w:t>
      </w:r>
      <w:r>
        <w:rPr>
          <w:rFonts w:cs="Calibri"/>
        </w:rPr>
        <w:t xml:space="preserve"> </w:t>
      </w:r>
      <w:r w:rsidR="00D41D72">
        <w:rPr>
          <w:rFonts w:cs="Calibri"/>
        </w:rPr>
        <w:t>This includes</w:t>
      </w:r>
      <w:r>
        <w:rPr>
          <w:rFonts w:cs="Calibri"/>
        </w:rPr>
        <w:t xml:space="preserve"> situational crisis communication theory, which focuses on how organisations handle crisis </w:t>
      </w:r>
      <w:r>
        <w:rPr>
          <w:rFonts w:cs="Calibri"/>
          <w:i/>
          <w:iCs/>
        </w:rPr>
        <w:t>during</w:t>
      </w:r>
      <w:r>
        <w:rPr>
          <w:rFonts w:cs="Calibri"/>
        </w:rPr>
        <w:t xml:space="preserve"> the crisis </w:t>
      </w:r>
      <w:r>
        <w:fldChar w:fldCharType="begin" w:fldLock="1"/>
      </w:r>
      <w:r w:rsidR="00974B75">
        <w:rPr>
          <w:rFonts w:cs="Calibri"/>
        </w:rPr>
        <w:instrText>ADDIN CSL_CITATION {"citationItems":[{"id":"ITEM-1","itemData":{"DOI":"10.1007/s10551-017-3706-0","ISBN":"0123456789","ISSN":"15730697","abstract":"Despite widespread discussion of the impact of corporate social responsibility (CSR) activities on consumer perceptions, little research has examined how consumers cope with CSR-based crisis response messages as a bolstering strategy. To fill this gap, we propose a framework integrating situational crisis communication theory with the persuasion knowledge model, applying the model to an experiment with a 2 (topic knowledge − crisis type: accidental vs. intentional) × 2 (persuasion knowledge− CSR motives: intrinsic vs. extrinsic) × 2 (agent knowledge− CSR history: long vs. short) between-subjects factorial design. In Study 1, we found interaction effects between CSR motives and crisis type on word-of-mouth intention and purchase intention. In addition, inferences about CSR motives interacted with perceptions about CSR history on purchase intention. In Study 2, we replicated study 1 and found that crisis responsibility mediated the main effect of crisis type on behavioral intentions, but neither the main effect of CSR motives and CSR history nor the interactions effects among those variables were mediated by crisis responsibility. Our results indicate that consumer inferences from a company’s CSR-based crisis communications play a significant role in increasing consumer behavioral intentions in two situations: when a crisis is accidental and when a CSR history is short. Ethical and theoretical implications are discussed.","author":[{"dropping-particle":"","family":"Ham","given":"Chang Dae","non-dropping-particle":"","parse-names":false,"suffix":""},{"dropping-particle":"","family":"Kim","given":"Jeesun","non-dropping-particle":"","parse-names":false,"suffix":""}],"container-title":"Journal of Business Ethics","id":"ITEM-1","issued":{"date-parts":[["2019"]]},"page":"353-372","publisher":"Springer Netherlands","title":"The Role of CSR in Crises: Integration of Situational Crisis Communication Theory and the Persuasion Knowledge Model","type":"article-journal","volume":"158"},"uris":["http://www.mendeley.com/documents/?uuid=b55ddafe-bb1b-4fc8-87b5-e4de3c39a86c"]},{"id":"ITEM-2","itemData":{"DOI":"10.1080/13669877.2019.1628097","ISSN":"14664461","abstract":"In a crisis situation, communication is an important asset for safeguarding the reputation of an organization. The communication strategy that is used in a crisis influences the way people perceive the crisis. While extensive research is conducted and clear communication guidelines about crisis communication are provided, current research tends to focus on a single actor in a crisis within a homogeneous stakeholder group. In this article, we analyze whether and how different groups of stakeholders frame a crisis and the extent to which they attribute responsibility for the crisis to actors. The case concerns the use of an illegal lice detergent (fipronil) in eggs in the Netherlands in the summer of 2017. Based on the analysis of Twitter data related to the case using multiple methods (network analysis, a longitudinal analysis and the annotation of a sample of tweets), this study shows that a seemingly simple case in a single sub-arena has different subgroups that use different frames and attribute different responsibilities to different stakeholders. This result implies that a reconsideration of communication strategies during and after a crisis is needed.","author":[{"dropping-particle":"","family":"Lauran","given":"N.","non-dropping-particle":"","parse-names":false,"suffix":""},{"dropping-particle":"","family":"Kunneman","given":"F.","non-dropping-particle":"","parse-names":false,"suffix":""},{"dropping-particle":"","family":"Wijngaert","given":"L.","non-dropping-particle":"Van de","parse-names":false,"suffix":""}],"container-title":"Journal of Risk Research","id":"ITEM-2","issue":"10","issued":{"date-parts":[["2019"]]},"page":"1 - 20","title":"Connecting social media data and crisis communication theory: a case study on the chicken and the egg","type":"article-journal","volume":"23"},"uris":["http://www.mendeley.com/documents/?uuid=269e9f18-232c-485c-8823-bba51fd755f6"]},{"id":"ITEM-3","itemData":{"author":[{"dropping-particle":"","family":"Roshan","given":"Mina","non-dropping-particle":"","parse-names":false,"suffix":""},{"dropping-particle":"","family":"Warren","given":"Matthew","non-dropping-particle":"","parse-names":false,"suffix":""},{"dropping-particle":"","family":"Carr","given":"Rodney","non-dropping-particle":"","parse-names":false,"suffix":""}],"container-title":"Computers in Human Behavior","id":"ITEM-3","issued":{"date-parts":[["2016"]]},"page":"350 - 361","title":"Understanding the use of social media by organisations for crisis","type":"article-journal","volume":"63"},"uris":["http://www.mendeley.com/documents/?uuid=f129ae7a-b023-4326-aae2-2ec3c3638dc9"]},{"id":"ITEM-4","itemData":{"DOI":"10.1080/1062726X.2016.1261703","ISSN":"1532754X","abstract":"Twenty-five in-depth interviews with Belgian crisis communication practitioners were conducted to examine the gap between theory and practice. Crisis communication has become an important research area within public relations. Several studies have resulted in theories and guidelines regarding the effective use of communication during organizational crises. Unfortunately, these findings are not always put into practice. This study examines to what extent public relations practitioners apply theory in practice during crises and why. The findings offer an opportunity to formulate potential ways in which we can bridge the scholar-practitioner divide in public relations, through guidelines for both scholars and practitioners.","author":[{"dropping-particle":"","family":"Claeys","given":"An Sofie","non-dropping-particle":"","parse-names":false,"suffix":""},{"dropping-particle":"","family":"Opgenhaffen","given":"Michaël","non-dropping-particle":"","parse-names":false,"suffix":""}],"container-title":"Journal of Public Relations Research","id":"ITEM-4","issue":"5-6","issued":{"date-parts":[["2016"]]},"page":"232-247","publisher":"Routledge","title":"Why practitioners do (not) apply crisis communication theory in practice","type":"article-journal","volume":"28"},"uris":["http://www.mendeley.com/documents/?uuid=e2133237-e788-42b8-b4c7-940f30b27cc6"]}],"mendeley":{"formattedCitation":"(Ham &amp; Kim, 2019; Lauran, Kunneman, &amp; Van de Wijngaert, 2019; Claeys &amp; Opgenhaffen, 2016; Roshan, Warren, &amp; Carr, 2016)","plainTextFormattedCitation":"(Ham &amp; Kim, 2019; Lauran, Kunneman, &amp; Van de Wijngaert, 2019; Claeys &amp; Opgenhaffen, 2016; Roshan, Warren, &amp; Carr, 2016)","previouslyFormattedCitation":"(Ham &amp; Kim, 2019; Lauran, Kunneman, &amp; Van de Wijngaert, 2019; Claeys &amp; Opgenhaffen, 2016; Roshan, Warren, &amp; Carr, 2016)"},"properties":{"noteIndex":0},"schema":"https://github.com/citation-style-language/schema/raw/master/csl-citation.json"}</w:instrText>
      </w:r>
      <w:r>
        <w:rPr>
          <w:rFonts w:cs="Calibri"/>
        </w:rPr>
        <w:fldChar w:fldCharType="separate"/>
      </w:r>
      <w:r>
        <w:rPr>
          <w:rFonts w:cs="Calibri"/>
          <w:noProof/>
        </w:rPr>
        <w:t>(Ham &amp; Kim, 2019; Lauran, Kunneman, &amp; Van de Wijngaert, 2019; Claeys &amp; Opgenhaffen, 2016; Roshan, Warren, &amp; Carr, 2016)</w:t>
      </w:r>
      <w:r>
        <w:rPr>
          <w:rFonts w:cs="Calibri"/>
        </w:rPr>
        <w:fldChar w:fldCharType="end"/>
      </w:r>
      <w:r w:rsidR="00D41D72">
        <w:rPr>
          <w:rFonts w:cs="Calibri"/>
        </w:rPr>
        <w:t>.</w:t>
      </w:r>
      <w:r>
        <w:rPr>
          <w:rFonts w:cs="Calibri"/>
        </w:rPr>
        <w:t xml:space="preserve"> </w:t>
      </w:r>
      <w:r w:rsidR="00D41D72">
        <w:rPr>
          <w:rFonts w:cs="Calibri"/>
        </w:rPr>
        <w:t xml:space="preserve">There is </w:t>
      </w:r>
      <w:r>
        <w:rPr>
          <w:rFonts w:cs="Calibri"/>
        </w:rPr>
        <w:t xml:space="preserve">a substantial body of research in risk communication </w:t>
      </w:r>
      <w:r>
        <w:fldChar w:fldCharType="begin" w:fldLock="1"/>
      </w:r>
      <w:r>
        <w:rPr>
          <w:rFonts w:cs="Calibri"/>
        </w:rPr>
        <w:instrText>ADDIN CSL_CITATION {"citationItems":[{"id":"ITEM-1","itemData":{"author":[{"dropping-particle":"","family":"Covello","given":"Vincent T.","non-dropping-particle":"","parse-names":false,"suffix":""},{"dropping-particle":"","family":"Winterfeldt","given":"Detlof","non-dropping-particle":"von","parse-names":false,"suffix":""},{"dropping-particle":"","family":"Slovic","given":"Paul","non-dropping-particle":"","parse-names":false,"suffix":""}],"container-title":"Risk Abstracts","id":"ITEM-1","issued":{"date-parts":[["1986"]]},"page":"171 - 182","title":"Risk Communication: A review of the literature","type":"article-journal","volume":"3"},"uris":["http://www.mendeley.com/documents/?uuid=ecae7bc5-a9bf-442a-a00f-2b291740c61f"]}],"mendeley":{"formattedCitation":"(Covello, von Winterfeldt, &amp; Slovic, 1986)","plainTextFormattedCitation":"(Covello, von Winterfeldt, &amp; Slovic, 1986)","previouslyFormattedCitation":"(Covello, von Winterfeldt, &amp; Slovic, 1986)"},"properties":{"noteIndex":0},"schema":"https://github.com/citation-style-language/schema/raw/master/csl-citation.json"}</w:instrText>
      </w:r>
      <w:r>
        <w:rPr>
          <w:rFonts w:cs="Calibri"/>
        </w:rPr>
        <w:fldChar w:fldCharType="separate"/>
      </w:r>
      <w:r>
        <w:rPr>
          <w:rFonts w:cs="Calibri"/>
          <w:noProof/>
        </w:rPr>
        <w:t>(Covello, von Winterfeldt, &amp; Slovic, 1986)</w:t>
      </w:r>
      <w:r>
        <w:rPr>
          <w:rFonts w:cs="Calibri"/>
        </w:rPr>
        <w:fldChar w:fldCharType="end"/>
      </w:r>
      <w:r>
        <w:rPr>
          <w:rFonts w:cs="Calibri"/>
        </w:rPr>
        <w:t xml:space="preserve">, including research focusing on the role of risk perception </w:t>
      </w:r>
      <w:r>
        <w:fldChar w:fldCharType="begin" w:fldLock="1"/>
      </w:r>
      <w:r>
        <w:rPr>
          <w:rFonts w:cs="Calibri"/>
        </w:rPr>
        <w:instrText>ADDIN CSL_CITATION {"citationItems":[{"id":"ITEM-1","itemData":{"DOI":"10.1111/j.1539-6924.2011.01733.x","ISSN":"02724332","abstract":"We conducted a longitudinal survey of public response to the economic crisis to understand the trajectory of risk perception amidst an ongoing crisis. A nation-wide panel responded to seven surveys beginning in late September 2008 at the peak of the crisis and concluded in October 2009. At least 600 respondents participated in each survey, with 413 completing all seven surveys. Our online survey focused on perceptions of risk (savings, investments, retirement, job), negative emotions toward the financial crisis (sadness, anxiety, fear, anger, worry, stress), confidence in national leaders to manage the crisis (President Obama, Congress, Treasury Secretary, business leaders), and belief in one's ability to realize personal objectives despite the crisis. We employed latent growth curve modeling to analyze change in risk perception throughout the crisis. Our results suggest that, in general, people's perceptions of risk appear to decrease most rapidly during the initial phase of a crisis and then begin to level off. Negative emotion about the crisis was the most predictive of increased risk perception, supporting the notion of risk as feelings. Belief in one's ability to realize personal objectives was also predictive. Confidence in national leaders, however, was not predictive of perceived risk. Finally, our results demonstrate that groups may experience a crisis differently depending on a combination of personal characteristics such as gender, income, numeracy, and political attitude. Risk management and communication should work in sync with these mechanisms and differences across groups. © 2011 Society for Risk Analysis.","author":[{"dropping-particle":"","family":"Burns","given":"William J.","non-dropping-particle":"","parse-names":false,"suffix":""},{"dropping-particle":"","family":"Peters","given":"Ellen","non-dropping-particle":"","parse-names":false,"suffix":""},{"dropping-particle":"","family":"Slovic","given":"Paul","non-dropping-particle":"","parse-names":false,"suffix":""}],"container-title":"Risk Analysis","id":"ITEM-1","issue":"4","issued":{"date-parts":[["2012"]]},"page":"659-677","title":"Risk Perception and the Economic Crisis: A Longitudinal Study of the Trajectory of Perceived Risk","type":"article-journal","volume":"32"},"uris":["http://www.mendeley.com/documents/?uuid=9d232e93-684b-487b-9cda-5528aec9df34"]},{"id":"ITEM-2","itemData":{"DOI":"10.1111/0272-4332.00001","ISSN":"02724332","PMID":"10841699","abstract":"Risk perception is a phenomenon in search of an explanation. Several approaches are discussed in this paper. Technical risk estimates are sometimes a potent factor in accounting for perceived risk, but in many important applications it is not. Heuristics and biases, mainly availability, account for only a minor portion of risk perception, and media contents have not been clearly implicated in risk perception. The psychometric model is probably the leading contender in the field, but its explanatory value is only around 20% of the variance of raw data. Adding a factor of 'unnatural risk' considerably improves the psychometric model. Cultural Theory, on the other hand, has not been able to explain more than 5-10% of the variance of perceived risk, and other value scales have similarly failed. A model is proposed in which attitude, risk sensitivity, and specific fear are used as explanatory variables; this model seems to explain well over 30-40% of the variance and is thus more promising than previous approaches. The model offers a different type of psychological explanation of risk perception, and it has many implications, e.g., a different approach to the relationship between attitude and perceived risk, as compared with the usual cognitive analysis of attitude.","author":[{"dropping-particle":"","family":"Sjöberg","given":"Lennart","non-dropping-particle":"","parse-names":false,"suffix":""}],"container-title":"Risk Analysis","id":"ITEM-2","issue":"1","issued":{"date-parts":[["2000"]]},"page":"1-12","title":"Factors in risk perception","type":"article-journal","volume":"20"},"uris":["http://www.mendeley.com/documents/?uuid=9eecfedc-6db1-4696-9834-30344dc79511"]},{"id":"ITEM-3","itemData":{"DOI":"10.1111/j.1539-6924.1998.tb00918.x","ISSN":"02724332","PMID":"9523446","abstract":"Risk perception is sometimes measured by means of judgments about worry, sometimes as perceived risk more directly. However, perceived level of risk calls for a more intellectual judgment and worry tends to refer to emotional reactions. These two are therefore not the same and need not be strongly correlated. Results reported here show that perceived risk and worry are indeed weakly correlated, both for generalized worry and for more specific measures of worry matched with the same hazard as risk ratings. A distinction is suggested between cognitive, abstract hazards and concrete, sensory hazards, with implications for the worry-perceived risk relationship. It was furthermore found by means of cluster analysis that there were groups of subject displaying different dynamics of risk and worry.","author":[{"dropping-particle":"","family":"Sjöberg","given":"Lennart","non-dropping-particle":"","parse-names":false,"suffix":""}],"container-title":"Risk Analysis","id":"ITEM-3","issue":"1","issued":{"date-parts":[["1998"]]},"page":"85-93","title":"Worry and risk perception","type":"article-journal","volume":"18"},"uris":["http://www.mendeley.com/documents/?uuid=bce16e0c-ab8f-49e4-81aa-c29783a5ba17"]},{"id":"ITEM-4","itemData":{"DOI":"10.1002/rhc3.12169","ISSN":"19444079","abstract":"The high levels of public worry and distrust of authorities, especially as associated with nuclear energy and radioactive waste, are well established in the literature and in the experience of risk communicators dealing with the general public. Though much of the experience with the heightened sense of worry that accompanies planned exposure situations associated with proposed radioactive/nuclear facilities (e.g., radioactive waste repositories, nuclear power plants, yet to be approved or built), there are also examples of existing exposure situations such as those following radiological accidents (e.g., Chernobyl or Fukushima). Some risk perception factors (e.g., trust, dread) are common to both planned and existing exposure situations, whereas others (e.g., volition, controllability) may be more prevalent in post-accident exposure situations. Specific risk perceptions held by a given population and its various subgroups must be acknowledged and incorporated into successful risk communication and public engagement strategies. Post-accident recovery programs and remediation projects, while in many countries requiring stakeholder and public acceptance to proceed, often fail to incorporate the specific risk perceptions held by the various affected groups in their risk communication and public involvement strategies. Such failures can foster a skeptical or angry public reaction, and hamper recovery in terms of both primary measures (radiological risk reduction interventions) and secondary measures (aiming at “return to normal life,” removal of stigmatization, health and well-being, etc.). Existing exposure situations and the corresponding mitigations are often approached as local or national scale issues, but by their nature of following radiological emergencies or nuclear accidents, issues of multinational risk perceptions may also arise. Confronting risk perceptions featuring high levels of uncertainty, issue complexity, distrust, information asymmetry, and so forth, requires more interactive forms of governance and adaptive approaches to securing public acceptance. A suggestion is made to deploy an iterative continuous improvement model for incorporating specific risk perceptions into risk communication programs in concert with mutual-gains-based public engagement mechanisms.","author":[{"dropping-particle":"","family":"Lyamzina","given":"Yuliya","non-dropping-particle":"","parse-names":false,"suffix":""},{"dropping-particle":"","family":"Slovic","given":"Paul","non-dropping-particle":"","parse-names":false,"suffix":""}],"container-title":"Risk, Hazards and Crisis in Public Policy","id":"ITEM-4","issue":"2","issued":{"date-parts":[["2019"]]},"page":"197-211","title":"Community-Oriented Risk Communication in Recovery Efforts after Radiological Contamination/Accidents","type":"article-journal","volume":"10"},"uris":["http://www.mendeley.com/documents/?uuid=e669db07-59d6-4e57-a1eb-f1e45f076a38"]}],"mendeley":{"formattedCitation":"(Lyamzina &amp; Slovic, 2019; Burns, Peters, &amp; Slovic, 2012; Sjöberg, 1998, 2000)","plainTextFormattedCitation":"(Lyamzina &amp; Slovic, 2019; Burns, Peters, &amp; Slovic, 2012; Sjöberg, 1998, 2000)","previouslyFormattedCitation":"(Lyamzina &amp; Slovic, 2019; Burns, Peters, &amp; Slovic, 2012; Sjöberg, 1998, 2000)"},"properties":{"noteIndex":0},"schema":"https://github.com/citation-style-language/schema/raw/master/csl-citation.json"}</w:instrText>
      </w:r>
      <w:r>
        <w:rPr>
          <w:rFonts w:cs="Calibri"/>
        </w:rPr>
        <w:fldChar w:fldCharType="separate"/>
      </w:r>
      <w:r>
        <w:rPr>
          <w:rFonts w:cs="Calibri"/>
          <w:noProof/>
        </w:rPr>
        <w:t>(Lyamzina &amp; Slovic, 2019; Burns, Peters, &amp; Slovic, 2012; Sjöberg, 1998, 2000)</w:t>
      </w:r>
      <w:r>
        <w:rPr>
          <w:rFonts w:cs="Calibri"/>
        </w:rPr>
        <w:fldChar w:fldCharType="end"/>
      </w:r>
      <w:r>
        <w:rPr>
          <w:rFonts w:cs="Calibri"/>
        </w:rPr>
        <w:t xml:space="preserve">, or more specifically looking at risk communication focusing on disaster preparedness </w:t>
      </w:r>
      <w:r>
        <w:fldChar w:fldCharType="begin" w:fldLock="1"/>
      </w:r>
      <w:r w:rsidR="00974B75">
        <w:rPr>
          <w:rFonts w:cs="Calibri"/>
        </w:rPr>
        <w:instrText>ADDIN CSL_CITATION {"citationItems":[{"id":"ITEM-1","itemData":{"DOI":"10.1016/j.proeng.2018.01.032","ISSN":"18777058","abstract":"The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Engineering","id":"ITEM-1","issued":{"date-parts":[["2018"]]},"page":"246-253","publisher":"Elsevier B.V.","title":"Conceptual Framework for Motivating Actions towards Disaster Preparedness Through Risk Communication","type":"article-journal","volume":"212"},"uris":["http://www.mendeley.com/documents/?uuid=01e245d0-867b-47cd-8164-80d2bc1d7862"]},{"id":"ITEM-2","itemData":{"DOI":"10.1016/j.ijdrr.2017.04.015","ISSN":"22124209","abstract":"The medium of film is well established for education and communication about hazardous phenomena as it provides engaging ways to directly view hazards and their impacts. Empirical analysis can help to understand films’ effectiveness in informing populations at risk and catalysing action to reduce risk. Using volcanic eruptions as a focus, an evidence-based methodology was devised to create, use, and track the outcomes of digital film tools designed to raise hazard and risk awareness, and develop preparedness efforts. Experiences from two contrasting eruptions were documented, with the secondary purpose of fostering social and cultural memories of eruptions, developed in response to demand from at-risk communities during field-based research. The films were created as a partnership with local volcano monitoring scientists and at-risk populations who, consequently, became the leading focus of the films, thus offering a substantial contrast to other types of hazard communication. The films were analysed by sharing them with at-risk communities and evaluating the immediate influence on learning and affect. Results indicated that the use of local content and actors to share experiences and teach valuable lessons were inspirational. Recognizable faces and spaces helped to convey disaster risk reduction messages. They also motivated audiences to consider ownership of risk and potential actions to reduce risk and strengthen resilience. This study demonstrated the effectiveness of co-production in the design and execution of intervention strategies for volcanic risk reduction. Co-production of films with local agencies resulted in products that were contextually appropriate, meaningful for audiences, and useful risk communication tools.","author":[{"dropping-particle":"","family":"Hicks","given":"Anna","non-dropping-particle":"","parse-names":false,"suffix":""},{"dropping-particle":"","family":"Armijos","given":"Maria Teresa","non-dropping-particle":"","parse-names":false,"suffix":""},{"dropping-particle":"","family":"Barclay","given":"Jenni","non-dropping-particle":"","parse-names":false,"suffix":""},{"dropping-particle":"","family":"Stone","given":"Jonathan","non-dropping-particle":"","parse-names":false,"suffix":""},{"dropping-particle":"","family":"Robertson","given":"Richard","non-dropping-particle":"","parse-names":false,"suffix":""},{"dropping-particle":"","family":"Cortés","given":"Gloria Patricia","non-dropping-particle":"","parse-names":false,"suffix":""}],"container-title":"International Journal of Disaster Risk Reduction","id":"ITEM-2","issued":{"date-parts":[["2017"]]},"page":"138-151","publisher":"Elsevier Ltd","title":"Risk communication films: Process, product and potential for improving preparedness and behaviour change","type":"article-journal","volume":"23"},"uris":["http://www.mendeley.com/documents/?uuid=0f5f1ccc-9589-4eed-a1d9-c3f921c1cc41"]},{"id":"ITEM-3","itemData":{"DOI":"10.1016/j.ijdrr.2022.103084","ISSN":"22124209","abstract":"We present a scoping review of methods used to elicit individuals' mental models of science or risk. Developing a shared understanding of the science related to risk is crucial for diverse individuals to collaboratively manage disaster consequences. Mental models, or people's psychological representation of how the ‘world works’, present a valuable tool to achieve this. Potential applications range from developing effective risk communication for use in short-warning situations to community co-development of future communication protocols for the co-management of risk. A diverse range of tools, in diverse fields, have thus been developed to elicit these mental models. Forty-four articles were selected via inclusion criteria from 561 found through a systematic search. We identified a wide range of direct and indirect elicitation techniques (concept, cognitive, flow, information world, knowledge, mind, and fuzzy cognitive maps, and decision influence diagrams) and interview-based techniques. Many used multiple elicitation techniques such as free-drawing, interviews, free-listing, sorting tasks, attitudinal surveys, photograph elicitation, metaphor analysis, and mapping software. We identify several challenges when designing elicitation methods, including researcher influence, the importance of external visualization, a lack of evaluation, the role of ‘experts’, and ethical considerations due to the influence of the process itself. We present a preliminary typology for elicitation and analysis and suggest future research should explore methods to assess the evolution of mental models to understand how conceptualisations change through time, experience, or public education programs. These lessons have the potential to benefit both science and disaster risk communication activities, given best practice calls for mutually constructed understanding.","author":[{"dropping-particle":"","family":"Doyle","given":"Emma E.H.","non-dropping-particle":"","parse-names":false,"suffix":""},{"dropping-particle":"","family":"Harrison","given":"Sara E.","non-dropping-particle":"","parse-names":false,"suffix":""},{"dropping-particle":"","family":"Hill","given":"Stephen R.","non-dropping-particle":"","parse-names":false,"suffix":""},{"dropping-particle":"","family":"Williams","given":"Matt","non-dropping-particle":"","parse-names":false,"suffix":""},{"dropping-particle":"","family":"Paton","given":"Douglas","non-dropping-particle":"","parse-names":false,"suffix":""},{"dropping-particle":"","family":"Bostrom","given":"Ann","non-dropping-particle":"","parse-names":false,"suffix":""}],"container-title":"International Journal of Disaster Risk Reduction","id":"ITEM-3","issued":{"date-parts":[["2022"]]},"page":"1 - 23","title":"Eliciting mental models of science and risk for disaster communication: A scoping review of methodologies","type":"article-journal","volume":"77"},"uris":["http://www.mendeley.com/documents/?uuid=d3565a89-f230-4d7e-8038-01121e626bb2"]}],"mendeley":{"formattedCitation":"(Doyle et al., 2022; Abunyewah, Gajendran, &amp; Maund, 2018; Hicks et al., 2017)","plainTextFormattedCitation":"(Doyle et al., 2022; Abunyewah, Gajendran, &amp; Maund, 2018; Hicks et al., 2017)","previouslyFormattedCitation":"(Doyle et al., 2022; Abunyewah, Gajendran, &amp; Maund, 2018; Hicks et al., 2017)"},"properties":{"noteIndex":0},"schema":"https://github.com/citation-style-language/schema/raw/master/csl-citation.json"}</w:instrText>
      </w:r>
      <w:r>
        <w:rPr>
          <w:rFonts w:cs="Calibri"/>
        </w:rPr>
        <w:fldChar w:fldCharType="separate"/>
      </w:r>
      <w:r>
        <w:rPr>
          <w:rFonts w:cs="Calibri"/>
          <w:noProof/>
        </w:rPr>
        <w:t>(Doyle et al., 2022; Abunyewah, Gajendran, &amp; Maund, 2018; Hicks et al., 2017)</w:t>
      </w:r>
      <w:r>
        <w:rPr>
          <w:rFonts w:cs="Calibri"/>
        </w:rPr>
        <w:fldChar w:fldCharType="end"/>
      </w:r>
      <w:r>
        <w:rPr>
          <w:rFonts w:cs="Calibri"/>
        </w:rPr>
        <w:t xml:space="preserve">, flood communication </w:t>
      </w:r>
      <w:r>
        <w:fldChar w:fldCharType="begin" w:fldLock="1"/>
      </w:r>
      <w:r w:rsidR="00974B75">
        <w:rPr>
          <w:rFonts w:cs="Calibri"/>
        </w:rPr>
        <w:instrText>ADDIN CSL_CITATION {"citationItems":[{"id":"ITEM-1","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Hazards","id":"ITEM-1","issued":{"date-parts":[["2018"]]},"page":"1665-1686","publisher":"Springer Netherlands","title":"Rethinking flood risk communication","type":"article-journal","volume":"92"},"uris":["http://www.mendeley.com/documents/?uuid=a75b9d7a-46e6-41f1-a446-75375a9342c5"]},{"id":"ITEM-2","itemData":{"DOI":"10.1061/(asce)nh.1527-6996.0000294","ISBN":"0000000167","ISSN":"1527-6988","abstract":"©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Review","id":"ITEM-2","issue":"3","issued":{"date-parts":[["2018"]]},"page":"1 - 21","title":"Flood Risk Assessment, Future Trend Modeling, and Risk Communication: A Review of Ongoing Research","type":"article-journal","volume":"19"},"uris":["http://www.mendeley.com/documents/?uuid=72f77961-1216-4228-ab43-b36cf7f2e2d4"]},{"id":"ITEM-3","itemData":{"DOI":"10.1016/j.jhydrol.2018.11.007","ISSN":"00221694","abstract":"Flood risk management is gradually shifting from a risk-based approach to an integrated one that, among other elements, considers risk communication (RC) as a means of boosting resilience. Regardless of the above, few scientists have tackled up to now the integration of RC into flood risk management. In this connection, this particular study seeks to check out the potential of a risk dialogue approach (based on an ad hoc RC strategy) to change attitudes and behaviours in relation to flash flood risk. Via a pre-post survey design, we evaluated risk perception and awareness regarding a Civil Protection Plan (CPP) implemented locally (i.e., in the municipality of Navaluenga, central Spain). For this particular objective, a questionnaire survey was created, and 201 adults (representing more than 10% of the population census) were interviewed twice in a one-year period. Before the second survey, an RC strategy was created. The RC strategy comprised briefings, quiz answers, storytelling, a contest of videos and photographs about past floods, and an intergenerational workshop. A t-test for paired sample analyses and a general linear model (GLM) repeated measures ANOVA were applied to identify changes in risk perception and awareness. Our results indicate that the RC strategy did increase flood risk perception in Navaluenga in the long term (lifetime). Also, it increased the level of awareness of the various features that comprise the CPP, enabling people to be more competent in facing a flash flood. Some cognitive biases detected in the perceptual process of human beings may shed some light on the results obtained. The implementation of well-thought-out RC strategies can play a role in improving resilience, particularly in geographic areas such as the Iberian Peninsula, in which climate change scenarios indicate a likely increase in the severity and frequency of flooding.","author":[{"dropping-particle":"","family":"Bodoque","given":"J. M.","non-dropping-particle":"","parse-names":false,"suffix":""},{"dropping-particle":"","family":"Díez-Herrero","given":"A.","non-dropping-particle":"","parse-names":false,"suffix":""},{"dropping-particle":"","family":"Amerigo","given":"M.","non-dropping-particle":"","parse-names":false,"suffix":""},{"dropping-particle":"","family":"García","given":"J. A.","non-dropping-particle":"","parse-names":false,"suffix":""},{"dropping-particle":"","family":"Olcina","given":"J.","non-dropping-particle":"","parse-names":false,"suffix":""}],"container-title":"Journal of Hydrology","id":"ITEM-3","issued":{"date-parts":[["2019"]]},"page":"769-779","publisher":"Elsevier","title":"Enhancing flash flood risk perception and awareness of mitigation actions through risk communication: A pre-post survey design","type":"article-journal","volume":"568"},"uris":["http://www.mendeley.com/documents/?uuid=035f4ef7-201a-47c7-8e7a-0cc5c28eb0f7"]}],"mendeley":{"formattedCitation":"(Bodoque et al., 2019; Rollason et al., 2018; Salman &amp; Li, 2018)","plainTextFormattedCitation":"(Bodoque et al., 2019; Rollason et al., 2018; Salman &amp; Li, 2018)","previouslyFormattedCitation":"(Bodoque et al., 2019; Rollason et al., 2018; Salman &amp; Li, 2018)"},"properties":{"noteIndex":0},"schema":"https://github.com/citation-style-language/schema/raw/master/csl-citation.json"}</w:instrText>
      </w:r>
      <w:r>
        <w:rPr>
          <w:rFonts w:cs="Calibri"/>
        </w:rPr>
        <w:fldChar w:fldCharType="separate"/>
      </w:r>
      <w:r>
        <w:rPr>
          <w:rFonts w:cs="Calibri"/>
          <w:noProof/>
        </w:rPr>
        <w:t>(Bodoque et al., 2019; Rollason et al., 2018; Salman &amp; Li, 2018)</w:t>
      </w:r>
      <w:r>
        <w:rPr>
          <w:rFonts w:cs="Calibri"/>
        </w:rPr>
        <w:fldChar w:fldCharType="end"/>
      </w:r>
      <w:r>
        <w:rPr>
          <w:rFonts w:cs="Calibri"/>
        </w:rPr>
        <w:t xml:space="preserve">, and more recently risk communication surrounding COVID-19 </w:t>
      </w:r>
      <w:r>
        <w:fldChar w:fldCharType="begin" w:fldLock="1"/>
      </w:r>
      <w:r w:rsidR="00974B75">
        <w:rPr>
          <w:rFonts w:cs="Calibri"/>
        </w:rPr>
        <w:instrText>ADDIN CSL_CITATION {"citationItems":[{"id":"ITEM-1","itemData":{"DOI":"10.1016/j.ijdrr.2022.102808","ISSN":"22124209","abstract":"The main objective of this study is to examine the role of risk communication during the COVID-19 crisis, which is often neglected in studies investigating the outbreak of the pandemic. The study is based on survey data from a group of international (non-Japanese) students in Japan and the theoretical foundation of fear appeal theory. The results, which are based on the panel data structure, show that individually, (1) the act of seeking out others to discuss risks in depth in the current pandemic context or (2) the observed adoption of advocated precautionary health behaviours is not necessarily a good indicator of mental management, but (3) the combined effect of (1) and (2) unexpectedly suggests a conciliatory effect on the fear of disasters. Moreover, this evidence-based finding (3) suggests that a reciprocal relationship exists between threat and efficacy in terms of mediating fear under the framework and theory of fear appeals, indirectly challenging the fear control response proposition of the extended parallel process model. Our empirical findings emphasize the role of risk discourse and information sharing combined with preventive health behaviours adopted within a community in the context of global health crises.","author":[{"dropping-particle":"","family":"Dao","given":"Minh Tuan","non-dropping-particle":"","parse-names":false,"suffix":""},{"dropping-particle":"","family":"Lim","given":"Seunghoo","non-dropping-particle":"","parse-names":false,"suffix":""}],"container-title":"International Journal of Disaster Risk Reduction","id":"ITEM-1","issued":{"date-parts":[["2022"]]},"page":"1 - 12","title":"Fear of disasters within the risk communication network of foreign students in Japan amid the COVID-19 pandemic crisis: A cohort design","type":"article-journal","volume":"71"},"uris":["http://www.mendeley.com/documents/?uuid=4e8897e0-d91f-4155-89aa-75260c35275c"]},{"id":"ITEM-2","itemData":{"DOI":"10.1016/j.ijdrr.2022.102903","ISSN":"22124209","abstract":"In today's information age, both excess and lack of information can cause a disaster. COVID-19 pandemic not only highlighted the significance of risk communication but also pointed out several unintended and distressing consequences due to information gaps and miscommunications. Despite facing a common threat, the local communities suffered differential impacts during the pandemic. This paper classifies the nature of risk communications experienced across different countries into three categories, namely: inadequate, ideal, and infodemic risk communication that influenced the local perceptions and responses. It further argues that inadequately planned risk communications tend to create new risks and compromise the efforts towards managing a disaster. As global risks are responded locally, there is a need for more inclusive and engaging risk communication that involves communities as responsible stakeholders who understand, plan, and respond to risks to increase their propensity for resilience during disasters and crisis situations.","author":[{"dropping-particle":"","family":"Khan","given":"Shabana","non-dropping-particle":"","parse-names":false,"suffix":""},{"dropping-particle":"","family":"Mishra","given":"Jyoti","non-dropping-particle":"","parse-names":false,"suffix":""},{"dropping-particle":"","family":"Ahmed","given":"Nova","non-dropping-particle":"","parse-names":false,"suffix":""},{"dropping-particle":"","family":"Onyige","given":"Chioma Daisy","non-dropping-particle":"","parse-names":false,"suffix":""},{"dropping-particle":"","family":"Lin","given":"Kuanhui Elaine","non-dropping-particle":"","parse-names":false,"suffix":""},{"dropping-particle":"","family":"Siew","given":"Renard","non-dropping-particle":"","parse-names":false,"suffix":""},{"dropping-particle":"","family":"Lim","given":"Boon Han","non-dropping-particle":"","parse-names":false,"suffix":""}],"container-title":"International Journal of Disaster Risk Reduction","id":"ITEM-2","issued":{"date-parts":[["2022"]]},"page":"1-13","title":"Risk communication and community engagement during COVID-19","type":"article-journal","volume":"74"},"uris":["http://www.mendeley.com/documents/?uuid=849f61bc-f758-47e1-97be-298ae2c6fa66"]},{"id":"ITEM-3","itemData":{"DOI":"10.1017/dmp.2020.347","ISSN":"1938744X","PMID":"32907685","abstract":"ObjectiveThe purpose of this study was to demonstrate the use of social network analysis to understand public discourse on Twitter around the novel coronavirus pandemic (COVID-19). We examined different network properties that might affect the successful dissemination by and adoption of public health messages from public health officials and health agencies.MethodsWe focused on conversations on Twitter during three key communication events from late January to early June of 2020. We used Netlytic, a free web-based software that collects publicly available data from social media sites such as Twitter.ResultsWe found that the network of conversations around COVID-19 is highly decentralized, fragmented, and loosely connected; these characteristics can hinder the successful dissemination of public health messages in a network. Competing conversations and misinformation can hamper risk communication efforts in a way that imperil public health.ConclusionLooking at basic metrics might create a misleading picture of the effectiveness of risk communication efforts on social media if not analyzed within the context of the larger network. Social network analysis of conversations on social media should be an integral part of how public health officials and agencies plan, monitor, and evaluate risk communication efforts.","author":[{"dropping-particle":"","family":"Pascual-Ferrá","given":"Paola","non-dropping-particle":"","parse-names":false,"suffix":""},{"dropping-particle":"","family":"Alperstein","given":"Neil","non-dropping-particle":"","parse-names":false,"suffix":""},{"dropping-particle":"","family":"Barnett","given":"Daniel J.","non-dropping-particle":"","parse-names":false,"suffix":""}],"container-title":"Disaster Medicine and Public Health Preparedness","id":"ITEM-3","issue":"2","issued":{"date-parts":[["2022"]]},"page":"561-569","title":"Social Network Analysis of COVID-19 Public Discourse on Twitter: Implications for Risk Communication","type":"article-journal","volume":"16"},"uris":["http://www.mendeley.com/documents/?uuid=158b85ff-955e-4d7f-bfb1-e3b2dc838613"]}],"mendeley":{"formattedCitation":"(Dao &amp; Lim, 2022; Khan et al., 2022; Pascual-Ferrá, Alperstein, &amp; Barnett, 2022)","plainTextFormattedCitation":"(Dao &amp; Lim, 2022; Khan et al., 2022; Pascual-Ferrá, Alperstein, &amp; Barnett, 2022)","previouslyFormattedCitation":"(Dao &amp; Lim, 2022; Khan et al., 2022; Pascual-Ferrá, Alperstein, &amp; Barnett, 2022)"},"properties":{"noteIndex":0},"schema":"https://github.com/citation-style-language/schema/raw/master/csl-citation.json"}</w:instrText>
      </w:r>
      <w:r>
        <w:rPr>
          <w:rFonts w:cs="Calibri"/>
        </w:rPr>
        <w:fldChar w:fldCharType="separate"/>
      </w:r>
      <w:r>
        <w:rPr>
          <w:rFonts w:cs="Calibri"/>
          <w:noProof/>
        </w:rPr>
        <w:t>(Dao &amp; Lim, 2022; Khan et al., 2022; Pascual-Ferrá, Alperstein, &amp; Barnett, 2022)</w:t>
      </w:r>
      <w:r>
        <w:rPr>
          <w:rFonts w:cs="Calibri"/>
        </w:rPr>
        <w:fldChar w:fldCharType="end"/>
      </w:r>
      <w:r>
        <w:rPr>
          <w:rFonts w:cs="Calibri"/>
        </w:rPr>
        <w:t xml:space="preserve">. However, a large proportion of the literature discussing the use of social media and disasters often focuses on the response and recovery phases of the </w:t>
      </w:r>
      <w:r w:rsidR="00921B36">
        <w:rPr>
          <w:rFonts w:cs="Calibri"/>
        </w:rPr>
        <w:t xml:space="preserve">disaster management cycle </w:t>
      </w:r>
      <w:r>
        <w:rPr>
          <w:rFonts w:cs="Calibri"/>
        </w:rPr>
        <w:t xml:space="preserve">with a focus on crisis communications </w:t>
      </w:r>
      <w:r>
        <w:fldChar w:fldCharType="begin" w:fldLock="1"/>
      </w:r>
      <w:r w:rsidR="00974B75">
        <w:rPr>
          <w:rFonts w:cs="Calibri"/>
        </w:rPr>
        <w:instrText>ADDIN CSL_CITATION {"citationItems":[{"id":"ITEM-1","itemData":{"author":[{"dropping-particle":"","family":"Roshan","given":"Mina","non-dropping-particle":"","parse-names":false,"suffix":""},{"dropping-particle":"","family":"Warren","given":"Matthew","non-dropping-particle":"","parse-names":false,"suffix":""},{"dropping-particle":"","family":"Carr","given":"Rodney","non-dropping-particle":"","parse-names":false,"suffix":""}],"container-title":"Computers in Human Behavior","id":"ITEM-1","issued":{"date-parts":[["2016"]]},"page":"350 - 361","title":"Understanding the use of social media by organisations for crisis","type":"article-journal","volume":"63"},"uris":["http://www.mendeley.com/documents/?uuid=f129ae7a-b023-4326-aae2-2ec3c3638dc9"]},{"id":"ITEM-2","itemData":{"DOI":"10.1080/13669877.2019.1628097","ISSN":"14664461","abstract":"In a crisis situation, communication is an important asset for safeguarding the reputation of an organization. The communication strategy that is used in a crisis influences the way people perceive the crisis. While extensive research is conducted and clear communication guidelines about crisis communication are provided, current research tends to focus on a single actor in a crisis within a homogeneous stakeholder group. In this article, we analyze whether and how different groups of stakeholders frame a crisis and the extent to which they attribute responsibility for the crisis to actors. The case concerns the use of an illegal lice detergent (fipronil) in eggs in the Netherlands in the summer of 2017. Based on the analysis of Twitter data related to the case using multiple methods (network analysis, a longitudinal analysis and the annotation of a sample of tweets), this study shows that a seemingly simple case in a single sub-arena has different subgroups that use different frames and attribute different responsibilities to different stakeholders. This result implies that a reconsideration of communication strategies during and after a crisis is needed.","author":[{"dropping-particle":"","family":"Lauran","given":"N.","non-dropping-particle":"","parse-names":false,"suffix":""},{"dropping-particle":"","family":"Kunneman","given":"F.","non-dropping-particle":"","parse-names":false,"suffix":""},{"dropping-particle":"","family":"Wijngaert","given":"L.","non-dropping-particle":"Van de","parse-names":false,"suffix":""}],"container-title":"Journal of Risk Research","id":"ITEM-2","issue":"10","issued":{"date-parts":[["2019"]]},"page":"1 - 20","title":"Connecting social media data and crisis communication theory: a case study on the chicken and the egg","type":"article-journal","volume":"23"},"uris":["http://www.mendeley.com/documents/?uuid=269e9f18-232c-485c-8823-bba51fd755f6"]},{"id":"ITEM-3","itemData":{"DOI":"10.1016/j.pubrev.2014.04.004","ISSN":"03638111","abstract":"This commentary explores whether and how crisis communication theory needs to be adapted to account for the rise of social media. Through a review of existing theory, we offer recommendations for future research in the evolving media landscape. © 2014 Elsevier Inc.","author":[{"dropping-particle":"","family":"Liu","given":"Brooke Fisher","non-dropping-particle":"","parse-names":false,"suffix":""},{"dropping-particle":"","family":"Fraustino","given":"Julia Daisy","non-dropping-particle":"","parse-names":false,"suffix":""}],"container-title":"Public Relations Review","id":"ITEM-3","issue":"3","issued":{"date-parts":[["2014"]]},"page":"543-546","publisher":"Elsevier Inc.","title":"Beyond image repair: Suggestions for crisis communication theory development","type":"article-journal","volume":"40"},"uris":["http://www.mendeley.com/documents/?uuid=cef688e0-9bcc-4ee4-97dc-8cadd669435f"]}],"mendeley":{"formattedCitation":"(Lauran, Kunneman, &amp; Van de Wijngaert, 2019; Roshan, Warren, &amp; Carr, 2016; Liu &amp; Fraustino, 2014)","plainTextFormattedCitation":"(Lauran, Kunneman, &amp; Van de Wijngaert, 2019; Roshan, Warren, &amp; Carr, 2016; Liu &amp; Fraustino, 2014)","previouslyFormattedCitation":"(Lauran, Kunneman, &amp; Van de Wijngaert, 2019; Roshan, Warren, &amp; Carr, 2016; Liu &amp; Fraustino, 2014)"},"properties":{"noteIndex":0},"schema":"https://github.com/citation-style-language/schema/raw/master/csl-citation.json"}</w:instrText>
      </w:r>
      <w:r>
        <w:rPr>
          <w:rFonts w:cs="Calibri"/>
        </w:rPr>
        <w:fldChar w:fldCharType="separate"/>
      </w:r>
      <w:r>
        <w:rPr>
          <w:rFonts w:cs="Calibri"/>
          <w:noProof/>
        </w:rPr>
        <w:t>(Lauran, Kunneman, &amp; Van de Wijngaert, 2019; Roshan, Warren, &amp; Carr, 2016; Liu &amp; Fraustino, 2014)</w:t>
      </w:r>
      <w:r>
        <w:rPr>
          <w:rFonts w:cs="Calibri"/>
        </w:rPr>
        <w:fldChar w:fldCharType="end"/>
      </w:r>
      <w:r>
        <w:rPr>
          <w:rFonts w:cs="Calibri"/>
        </w:rPr>
        <w:t xml:space="preserve">,  which highlights a gap within the literature for a project focusing on the </w:t>
      </w:r>
      <w:r>
        <w:rPr>
          <w:rFonts w:cs="Calibri"/>
        </w:rPr>
        <w:lastRenderedPageBreak/>
        <w:t xml:space="preserve">use of social media for community disaster resilience (especially pre disaster). This thesis </w:t>
      </w:r>
      <w:r w:rsidR="008E6474">
        <w:rPr>
          <w:rFonts w:cs="Calibri"/>
        </w:rPr>
        <w:t xml:space="preserve">aimed to address this gap in the literature by </w:t>
      </w:r>
      <w:r>
        <w:rPr>
          <w:rFonts w:cs="Calibri"/>
        </w:rPr>
        <w:t>combin</w:t>
      </w:r>
      <w:r w:rsidR="008E6474">
        <w:rPr>
          <w:rFonts w:cs="Calibri"/>
        </w:rPr>
        <w:t>ing</w:t>
      </w:r>
      <w:r>
        <w:rPr>
          <w:rFonts w:cs="Calibri"/>
        </w:rPr>
        <w:t xml:space="preserve"> risk communication with institutional theory</w:t>
      </w:r>
      <w:r w:rsidR="00D41D72">
        <w:rPr>
          <w:rFonts w:cs="Calibri"/>
        </w:rPr>
        <w:t xml:space="preserve"> </w:t>
      </w:r>
      <w:r w:rsidR="008E6474">
        <w:rPr>
          <w:rFonts w:cs="Calibri"/>
        </w:rPr>
        <w:t xml:space="preserve">to </w:t>
      </w:r>
      <w:r>
        <w:rPr>
          <w:rFonts w:cs="Calibri"/>
        </w:rPr>
        <w:t xml:space="preserve">specifically address how and why risk communication is used by organisations such as SYFR (see chapter 4). </w:t>
      </w:r>
      <w:bookmarkStart w:id="182" w:name="_Toc62815582"/>
      <w:bookmarkStart w:id="183" w:name="_Toc138687419"/>
      <w:bookmarkStart w:id="184" w:name="_Toc93410799"/>
      <w:bookmarkStart w:id="185" w:name="_Toc93335984"/>
      <w:bookmarkStart w:id="186" w:name="_Toc62660735"/>
      <w:bookmarkStart w:id="187" w:name="_Toc67579738"/>
      <w:bookmarkStart w:id="188" w:name="_Toc98148299"/>
      <w:r>
        <w:rPr>
          <w:rFonts w:cs="Calibri"/>
        </w:rPr>
        <w:t xml:space="preserve">The different types of communication show the need to explore how communication happens as a process. This has been conceptualised into various models, which are explored in the following section. </w:t>
      </w:r>
    </w:p>
    <w:p w14:paraId="78489F1E" w14:textId="77777777" w:rsidR="00787F73" w:rsidRDefault="00787F73" w:rsidP="00866155">
      <w:pPr>
        <w:contextualSpacing/>
        <w:rPr>
          <w:rFonts w:eastAsia="DengXian Light" w:cs="Calibri"/>
        </w:rPr>
      </w:pPr>
    </w:p>
    <w:p w14:paraId="150D3FEE" w14:textId="77777777" w:rsidR="00787F73" w:rsidRDefault="00742FB7" w:rsidP="00866155">
      <w:pPr>
        <w:pStyle w:val="Heading4"/>
        <w:spacing w:line="360" w:lineRule="auto"/>
      </w:pPr>
      <w:bookmarkStart w:id="189" w:name="_Hlk146206277"/>
      <w:bookmarkStart w:id="190" w:name="_Toc139645573"/>
      <w:bookmarkStart w:id="191" w:name="_Toc139636618"/>
      <w:r>
        <w:rPr>
          <w:rFonts w:ascii="Calibri" w:hAnsi="Calibri" w:cs="Calibri"/>
        </w:rPr>
        <w:t>Communication models</w:t>
      </w:r>
      <w:bookmarkEnd w:id="182"/>
      <w:bookmarkEnd w:id="183"/>
      <w:bookmarkEnd w:id="184"/>
      <w:bookmarkEnd w:id="185"/>
      <w:bookmarkEnd w:id="186"/>
      <w:bookmarkEnd w:id="187"/>
      <w:bookmarkEnd w:id="188"/>
      <w:bookmarkEnd w:id="189"/>
      <w:bookmarkEnd w:id="190"/>
      <w:bookmarkEnd w:id="191"/>
    </w:p>
    <w:p w14:paraId="385A5505" w14:textId="5D049317" w:rsidR="00787F73" w:rsidRDefault="00742FB7" w:rsidP="00866155">
      <w:bookmarkStart w:id="192" w:name="_Hlk139463803"/>
      <w:r>
        <w:rPr>
          <w:rFonts w:cs="Calibri"/>
        </w:rPr>
        <w:t xml:space="preserve">This section provides two communication models that explore how information flows between different actors: two-step; and curated flows. It then outlines a risk communication model: the </w:t>
      </w:r>
      <w:r w:rsidR="0038275C">
        <w:rPr>
          <w:rFonts w:cs="Calibri"/>
        </w:rPr>
        <w:t>D</w:t>
      </w:r>
      <w:r w:rsidR="004F7B90">
        <w:rPr>
          <w:rFonts w:cs="Calibri"/>
        </w:rPr>
        <w:t xml:space="preserve">eficit </w:t>
      </w:r>
      <w:r w:rsidR="0038275C">
        <w:rPr>
          <w:rFonts w:cs="Calibri"/>
        </w:rPr>
        <w:t>M</w:t>
      </w:r>
      <w:r w:rsidR="004F7B90">
        <w:rPr>
          <w:rFonts w:cs="Calibri"/>
        </w:rPr>
        <w:t>odel</w:t>
      </w:r>
      <w:r>
        <w:rPr>
          <w:rFonts w:cs="Calibri"/>
        </w:rPr>
        <w:t xml:space="preserve">. This section concludes with a discussion of </w:t>
      </w:r>
      <w:r w:rsidR="0038275C">
        <w:rPr>
          <w:rFonts w:cs="Calibri"/>
        </w:rPr>
        <w:t>Protection Motivation Theory</w:t>
      </w:r>
      <w:r>
        <w:rPr>
          <w:rFonts w:cs="Calibri"/>
        </w:rPr>
        <w:t>.</w:t>
      </w:r>
      <w:bookmarkEnd w:id="192"/>
    </w:p>
    <w:p w14:paraId="7C7C6632" w14:textId="77777777" w:rsidR="00787F73" w:rsidRDefault="00787F73" w:rsidP="00866155">
      <w:pPr>
        <w:contextualSpacing/>
        <w:rPr>
          <w:rFonts w:cs="Calibri"/>
        </w:rPr>
      </w:pPr>
    </w:p>
    <w:p w14:paraId="4B699402" w14:textId="6FA2DF37" w:rsidR="00787F73" w:rsidRDefault="00742FB7" w:rsidP="00866155">
      <w:pPr>
        <w:contextualSpacing/>
      </w:pPr>
      <w:r>
        <w:rPr>
          <w:rFonts w:cs="Calibri"/>
        </w:rPr>
        <w:t xml:space="preserve">Communication models are all grounded in assumptions of social structures </w:t>
      </w:r>
      <w:r>
        <w:fldChar w:fldCharType="begin" w:fldLock="1"/>
      </w:r>
      <w:r w:rsidR="00974B75">
        <w:rPr>
          <w:rFonts w:cs="Calibri"/>
        </w:rPr>
        <w:instrText>ADDIN CSL_CITATION {"citationItems":[{"id":"ITEM-1","itemData":{"DOI":"10.1177/0002716206292266","author":[{"dropping-particle":"","family":"Bennett","given":"W Lance","non-dropping-particle":"","parse-names":false,"suffix":""},{"dropping-particle":"","family":"Manheim","given":"Jarol B.","non-dropping-particle":"","parse-names":false,"suffix":""}],"container-title":"The Annals Of The American Academy","id":"ITEM-1","issue":"1","issued":{"date-parts":[["2006"]]},"page":"213-232","title":"The One-Step Flow of Communication","type":"article-journal","volume":"608"},"uris":["http://www.mendeley.com/documents/?uuid=02f164e4-bf8f-4290-84db-8fe169de7ff5"]}],"mendeley":{"formattedCitation":"(Bennett &amp; Manheim, 2006)","plainTextFormattedCitation":"(Bennett &amp; Manheim, 2006)","previouslyFormattedCitation":"(Bennett &amp; Manheim, 2006)"},"properties":{"noteIndex":0},"schema":"https://github.com/citation-style-language/schema/raw/master/csl-citation.json"}</w:instrText>
      </w:r>
      <w:r>
        <w:rPr>
          <w:rFonts w:cs="Calibri"/>
        </w:rPr>
        <w:fldChar w:fldCharType="separate"/>
      </w:r>
      <w:r>
        <w:rPr>
          <w:rFonts w:cs="Calibri"/>
          <w:noProof/>
        </w:rPr>
        <w:t>(Bennett &amp; Manheim, 2006)</w:t>
      </w:r>
      <w:r>
        <w:rPr>
          <w:rFonts w:cs="Calibri"/>
        </w:rPr>
        <w:fldChar w:fldCharType="end"/>
      </w:r>
      <w:r>
        <w:rPr>
          <w:rFonts w:cs="Calibri"/>
        </w:rPr>
        <w:t xml:space="preserve"> and as such communication can be viewed as socially constructed. They are therefore subject to change, becoming relevant and also irrelevant overtime, such as the widely debunked </w:t>
      </w:r>
      <w:r w:rsidR="00912954">
        <w:rPr>
          <w:rFonts w:cs="Calibri"/>
        </w:rPr>
        <w:t>T</w:t>
      </w:r>
      <w:r w:rsidR="004F7B90">
        <w:rPr>
          <w:rFonts w:cs="Calibri"/>
        </w:rPr>
        <w:t xml:space="preserve">ransmission </w:t>
      </w:r>
      <w:r w:rsidR="00912954">
        <w:rPr>
          <w:rFonts w:cs="Calibri"/>
        </w:rPr>
        <w:t>M</w:t>
      </w:r>
      <w:r w:rsidR="004F7B90">
        <w:rPr>
          <w:rFonts w:cs="Calibri"/>
        </w:rPr>
        <w:t xml:space="preserve">odel </w:t>
      </w:r>
      <w:r>
        <w:fldChar w:fldCharType="begin" w:fldLock="1"/>
      </w:r>
      <w:r w:rsidR="00974B75">
        <w:rPr>
          <w:rFonts w:cs="Calibri"/>
        </w:rPr>
        <w:instrText>ADDIN CSL_CITATION {"citationItems":[{"id":"ITEM-1","itemData":{"DOI":"10.1177/0165551516670096","ISSN":"17416485","abstract":"People surfing the Internet are faced with an onslaught of messages from multiple sources, which can overwhelm receivers. In contrast to previous studies, which have used ‘choice overload’ to represent the amount of information provided to consumers, this study used ‘information overload’ theory to represent the abundance of information received by consumers in online shopping environments. Borrowing from the concepts of the communication model, this study investigated the antecedents of perceived information overload, including information characteristics (message), the information source, the system interface (channel) and recipients’ motivation (receiver). A total of 15 adults with more than 3 years of online shopping experience participated in a focus group discussion. By integrating focus group results and the results of previous studies into a theoretical framework, this study developed and empirically tested a structural equation model of online information overload among 456 PChome customers. The results indicated that the complexity and ambiguity of information characteristics, number of brand alternatives offered by the information source and system interface all positively affect consumers’ perceived information overload. Furthermore, information recipients’ motivation not only negatively affected consumers’ perceived information overload but also moderated the relationship between the number of brand alternatives and consumers’ perceived information overload.","author":[{"dropping-particle":"","family":"Li","given":"Chia Ying","non-dropping-particle":"","parse-names":false,"suffix":""}],"container-title":"Journal of Information Science","id":"ITEM-1","issue":"6","issued":{"date-parts":[["2017"]]},"page":"835-851","title":"Why do online consumers experience information overload? An extension of communication theory","type":"article-journal","volume":"43"},"uris":["http://www.mendeley.com/documents/?uuid=a253a25d-99e1-4009-bd76-b5cfbd05e1e8"]},{"id":"ITEM-2","itemData":{"author":[{"dropping-particle":"","family":"Resnyansky","given":"Lucy","non-dropping-particle":"","parse-names":false,"suffix":""}],"container-title":"IEEE Technology and Society Magazine","id":"ITEM-2","issue":"1","issued":{"date-parts":[["2014"]]},"page":"54-65","title":"Social Media, Disaster Studies, Communication and Human Communication","type":"article-journal","volume":"33"},"uris":["http://www.mendeley.com/documents/?uuid=c8e5d180-c40d-4ffb-9803-dbd3d85d5555"]},{"id":"ITEM-3","itemData":{"author":[{"dropping-particle":"","family":"Ritchie","given":"David","non-dropping-particle":"","parse-names":false,"suffix":""}],"container-title":"Communication Research","id":"ITEM-3","issue":"2","issued":{"date-parts":[["1986"]]},"page":"278-289","title":"Shannon and Weaver: Unravelling the Paradox of Information","type":"article-journal","volume":"13"},"uris":["http://www.mendeley.com/documents/?uuid=bf3b04c1-b82d-4e07-9ca7-ff0f2ac2f21f"]},{"id":"ITEM-4","itemData":{"DOI":"10.1111/j.1468-2885.1999.tb00355.x","ISSN":"10503293","abstract":"This essay reconstructs communication theory as a dialogical-dialectical field according to two principles: the constitutive model of communication as a metamodel and theory as metadiscursive practice. The essay argues that all communication theories are mutually relevant when addressed to a practical lifeworld in which \"communication\" is already a richly meaningful term. Each tradition of communication theory derives from and appeals rhetorically to certain commonplace beliefs about communication while challenging other beliefs. The complementarities and tensions among traditions generate a theoretical metadiscourse that intersects with and potentially informs the ongoing practical metadiscourse in society. In a tentative scheme of the field, rhetorical, semiotic, phenomenological, cybernetic, sociopsychological, sociocultural, and critical traditions of communication theory are distinguished by characteristic ways of defining communication and problems of communication, metadiscursive vocabularies, and metadiscursive commonplaces that they appeal to and challenge. Topoi for argumentation across traditions are suggested and implications for theoretical work and disciplinary practice in the field are considered.","author":[{"dropping-particle":"","family":"Craig","given":"Robert T.","non-dropping-particle":"","parse-names":false,"suffix":""}],"container-title":"Communication Theory","id":"ITEM-4","issue":"2","issued":{"date-parts":[["1999"]]},"page":"119-161","title":"Communication theory as a field","type":"article-journal","volume":"9"},"uris":["http://www.mendeley.com/documents/?uuid=db1b3885-4761-4f2b-83f2-540178cd6741"]}],"mendeley":{"formattedCitation":"(Li, 2017; Resnyansky, 2014; Craig, 1999; Ritchie, 1986)","plainTextFormattedCitation":"(Li, 2017; Resnyansky, 2014; Craig, 1999; Ritchie, 1986)","previouslyFormattedCitation":"(Li, 2017; Resnyansky, 2014; Craig, 1999; Ritchie, 1986)"},"properties":{"noteIndex":0},"schema":"https://github.com/citation-style-language/schema/raw/master/csl-citation.json"}</w:instrText>
      </w:r>
      <w:r>
        <w:rPr>
          <w:rFonts w:cs="Calibri"/>
        </w:rPr>
        <w:fldChar w:fldCharType="separate"/>
      </w:r>
      <w:r>
        <w:rPr>
          <w:rFonts w:cs="Calibri"/>
          <w:noProof/>
        </w:rPr>
        <w:t>(Li, 2017; Resnyansky, 2014; Craig, 1999; Ritchie, 1986)</w:t>
      </w:r>
      <w:r>
        <w:rPr>
          <w:rFonts w:cs="Calibri"/>
        </w:rPr>
        <w:fldChar w:fldCharType="end"/>
      </w:r>
      <w:r>
        <w:rPr>
          <w:rFonts w:cs="Calibri"/>
        </w:rPr>
        <w:t xml:space="preserve">, which was replaced by the Two-step Flow </w:t>
      </w:r>
      <w:r w:rsidR="00912954">
        <w:rPr>
          <w:rFonts w:cs="Calibri"/>
        </w:rPr>
        <w:t>M</w:t>
      </w:r>
      <w:r w:rsidR="004F7B90">
        <w:rPr>
          <w:rFonts w:cs="Calibri"/>
        </w:rPr>
        <w:t>odel</w:t>
      </w:r>
      <w:r>
        <w:rPr>
          <w:rFonts w:cs="Calibri"/>
        </w:rPr>
        <w:t>.</w:t>
      </w:r>
    </w:p>
    <w:p w14:paraId="0266626E" w14:textId="77777777" w:rsidR="0013548C" w:rsidRDefault="0013548C" w:rsidP="00866155">
      <w:pPr>
        <w:contextualSpacing/>
        <w:rPr>
          <w:rFonts w:cs="Calibri"/>
        </w:rPr>
      </w:pPr>
    </w:p>
    <w:p w14:paraId="2C5FF6B5" w14:textId="565A4543" w:rsidR="00787F73" w:rsidRDefault="00742FB7" w:rsidP="00866155">
      <w:pPr>
        <w:contextualSpacing/>
      </w:pPr>
      <w:r>
        <w:rPr>
          <w:rFonts w:cs="Calibri"/>
        </w:rPr>
        <w:t>It is important to examine how individuals and/or organisations perceive their communication, as this will influence if and how organisations can share information, such as risk communication. The following models provide a conceptual understanding of how communication takes place, and as such provides a lens to examine if and how SYFR are communicating with the citizens of South Yorkshire.</w:t>
      </w:r>
    </w:p>
    <w:p w14:paraId="78883965" w14:textId="77777777" w:rsidR="00787F73" w:rsidRDefault="00787F73" w:rsidP="00866155">
      <w:pPr>
        <w:contextualSpacing/>
        <w:rPr>
          <w:rFonts w:cs="Calibri"/>
        </w:rPr>
      </w:pPr>
    </w:p>
    <w:p w14:paraId="1D0EC803" w14:textId="4871D054" w:rsidR="00787F73" w:rsidRDefault="00742FB7" w:rsidP="00866155">
      <w:pPr>
        <w:pStyle w:val="Heading5"/>
        <w:spacing w:line="360" w:lineRule="auto"/>
      </w:pPr>
      <w:bookmarkStart w:id="193" w:name="_Toc139636619"/>
      <w:bookmarkStart w:id="194" w:name="_Toc93410800"/>
      <w:bookmarkStart w:id="195" w:name="_Toc67579739"/>
      <w:bookmarkStart w:id="196" w:name="_Toc98148300"/>
      <w:bookmarkStart w:id="197" w:name="_Toc139645574"/>
      <w:r>
        <w:rPr>
          <w:rFonts w:ascii="Calibri" w:hAnsi="Calibri" w:cs="Calibri"/>
        </w:rPr>
        <w:t xml:space="preserve">Two-step </w:t>
      </w:r>
      <w:r w:rsidR="004F7B90">
        <w:rPr>
          <w:rFonts w:ascii="Calibri" w:hAnsi="Calibri" w:cs="Calibri"/>
        </w:rPr>
        <w:t xml:space="preserve">flow </w:t>
      </w:r>
      <w:bookmarkEnd w:id="193"/>
      <w:bookmarkEnd w:id="194"/>
      <w:bookmarkEnd w:id="195"/>
      <w:bookmarkEnd w:id="196"/>
      <w:bookmarkEnd w:id="197"/>
      <w:r w:rsidR="00912954">
        <w:rPr>
          <w:rFonts w:ascii="Calibri" w:hAnsi="Calibri" w:cs="Calibri"/>
        </w:rPr>
        <w:t>M</w:t>
      </w:r>
      <w:r w:rsidR="004F7B90">
        <w:rPr>
          <w:rFonts w:ascii="Calibri" w:hAnsi="Calibri" w:cs="Calibri"/>
        </w:rPr>
        <w:t>odel</w:t>
      </w:r>
    </w:p>
    <w:p w14:paraId="5B1BD95B" w14:textId="4A1B27BC" w:rsidR="00787F73" w:rsidRDefault="00742FB7" w:rsidP="00866155">
      <w:pPr>
        <w:contextualSpacing/>
      </w:pPr>
      <w:r>
        <w:rPr>
          <w:rFonts w:cs="Calibri"/>
        </w:rPr>
        <w:t xml:space="preserve">The Two-step Flow </w:t>
      </w:r>
      <w:r w:rsidR="00912954">
        <w:rPr>
          <w:rFonts w:cs="Calibri"/>
        </w:rPr>
        <w:t>M</w:t>
      </w:r>
      <w:r w:rsidR="004F7B90">
        <w:rPr>
          <w:rFonts w:cs="Calibri"/>
        </w:rPr>
        <w:t xml:space="preserve">odel </w:t>
      </w:r>
      <w:r>
        <w:rPr>
          <w:rFonts w:cs="Calibri"/>
        </w:rPr>
        <w:t xml:space="preserve">is one of the older communication models </w:t>
      </w:r>
      <w:r>
        <w:fldChar w:fldCharType="begin" w:fldLock="1"/>
      </w:r>
      <w:r w:rsidR="00974B75">
        <w:rPr>
          <w:rFonts w:cs="Calibri"/>
        </w:rPr>
        <w:instrText>ADDIN CSL_CITATION {"citationItems":[{"id":"ITEM-1","itemData":{"DOI":"10.1016/j.ssci.2022.105796","ISSN":"18791042","abstract":"This study explores how YouTube facilitates construction safety knowledge sharing. It contributes to knowledge by applying two-step flow theory, social network analysis, and semantic analysis to explore the video network and investigate how sentiment affects users’ viewing and commenting behaviours. By conducting data mining and interactive visualisation algorithms, this study analysed 500 construction safety videos from 2007 to 2021, 2000 users and 2608 comments about these videos. Most top commenters were construction safety experts and staff from training institutes or companies. They attempted to market their brands via YouTube. 3722-word pairs semantic analysis, indicated that most opinion leaders expressed their opinions positively. Half of the construction safety YouTube videos were uploaded in 2020 and 2021, indicating that YouTube social network and video making activities became prevalent during the COVID-19 pandemic. Besides, the US accounts for half of the top ten videos uploaders. Many YouTube videos mentioned social media such as “Facebook,” “Instagram”, “Twitter,” and “LinkedIn”, evidenced cross information sharing among social network platforms. Popular Indonesian words like “Bangunan” (building), “kerja” (work) and Ahmedabad (India's industrial hub) evidenced the popularity of Indonesian and Indian in sharing construction safety knowledge via YouTube. Unlike many YouTubers in the entertainment sector who utilised it to interact with fans, Harel-Koren Fast Multiscale layout algorithm results of 277 YouTube video clusters revealed that neither the opinion leaders nor the users had a strong will to interact with others.","author":[{"dropping-particle":"","family":"Yao","given":"Qi","non-dropping-particle":"","parse-names":false,"suffix":""},{"dropping-particle":"","family":"Li","given":"Rita Yi Man","non-dropping-particle":"","parse-names":false,"suffix":""},{"dropping-particle":"","family":"Song","given":"Lingxi","non-dropping-particle":"","parse-names":false,"suffix":""}],"container-title":"Safety Science","id":"ITEM-1","issued":{"date-parts":[["2022"]]},"page":"1 - 8","title":"Construction safety knowledge sharing on YouTube from 2007 to 2021: Two-step flow theory and semantic analysis","type":"article-journal","volume":"153"},"uris":["http://www.mendeley.com/documents/?uuid=cd6560c3-6c46-4252-acab-fd488ce6af19"]}],"mendeley":{"formattedCitation":"(Yao, Li, &amp; Song, 2022)","plainTextFormattedCitation":"(Yao, Li, &amp; Song, 2022)","previouslyFormattedCitation":"(Yao, Li, &amp; Song, 2022)"},"properties":{"noteIndex":0},"schema":"https://github.com/citation-style-language/schema/raw/master/csl-citation.json"}</w:instrText>
      </w:r>
      <w:r>
        <w:rPr>
          <w:rFonts w:cs="Calibri"/>
        </w:rPr>
        <w:fldChar w:fldCharType="separate"/>
      </w:r>
      <w:r>
        <w:rPr>
          <w:rFonts w:cs="Calibri"/>
          <w:noProof/>
        </w:rPr>
        <w:t>(Yao, Li, &amp; Song, 2022)</w:t>
      </w:r>
      <w:r>
        <w:rPr>
          <w:rFonts w:cs="Calibri"/>
        </w:rPr>
        <w:fldChar w:fldCharType="end"/>
      </w:r>
      <w:r>
        <w:rPr>
          <w:rFonts w:cs="Calibri"/>
        </w:rPr>
        <w:t xml:space="preserve"> and was created in the 1940s by Katz who studied voting, specifically whether </w:t>
      </w:r>
      <w:r w:rsidR="00D41D72">
        <w:rPr>
          <w:rFonts w:cs="Calibri"/>
        </w:rPr>
        <w:t xml:space="preserve">voters </w:t>
      </w:r>
      <w:r>
        <w:rPr>
          <w:rFonts w:cs="Calibri"/>
        </w:rPr>
        <w:t xml:space="preserve">had read or heard about political campaigns, or whether they were told by someone in their social network </w:t>
      </w:r>
      <w:r>
        <w:fldChar w:fldCharType="begin" w:fldLock="1"/>
      </w:r>
      <w:r>
        <w:rPr>
          <w:rFonts w:cs="Calibri"/>
        </w:rPr>
        <w:instrText>ADDIN CSL_CITATION {"citationItems":[{"id":"ITEM-1","itemData":{"DOI":"10.1177/0894439314556599","author":[{"dropping-particle":"","family":"Choi","given":"Sujin","non-dropping-particle":"","parse-names":false,"suffix":""}],"container-title":"Social Science Computer Review","id":"ITEM-1","issue":"6","issued":{"date-parts":[["2015"]]},"page":"696-711","title":"The Two-Step Flow of Communication in Twitter-Based Public Forums","type":"article-journal","volume":"33"},"uris":["http://www.mendeley.com/documents/?uuid=adcadf9d-f406-423d-9f24-5ca4a0a55e1a"]},{"id":"ITEM-2","itemData":{"author":[{"dropping-particle":"","family":"Katz","given":"Elihu","non-dropping-particle":"","parse-names":false,"suffix":""}],"container-title":"Public Opinion Quarterly","id":"ITEM-2","issue":"1","issued":{"date-parts":[["1957"]]},"page":"61–78","title":"The Two-Step Flow of Communication: An Up-To-Date Report on an Hypothesis","type":"article-journal","volume":"21"},"uris":["http://www.mendeley.com/documents/?uuid=229f56e7-6b91-4c34-8c9e-99b44cfa1d2d"]}],"mendeley":{"formattedCitation":"(Choi, 2015; Katz, 1957)","plainTextFormattedCitation":"(Choi, 2015; Katz, 1957)","previouslyFormattedCitation":"(Choi, 2015; Katz, 1957)"},"properties":{"noteIndex":0},"schema":"https://github.com/citation-style-language/schema/raw/master/csl-citation.json"}</w:instrText>
      </w:r>
      <w:r>
        <w:rPr>
          <w:rFonts w:cs="Calibri"/>
        </w:rPr>
        <w:fldChar w:fldCharType="separate"/>
      </w:r>
      <w:r>
        <w:rPr>
          <w:rFonts w:cs="Calibri"/>
          <w:noProof/>
        </w:rPr>
        <w:t>(Choi, 2015; Katz, 1957)</w:t>
      </w:r>
      <w:r>
        <w:rPr>
          <w:rFonts w:cs="Calibri"/>
        </w:rPr>
        <w:fldChar w:fldCharType="end"/>
      </w:r>
      <w:r>
        <w:rPr>
          <w:rFonts w:cs="Calibri"/>
        </w:rPr>
        <w:t xml:space="preserve">. This model was developed into a theory about communication, suggesting that information flows in two steps: firstly, from a media source </w:t>
      </w:r>
      <w:r>
        <w:rPr>
          <w:rFonts w:cs="Calibri"/>
        </w:rPr>
        <w:lastRenderedPageBreak/>
        <w:t>to an expert or influencer in that field; and secondly, from the influencer to the individual. This model suggests that members of the community looked to opinion leaders in their network who were perceived to hold positions within a community</w:t>
      </w:r>
      <w:r w:rsidR="00D41D72">
        <w:rPr>
          <w:rFonts w:cs="Calibri"/>
        </w:rPr>
        <w:t>.</w:t>
      </w:r>
      <w:r>
        <w:rPr>
          <w:rFonts w:cs="Calibri"/>
        </w:rPr>
        <w:t xml:space="preserve"> </w:t>
      </w:r>
      <w:r w:rsidR="00D41D72">
        <w:rPr>
          <w:rFonts w:cs="Calibri"/>
        </w:rPr>
        <w:t xml:space="preserve">These leaders </w:t>
      </w:r>
      <w:r>
        <w:rPr>
          <w:rFonts w:cs="Calibri"/>
        </w:rPr>
        <w:t xml:space="preserve">have more knowledge on a topic, </w:t>
      </w:r>
      <w:r w:rsidR="00D41D72">
        <w:rPr>
          <w:rFonts w:cs="Calibri"/>
        </w:rPr>
        <w:t xml:space="preserve">are </w:t>
      </w:r>
      <w:r>
        <w:rPr>
          <w:rFonts w:cs="Calibri"/>
        </w:rPr>
        <w:t xml:space="preserve">exposed to more information, and could be viewed as gatekeepers between media sources and the masses </w:t>
      </w:r>
      <w:r>
        <w:fldChar w:fldCharType="begin" w:fldLock="1"/>
      </w:r>
      <w:r w:rsidR="00974B75">
        <w:rPr>
          <w:rFonts w:cs="Calibri"/>
        </w:rPr>
        <w:instrText>ADDIN CSL_CITATION {"citationItems":[{"id":"ITEM-1","itemData":{"author":[{"dropping-particle":"","family":"Katz","given":"Elihu","non-dropping-particle":"","parse-names":false,"suffix":""}],"container-title":"Public Opinion Quarterly","id":"ITEM-1","issue":"1","issued":{"date-parts":[["1957"]]},"page":"61–78","title":"The Two-Step Flow of Communication: An Up-To-Date Report on an Hypothesis","type":"article-journal","volume":"21"},"uris":["http://www.mendeley.com/documents/?uuid=229f56e7-6b91-4c34-8c9e-99b44cfa1d2d"]},{"id":"ITEM-2","itemData":{"DOI":"10.1177/0002764214527088","author":[{"dropping-particle":"","family":"Dubois","given":"Elizabeth","non-dropping-particle":"","parse-names":false,"suffix":""},{"dropping-particle":"","family":"Gaffney","given":"Devin","non-dropping-particle":"","parse-names":false,"suffix":""}],"container-title":"American Behavioral Scientist","id":"ITEM-2","issue":"10","issued":{"date-parts":[["2014"]]},"page":"1260 - 1277","title":"The Multiple Facets of Influence: Identifying Political Influentials and Opinion Leaders on Twitter","type":"article-journal","volume":"58"},"uris":["http://www.mendeley.com/documents/?uuid=d4f01e89-1dae-44c0-9e92-ab54f3f52269"]},{"id":"ITEM-3","itemData":{"DOI":"10.1177/0894439316639561","ISBN":"0894439316","author":[{"dropping-particle":"","family":"Hilbert","given":"Martin","non-dropping-particle":"","parse-names":false,"suffix":""},{"dropping-particle":"","family":"Vasquez","given":"Javier","non-dropping-particle":"","parse-names":false,"suffix":""},{"dropping-particle":"","family":"Halpern","given":"Daniel","non-dropping-particle":"","parse-names":false,"suffix":""},{"dropping-particle":"","family":"Valenzuela","given":"Sebastian","non-dropping-particle":"","parse-names":false,"suffix":""},{"dropping-particle":"","family":"Arriagada","given":"Eduardo","non-dropping-particle":"","parse-names":false,"suffix":""}],"container-title":"Social Science Computer Review","id":"ITEM-3","issue":"4","issued":{"date-parts":[["2017"]]},"page":"444-461","title":"One Step , Two Step , Network Step? Complementary Perspectives on Communication Flows in Twittered Citizen Protests","type":"article-journal","volume":"35"},"uris":["http://www.mendeley.com/documents/?uuid=7e554358-c6b5-4cac-a7f1-6593bb1900c9"]},{"id":"ITEM-4","itemData":{"DOI":"10.1080/1553118X.2022.2042694","ISSN":"15531198","abstract":"During public health crises, public organizations face a variety of strategic communication challenges, and the outbreak of the COVID-19 pandemic in 2020 is an extreme example. In Finland, the Prime Minister’s Office initiated a communication campaign that utilized social media influencers to communicate timely instructions regarding the pandemic. However, it is uncertain how social media influencers adapt to briefings of public organizations given that they typically work with brands that align with their own interests and expertise, which rarely is epidemiology. We use the two-step flow of communication model and social influence theory to analyze research data that consisted of 96 Instagram posts, 108 Instagram Stories and 1097 comments. Qualitative content analysis was used to see how the influencers communicated about the pandemic and how their followers reacted. The results suggest that the influencers tried to adapt the messages to their own style, and, instead of committing to the wordings of the campaign, they shared general guidelines and, with their own example, showed how to behave during the pandemic. Their participation in the campaign helped affect social norms during the time of the crisis, which in the case of public health communication is a substantial, strategic goal.","author":[{"dropping-particle":"","family":"Pöyry","given":"Essi","non-dropping-particle":"","parse-names":false,"suffix":""},{"dropping-particle":"","family":"Reinikainen","given":"Hanna","non-dropping-particle":"","parse-names":false,"suffix":""},{"dropping-particle":"","family":"Luoma-Aho","given":"Vilma","non-dropping-particle":"","parse-names":false,"suffix":""}],"container-title":"International Journal of Strategic Communication","id":"ITEM-4","issue":"3","issued":{"date-parts":[["2022"]]},"page":"469-484","publisher":"Routledge","title":"The Role of Social Media Influencers in Public Health Communication: Case COVID-19 Pandemic","type":"article-journal","volume":"16"},"uris":["http://www.mendeley.com/documents/?uuid=041b3053-0f7b-454b-b756-4657b3eee0bb"]},{"id":"ITEM-5","itemData":{"DOI":"10.1016/j.ssci.2022.105796","ISSN":"18791042","abstract":"This study explores how YouTube facilitates construction safety knowledge sharing. It contributes to knowledge by applying two-step flow theory, social network analysis, and semantic analysis to explore the video network and investigate how sentiment affects users’ viewing and commenting behaviours. By conducting data mining and interactive visualisation algorithms, this study analysed 500 construction safety videos from 2007 to 2021, 2000 users and 2608 comments about these videos. Most top commenters were construction safety experts and staff from training institutes or companies. They attempted to market their brands via YouTube. 3722-word pairs semantic analysis, indicated that most opinion leaders expressed their opinions positively. Half of the construction safety YouTube videos were uploaded in 2020 and 2021, indicating that YouTube social network and video making activities became prevalent during the COVID-19 pandemic. Besides, the US accounts for half of the top ten videos uploaders. Many YouTube videos mentioned social media such as “Facebook,” “Instagram”, “Twitter,” and “LinkedIn”, evidenced cross information sharing among social network platforms. Popular Indonesian words like “Bangunan” (building), “kerja” (work) and Ahmedabad (India's industrial hub) evidenced the popularity of Indonesian and Indian in sharing construction safety knowledge via YouTube. Unlike many YouTubers in the entertainment sector who utilised it to interact with fans, Harel-Koren Fast Multiscale layout algorithm results of 277 YouTube video clusters revealed that neither the opinion leaders nor the users had a strong will to interact with others.","author":[{"dropping-particle":"","family":"Yao","given":"Qi","non-dropping-particle":"","parse-names":false,"suffix":""},{"dropping-particle":"","family":"Li","given":"Rita Yi Man","non-dropping-particle":"","parse-names":false,"suffix":""},{"dropping-particle":"","family":"Song","given":"Lingxi","non-dropping-particle":"","parse-names":false,"suffix":""}],"container-title":"Safety Science","id":"ITEM-5","issued":{"date-parts":[["2022"]]},"page":"1 - 8","title":"Construction safety knowledge sharing on YouTube from 2007 to 2021: Two-step flow theory and semantic analysis","type":"article-journal","volume":"153"},"uris":["http://www.mendeley.com/documents/?uuid=cd6560c3-6c46-4252-acab-fd488ce6af19"]}],"mendeley":{"formattedCitation":"(Pöyry, Reinikainen, &amp; Luoma-Aho, 2022; Yao, Li, &amp; Song, 2022; Hilbert et al., 2017; Dubois &amp; Gaffney, 2014; Katz, 1957)","plainTextFormattedCitation":"(Pöyry, Reinikainen, &amp; Luoma-Aho, 2022; Yao, Li, &amp; Song, 2022; Hilbert et al., 2017; Dubois &amp; Gaffney, 2014; Katz, 1957)","previouslyFormattedCitation":"(Pöyry, Reinikainen, &amp; Luoma-Aho, 2022; Yao, Li, &amp; Song, 2022; Hilbert et al., 2017; Dubois &amp; Gaffney, 2014; Katz, 1957)"},"properties":{"noteIndex":0},"schema":"https://github.com/citation-style-language/schema/raw/master/csl-citation.json"}</w:instrText>
      </w:r>
      <w:r>
        <w:rPr>
          <w:rFonts w:cs="Calibri"/>
        </w:rPr>
        <w:fldChar w:fldCharType="separate"/>
      </w:r>
      <w:r>
        <w:rPr>
          <w:rFonts w:cs="Calibri"/>
          <w:noProof/>
        </w:rPr>
        <w:t>(Pöyry, Reinikainen, &amp; Luoma-Aho, 2022; Yao, Li, &amp; Song, 2022; Hilbert et al., 2017; Dubois &amp; Gaffney, 2014; Katz, 1957)</w:t>
      </w:r>
      <w:r>
        <w:rPr>
          <w:rFonts w:cs="Calibri"/>
        </w:rPr>
        <w:fldChar w:fldCharType="end"/>
      </w:r>
      <w:r>
        <w:rPr>
          <w:rFonts w:cs="Calibri"/>
        </w:rPr>
        <w:t xml:space="preserve">. This suggests that the two step flow contains recipients who can be viewed as direct or indirect, which mirrors the concept of influencers and opinion leaders which is explored in the literature </w:t>
      </w:r>
      <w:r>
        <w:fldChar w:fldCharType="begin" w:fldLock="1"/>
      </w:r>
      <w:r w:rsidR="00974B75">
        <w:rPr>
          <w:rFonts w:cs="Calibri"/>
        </w:rPr>
        <w:instrText>ADDIN CSL_CITATION {"citationItems":[{"id":"ITEM-1","itemData":{"DOI":"10.1177/0894439314556599","author":[{"dropping-particle":"","family":"Choi","given":"Sujin","non-dropping-particle":"","parse-names":false,"suffix":""}],"container-title":"Social Science Computer Review","id":"ITEM-1","issue":"6","issued":{"date-parts":[["2015"]]},"page":"696-711","title":"The Two-Step Flow of Communication in Twitter-Based Public Forums","type":"article-journal","volume":"33"},"uris":["http://www.mendeley.com/documents/?uuid=adcadf9d-f406-423d-9f24-5ca4a0a55e1a"]},{"id":"ITEM-2","itemData":{"DOI":"10.1080/13669877.2019.1628097","ISSN":"14664461","abstract":"In a crisis situation, communication is an important asset for safeguarding the reputation of an organization. The communication strategy that is used in a crisis influences the way people perceive the crisis. While extensive research is conducted and clear communication guidelines about crisis communication are provided, current research tends to focus on a single actor in a crisis within a homogeneous stakeholder group. In this article, we analyze whether and how different groups of stakeholders frame a crisis and the extent to which they attribute responsibility for the crisis to actors. The case concerns the use of an illegal lice detergent (fipronil) in eggs in the Netherlands in the summer of 2017. Based on the analysis of Twitter data related to the case using multiple methods (network analysis, a longitudinal analysis and the annotation of a sample of tweets), this study shows that a seemingly simple case in a single sub-arena has different subgroups that use different frames and attribute different responsibilities to different stakeholders. This result implies that a reconsideration of communication strategies during and after a crisis is needed.","author":[{"dropping-particle":"","family":"Lauran","given":"N.","non-dropping-particle":"","parse-names":false,"suffix":""},{"dropping-particle":"","family":"Kunneman","given":"F.","non-dropping-particle":"","parse-names":false,"suffix":""},{"dropping-particle":"","family":"Wijngaert","given":"L.","non-dropping-particle":"Van de","parse-names":false,"suffix":""}],"container-title":"Journal of Risk Research","id":"ITEM-2","issue":"10","issued":{"date-parts":[["2019"]]},"page":"1 - 20","title":"Connecting social media data and crisis communication theory: a case study on the chicken and the egg","type":"article-journal","volume":"23"},"uris":["http://www.mendeley.com/documents/?uuid=269e9f18-232c-485c-8823-bba51fd755f6"]},{"id":"ITEM-3","itemData":{"DOI":"10.1080/1553118X.2022.2042694","ISSN":"15531198","abstract":"During public health crises, public organizations face a variety of strategic communication challenges, and the outbreak of the COVID-19 pandemic in 2020 is an extreme example. In Finland, the Prime Minister’s Office initiated a communication campaign that utilized social media influencers to communicate timely instructions regarding the pandemic. However, it is uncertain how social media influencers adapt to briefings of public organizations given that they typically work with brands that align with their own interests and expertise, which rarely is epidemiology. We use the two-step flow of communication model and social influence theory to analyze research data that consisted of 96 Instagram posts, 108 Instagram Stories and 1097 comments. Qualitative content analysis was used to see how the influencers communicated about the pandemic and how their followers reacted. The results suggest that the influencers tried to adapt the messages to their own style, and, instead of committing to the wordings of the campaign, they shared general guidelines and, with their own example, showed how to behave during the pandemic. Their participation in the campaign helped affect social norms during the time of the crisis, which in the case of public health communication is a substantial, strategic goal.","author":[{"dropping-particle":"","family":"Pöyry","given":"Essi","non-dropping-particle":"","parse-names":false,"suffix":""},{"dropping-particle":"","family":"Reinikainen","given":"Hanna","non-dropping-particle":"","parse-names":false,"suffix":""},{"dropping-particle":"","family":"Luoma-Aho","given":"Vilma","non-dropping-particle":"","parse-names":false,"suffix":""}],"container-title":"International Journal of Strategic Communication","id":"ITEM-3","issue":"3","issued":{"date-parts":[["2022"]]},"page":"469-484","publisher":"Routledge","title":"The Role of Social Media Influencers in Public Health Communication: Case COVID-19 Pandemic","type":"article-journal","volume":"16"},"uris":["http://www.mendeley.com/documents/?uuid=041b3053-0f7b-454b-b756-4657b3eee0bb"]},{"id":"ITEM-4","itemData":{"DOI":"10.1016/j.ssci.2022.105796","ISSN":"18791042","abstract":"This study explores how YouTube facilitates construction safety knowledge sharing. It contributes to knowledge by applying two-step flow theory, social network analysis, and semantic analysis to explore the video network and investigate how sentiment affects users’ viewing and commenting behaviours. By conducting data mining and interactive visualisation algorithms, this study analysed 500 construction safety videos from 2007 to 2021, 2000 users and 2608 comments about these videos. Most top commenters were construction safety experts and staff from training institutes or companies. They attempted to market their brands via YouTube. 3722-word pairs semantic analysis, indicated that most opinion leaders expressed their opinions positively. Half of the construction safety YouTube videos were uploaded in 2020 and 2021, indicating that YouTube social network and video making activities became prevalent during the COVID-19 pandemic. Besides, the US accounts for half of the top ten videos uploaders. Many YouTube videos mentioned social media such as “Facebook,” “Instagram”, “Twitter,” and “LinkedIn”, evidenced cross information sharing among social network platforms. Popular Indonesian words like “Bangunan” (building), “kerja” (work) and Ahmedabad (India's industrial hub) evidenced the popularity of Indonesian and Indian in sharing construction safety knowledge via YouTube. Unlike many YouTubers in the entertainment sector who utilised it to interact with fans, Harel-Koren Fast Multiscale layout algorithm results of 277 YouTube video clusters revealed that neither the opinion leaders nor the users had a strong will to interact with others.","author":[{"dropping-particle":"","family":"Yao","given":"Qi","non-dropping-particle":"","parse-names":false,"suffix":""},{"dropping-particle":"","family":"Li","given":"Rita Yi Man","non-dropping-particle":"","parse-names":false,"suffix":""},{"dropping-particle":"","family":"Song","given":"Lingxi","non-dropping-particle":"","parse-names":false,"suffix":""}],"container-title":"Safety Science","id":"ITEM-4","issued":{"date-parts":[["2022"]]},"page":"1 - 8","title":"Construction safety knowledge sharing on YouTube from 2007 to 2021: Two-step flow theory and semantic analysis","type":"article-journal","volume":"153"},"uris":["http://www.mendeley.com/documents/?uuid=cd6560c3-6c46-4252-acab-fd488ce6af19"]},{"id":"ITEM-5","itemData":{"DOI":"10.1080/08934215.2021.2015796","ISSN":"17451043","abstract":"Opinion leaders are increasingly recruited to diffuse information, attitudes, and behaviors to serve communication campaigns. However, this has historically required opinion leader identification before launching the campaign. A priori identification is impossible in many contexts, such as when addressing unfamiliar topics or insular communities. The authors introduce a two-stage campaign approach that resolves this problem, and a public health campaign is used to demonstrate it. This approach is applicable to a wider variety of contexts than traditional a priori opinion leader identification.","author":[{"dropping-particle":"","family":"Britt","given":"Brian C.","non-dropping-particle":"","parse-names":false,"suffix":""},{"dropping-particle":"","family":"Britt","given":"Rebecca K.","non-dropping-particle":"","parse-names":false,"suffix":""},{"dropping-particle":"","family":"Anderson","given":"Jenn","non-dropping-particle":"","parse-names":false,"suffix":""},{"dropping-particle":"","family":"Fahrenwald","given":"Nancy","non-dropping-particle":"","parse-names":false,"suffix":""},{"dropping-particle":"","family":"Harming","given":"Shana","non-dropping-particle":"","parse-names":false,"suffix":""}],"container-title":"Communication Reports","id":"ITEM-5","issue":"1","issued":{"date-parts":[["2022"]]},"page":"38-52","publisher":"Routledge","title":"Finding the Invisible Leader: When A Priori Opinion Leader Identification is Impossible","type":"article-journal","volume":"35"},"uris":["http://www.mendeley.com/documents/?uuid=7524ca74-3cf4-4778-94ce-65b1f2b2c83e"]}],"mendeley":{"formattedCitation":"(Britt et al., 2022; Pöyry, Reinikainen, &amp; Luoma-Aho, 2022; Yao, Li, &amp; Song, 2022; Lauran, Kunneman, &amp; Van de Wijngaert, 2019; Choi, 2015)","plainTextFormattedCitation":"(Britt et al., 2022; Pöyry, Reinikainen, &amp; Luoma-Aho, 2022; Yao, Li, &amp; Song, 2022; Lauran, Kunneman, &amp; Van de Wijngaert, 2019; Choi, 2015)","previouslyFormattedCitation":"(Britt et al., 2022; Pöyry, Reinikainen, &amp; Luoma-Aho, 2022; Yao, Li, &amp; Song, 2022; Lauran, Kunneman, &amp; Van de Wijngaert, 2019; Choi, 2015)"},"properties":{"noteIndex":0},"schema":"https://github.com/citation-style-language/schema/raw/master/csl-citation.json"}</w:instrText>
      </w:r>
      <w:r>
        <w:rPr>
          <w:rFonts w:cs="Calibri"/>
        </w:rPr>
        <w:fldChar w:fldCharType="separate"/>
      </w:r>
      <w:r>
        <w:rPr>
          <w:rFonts w:cs="Calibri"/>
          <w:noProof/>
        </w:rPr>
        <w:t>(Britt et al., 2022; Pöyry, Reinikainen, &amp; Luoma-Aho, 2022; Yao, Li, &amp; Song, 2022; Lauran, Kunneman, &amp; Van de Wijngaert, 2019; Choi, 2015)</w:t>
      </w:r>
      <w:r>
        <w:rPr>
          <w:rFonts w:cs="Calibri"/>
        </w:rPr>
        <w:fldChar w:fldCharType="end"/>
      </w:r>
      <w:r w:rsidR="00D41D72">
        <w:rPr>
          <w:rFonts w:cs="Calibri"/>
        </w:rPr>
        <w:t>.</w:t>
      </w:r>
      <w:r>
        <w:rPr>
          <w:rFonts w:cs="Calibri"/>
        </w:rPr>
        <w:t xml:space="preserve"> </w:t>
      </w:r>
      <w:r w:rsidR="00D41D72">
        <w:rPr>
          <w:rFonts w:cs="Calibri"/>
        </w:rPr>
        <w:t>This</w:t>
      </w:r>
      <w:r>
        <w:rPr>
          <w:rFonts w:cs="Calibri"/>
        </w:rPr>
        <w:t xml:space="preserve"> will not be discussed in depth here as SYFR do</w:t>
      </w:r>
      <w:r w:rsidR="00D41D72">
        <w:rPr>
          <w:rFonts w:cs="Calibri"/>
        </w:rPr>
        <w:t>es</w:t>
      </w:r>
      <w:r>
        <w:rPr>
          <w:rFonts w:cs="Calibri"/>
        </w:rPr>
        <w:t xml:space="preserve"> not use influencer networks. </w:t>
      </w:r>
    </w:p>
    <w:p w14:paraId="566E4FB9" w14:textId="77777777" w:rsidR="00787F73" w:rsidRDefault="00787F73" w:rsidP="00866155">
      <w:pPr>
        <w:contextualSpacing/>
        <w:rPr>
          <w:rFonts w:cs="Calibri"/>
        </w:rPr>
      </w:pPr>
    </w:p>
    <w:p w14:paraId="1497CD2E" w14:textId="31F3A2DB" w:rsidR="00616DE0" w:rsidRDefault="00742FB7" w:rsidP="00CB61FC">
      <w:pPr>
        <w:contextualSpacing/>
      </w:pPr>
      <w:r>
        <w:rPr>
          <w:rFonts w:cs="Calibri"/>
        </w:rPr>
        <w:t xml:space="preserve">The </w:t>
      </w:r>
      <w:r w:rsidR="00912954">
        <w:rPr>
          <w:rFonts w:cs="Calibri"/>
        </w:rPr>
        <w:t>T</w:t>
      </w:r>
      <w:r w:rsidR="004F7B90">
        <w:rPr>
          <w:rFonts w:cs="Calibri"/>
        </w:rPr>
        <w:t>wo</w:t>
      </w:r>
      <w:r>
        <w:rPr>
          <w:rFonts w:cs="Calibri"/>
        </w:rPr>
        <w:t xml:space="preserve">-step </w:t>
      </w:r>
      <w:r w:rsidR="00912954">
        <w:rPr>
          <w:rFonts w:cs="Calibri"/>
        </w:rPr>
        <w:t>F</w:t>
      </w:r>
      <w:r w:rsidR="004F7B90">
        <w:rPr>
          <w:rFonts w:cs="Calibri"/>
        </w:rPr>
        <w:t xml:space="preserve">low </w:t>
      </w:r>
      <w:r w:rsidR="00912954">
        <w:rPr>
          <w:rFonts w:cs="Calibri"/>
        </w:rPr>
        <w:t>M</w:t>
      </w:r>
      <w:r w:rsidR="004F7B90">
        <w:rPr>
          <w:rFonts w:cs="Calibri"/>
        </w:rPr>
        <w:t xml:space="preserve">odel </w:t>
      </w:r>
      <w:r>
        <w:rPr>
          <w:rFonts w:cs="Calibri"/>
        </w:rPr>
        <w:t xml:space="preserve">was developed after the critique of the </w:t>
      </w:r>
      <w:r w:rsidR="0038275C">
        <w:rPr>
          <w:rFonts w:cs="Calibri"/>
        </w:rPr>
        <w:t>O</w:t>
      </w:r>
      <w:r w:rsidR="004F7B90">
        <w:rPr>
          <w:rFonts w:cs="Calibri"/>
        </w:rPr>
        <w:t>ne</w:t>
      </w:r>
      <w:r>
        <w:rPr>
          <w:rFonts w:cs="Calibri"/>
        </w:rPr>
        <w:t xml:space="preserve">-step </w:t>
      </w:r>
      <w:r w:rsidR="0038275C">
        <w:rPr>
          <w:rFonts w:cs="Calibri"/>
        </w:rPr>
        <w:t>F</w:t>
      </w:r>
      <w:r w:rsidR="004F7B90">
        <w:rPr>
          <w:rFonts w:cs="Calibri"/>
        </w:rPr>
        <w:t xml:space="preserve">low </w:t>
      </w:r>
      <w:r w:rsidR="0038275C">
        <w:rPr>
          <w:rFonts w:cs="Calibri"/>
        </w:rPr>
        <w:t>M</w:t>
      </w:r>
      <w:r w:rsidR="004F7B90">
        <w:rPr>
          <w:rFonts w:cs="Calibri"/>
        </w:rPr>
        <w:t>odel</w:t>
      </w:r>
      <w:r>
        <w:rPr>
          <w:rFonts w:cs="Calibri"/>
        </w:rPr>
        <w:t xml:space="preserve">, also known as the </w:t>
      </w:r>
      <w:r w:rsidR="0038275C">
        <w:rPr>
          <w:rFonts w:cs="Calibri"/>
        </w:rPr>
        <w:t>H</w:t>
      </w:r>
      <w:r w:rsidR="004F7B90">
        <w:rPr>
          <w:rFonts w:cs="Calibri"/>
        </w:rPr>
        <w:t xml:space="preserve">ypodermic </w:t>
      </w:r>
      <w:r w:rsidR="0038275C">
        <w:rPr>
          <w:rFonts w:cs="Calibri"/>
        </w:rPr>
        <w:t>N</w:t>
      </w:r>
      <w:r w:rsidR="004F7B90">
        <w:rPr>
          <w:rFonts w:cs="Calibri"/>
        </w:rPr>
        <w:t xml:space="preserve">eedle </w:t>
      </w:r>
      <w:r>
        <w:rPr>
          <w:rFonts w:cs="Calibri"/>
        </w:rPr>
        <w:t xml:space="preserve">or </w:t>
      </w:r>
      <w:r w:rsidR="0038275C">
        <w:rPr>
          <w:rFonts w:cs="Calibri"/>
        </w:rPr>
        <w:t>B</w:t>
      </w:r>
      <w:r w:rsidR="004F7B90">
        <w:rPr>
          <w:rFonts w:cs="Calibri"/>
        </w:rPr>
        <w:t xml:space="preserve">ullet </w:t>
      </w:r>
      <w:r>
        <w:rPr>
          <w:rFonts w:cs="Calibri"/>
        </w:rPr>
        <w:t xml:space="preserve">theory.  This </w:t>
      </w:r>
      <w:r w:rsidR="0038275C">
        <w:rPr>
          <w:rFonts w:cs="Calibri"/>
        </w:rPr>
        <w:t>O</w:t>
      </w:r>
      <w:r w:rsidR="004F7B90">
        <w:rPr>
          <w:rFonts w:cs="Calibri"/>
        </w:rPr>
        <w:t>ne</w:t>
      </w:r>
      <w:r>
        <w:rPr>
          <w:rFonts w:cs="Calibri"/>
        </w:rPr>
        <w:t xml:space="preserve">-step </w:t>
      </w:r>
      <w:r w:rsidR="0038275C">
        <w:rPr>
          <w:rFonts w:cs="Calibri"/>
        </w:rPr>
        <w:t>F</w:t>
      </w:r>
      <w:r w:rsidR="004F7B90">
        <w:rPr>
          <w:rFonts w:cs="Calibri"/>
        </w:rPr>
        <w:t xml:space="preserve">low </w:t>
      </w:r>
      <w:r w:rsidR="00912954">
        <w:rPr>
          <w:rFonts w:cs="Calibri"/>
        </w:rPr>
        <w:t>M</w:t>
      </w:r>
      <w:r>
        <w:rPr>
          <w:rFonts w:cs="Calibri"/>
        </w:rPr>
        <w:t xml:space="preserve">odel suggests that communicators can target individuals through targeting specific demographic communities, like a needle or bullet. This model has been widely discredited as it assumes the message reaches the desired groups, and that it has a direct effect on a passive target population </w:t>
      </w:r>
      <w:r>
        <w:fldChar w:fldCharType="begin" w:fldLock="1"/>
      </w:r>
      <w:r w:rsidR="00974B75">
        <w:rPr>
          <w:rFonts w:cs="Calibri"/>
        </w:rPr>
        <w:instrText>ADDIN CSL_CITATION {"citationItems":[{"id":"ITEM-1","itemData":{"DOI":"10.3109/09687639609019308","ISBN":"0968763960","ISSN":"09687637","abstract":"The aim of this paper is to consider the limitations, potential and peculiarities of mass media in promoting health. Having commented on the nature and variety of available mass media, a number of classic mass media theories are discussed and the popular notion of 'social marketing' is subjected to critical appraisal. Finally, a number of generalizations and guidelines are provided for the efficient use of mass media which centre on the synergistic interaction of education and healthy public policy' which is at the heart of health promotion practice.","author":[{"dropping-particle":"","family":"Tones","given":"Keith","non-dropping-particle":"","parse-names":false,"suffix":""}],"container-title":"Drugs: Education, Prevention and Policy","id":"ITEM-1","issue":"1","issued":{"date-parts":[["1996"]]},"page":"29-37","title":"Models of mass media: Hypodermic, aerosol or agent provocateur?","type":"article-journal","volume":"3"},"uris":["http://www.mendeley.com/documents/?uuid=be078420-ed41-4f7d-a6bc-4f5668cc244d"]},{"id":"ITEM-2","itemData":{"DOI":"10.1080/03637758809376169","ISSN":"14795787","abstract":"This essay examines a dispute over the history of mass communication research by focusing on different accounts of the hypodermic model in mass communication literature. The essay argues that attention to the processes of historiography can help to explain how different conceptions of the hypodermic model, and different conceptions of the field’s history, are embraced and articulated. Different conceptions of the history of mass communication research are related to different ideological, theoretical, and methodological commitments. The essay demonstrates that how one articulates the history of mass communication research has significant implications for how one understands and studies the media. © 1988, Taylor &amp; Francis Group, LLC. All rights reserved.","author":[{"dropping-particle":"","family":"Bineham","given":"Jeffery L.","non-dropping-particle":"","parse-names":false,"suffix":""}],"container-title":"Communication Monographs","id":"ITEM-2","issue":"3","issued":{"date-parts":[["1988"]]},"page":"230-246","title":"A Historical Account Of The Hypodermic Model In Mass Communication","type":"article-journal","volume":"55"},"uris":["http://www.mendeley.com/documents/?uuid=c9f233da-62a0-441e-9cc4-17f12d88a035"]}],"mendeley":{"formattedCitation":"(Tones, 1996; Bineham, 1988)","plainTextFormattedCitation":"(Tones, 1996; Bineham, 1988)","previouslyFormattedCitation":"(Tones, 1996; Bineham, 1988)"},"properties":{"noteIndex":0},"schema":"https://github.com/citation-style-language/schema/raw/master/csl-citation.json"}</w:instrText>
      </w:r>
      <w:r>
        <w:rPr>
          <w:rFonts w:cs="Calibri"/>
        </w:rPr>
        <w:fldChar w:fldCharType="separate"/>
      </w:r>
      <w:r>
        <w:rPr>
          <w:rFonts w:cs="Calibri"/>
          <w:noProof/>
        </w:rPr>
        <w:t>(Tones, 1996; Bineham, 1988)</w:t>
      </w:r>
      <w:r>
        <w:rPr>
          <w:rFonts w:cs="Calibri"/>
        </w:rPr>
        <w:fldChar w:fldCharType="end"/>
      </w:r>
      <w:r>
        <w:rPr>
          <w:rFonts w:cs="Calibri"/>
        </w:rPr>
        <w:t xml:space="preserve">. </w:t>
      </w:r>
      <w:r w:rsidR="00C84401">
        <w:rPr>
          <w:rFonts w:cs="Calibri"/>
        </w:rPr>
        <w:t>While</w:t>
      </w:r>
      <w:r>
        <w:rPr>
          <w:rFonts w:cs="Calibri"/>
        </w:rPr>
        <w:t xml:space="preserve"> this model has been heavily critiqued, some researchers are now reframing it with the lens of social media, with the ability to target communities online through targeting advertising and other social media tools </w:t>
      </w:r>
      <w:r>
        <w:fldChar w:fldCharType="begin" w:fldLock="1"/>
      </w:r>
      <w:r w:rsidR="00974B75">
        <w:rPr>
          <w:rFonts w:cs="Calibri"/>
        </w:rPr>
        <w:instrText>ADDIN CSL_CITATION {"citationItems":[{"id":"ITEM-1","itemData":{"DOI":"10.20431/2454-9479.0402001","abstract":"This study examined the relevance of the Magic Bullet theory also called the Hypodermic Needle theory in the digital age. It adopted the qualitative approach is exploring the following objectives - examining the basic tenets of the Magic Bullet Theory, analyzing the arguments against the Magic Bullet theory, and examining the relevance of the Magic Bullet theory in the social media age. The analysis was premised on two key issues which were spread by the social media – the Monkey Pox Killer Vaccine incident of October 2017 and the Salt Water Bath incident of August 2014 during the Ebola Virus Outbreak that year. The study established that the Magic Bullet theory was still relevant today as the audience react in an „actively passive‟ manner to certain media contents. The study found what could be described as the “Zombie Effect” reaction to specific media contents by audience in the digital age, supporting the credence of the magic bullet theory in the digital age. The study recommended further studies on bullet theory using other issues so as to further establish relevance of this theory in the digital age, contrary to postulations that the theory is no longer relevant in contemporary society.","author":[{"dropping-particle":"","family":"Nwabueze","given":"Chinenye","non-dropping-particle":"","parse-names":false,"suffix":""},{"dropping-particle":"","family":"Okonkwo","given":"Ebere","non-dropping-particle":"","parse-names":false,"suffix":""}],"container-title":"International Journal of Media, Journalism and Mass Communications","id":"ITEM-1","issue":"2","issued":{"date-parts":[["2018"]]},"page":"1-10","title":"Rethinking the Bullet Theory in the Digital Age","type":"article-journal","volume":"4"},"uris":["http://www.mendeley.com/documents/?uuid=1da47bc4-8581-4612-a287-e279088741fa"]},{"id":"ITEM-2","itemData":{"DOI":"10.1177/0002716206292266","author":[{"dropping-particle":"","family":"Bennett","given":"W Lance","non-dropping-particle":"","parse-names":false,"suffix":""},{"dropping-particle":"","family":"Manheim","given":"Jarol B.","non-dropping-particle":"","parse-names":false,"suffix":""}],"container-title":"The Annals Of The American Academy","id":"ITEM-2","issue":"1","issued":{"date-parts":[["2006"]]},"page":"213-232","title":"The One-Step Flow of Communication","type":"article-journal","volume":"608"},"uris":["http://www.mendeley.com/documents/?uuid=02f164e4-bf8f-4290-84db-8fe169de7ff5"]},{"id":"ITEM-3","itemData":{"DOI":"10.1177/0894439314556599","author":[{"dropping-particle":"","family":"Choi","given":"Sujin","non-dropping-particle":"","parse-names":false,"suffix":""}],"container-title":"Social Science Computer Review","id":"ITEM-3","issue":"6","issued":{"date-parts":[["2015"]]},"page":"696-711","title":"The Two-Step Flow of Communication in Twitter-Based Public Forums","type":"article-journal","volume":"33"},"uris":["http://www.mendeley.com/documents/?uuid=adcadf9d-f406-423d-9f24-5ca4a0a55e1a"]}],"mendeley":{"formattedCitation":"(Nwabueze &amp; Okonkwo, 2018; Choi, 2015; Bennett &amp; Manheim, 2006)","plainTextFormattedCitation":"(Nwabueze &amp; Okonkwo, 2018; Choi, 2015; Bennett &amp; Manheim, 2006)","previouslyFormattedCitation":"(Nwabueze &amp; Okonkwo, 2018; Choi, 2015; Bennett &amp; Manheim, 2006)"},"properties":{"noteIndex":0},"schema":"https://github.com/citation-style-language/schema/raw/master/csl-citation.json"}</w:instrText>
      </w:r>
      <w:r>
        <w:rPr>
          <w:rFonts w:cs="Calibri"/>
        </w:rPr>
        <w:fldChar w:fldCharType="separate"/>
      </w:r>
      <w:r>
        <w:rPr>
          <w:rFonts w:cs="Calibri"/>
          <w:noProof/>
        </w:rPr>
        <w:t>(Nwabueze &amp; Okonkwo, 2018; Choi, 2015; Bennett &amp; Manheim, 2006)</w:t>
      </w:r>
      <w:r>
        <w:rPr>
          <w:rFonts w:cs="Calibri"/>
        </w:rPr>
        <w:fldChar w:fldCharType="end"/>
      </w:r>
      <w:r>
        <w:rPr>
          <w:rFonts w:cs="Calibri"/>
        </w:rPr>
        <w:t xml:space="preserve">, which may be of relevance to SYFR as organisations often use social media marketing, such as paid advertising. </w:t>
      </w:r>
      <w:r w:rsidR="00616DE0">
        <w:rPr>
          <w:rFonts w:cs="Calibri"/>
        </w:rPr>
        <w:t xml:space="preserve">While the two-step flow tried to resolve some of the flaws of the </w:t>
      </w:r>
      <w:r w:rsidR="00912954">
        <w:rPr>
          <w:rFonts w:cs="Calibri"/>
        </w:rPr>
        <w:t>O</w:t>
      </w:r>
      <w:r w:rsidR="00616DE0">
        <w:rPr>
          <w:rFonts w:cs="Calibri"/>
        </w:rPr>
        <w:t xml:space="preserve">ne-step </w:t>
      </w:r>
      <w:r w:rsidR="00912954">
        <w:rPr>
          <w:rFonts w:cs="Calibri"/>
        </w:rPr>
        <w:t>F</w:t>
      </w:r>
      <w:r w:rsidR="00616DE0">
        <w:rPr>
          <w:rFonts w:cs="Calibri"/>
        </w:rPr>
        <w:t xml:space="preserve">low </w:t>
      </w:r>
      <w:r w:rsidR="00912954">
        <w:rPr>
          <w:rFonts w:cs="Calibri"/>
        </w:rPr>
        <w:t>M</w:t>
      </w:r>
      <w:r w:rsidR="00616DE0">
        <w:rPr>
          <w:rFonts w:cs="Calibri"/>
        </w:rPr>
        <w:t xml:space="preserve">odel, there are also critiques of the two-step </w:t>
      </w:r>
      <w:r w:rsidR="00CB61FC">
        <w:rPr>
          <w:rFonts w:cs="Calibri"/>
        </w:rPr>
        <w:t>flow. This include</w:t>
      </w:r>
      <w:r w:rsidR="001028E7">
        <w:rPr>
          <w:rFonts w:cs="Calibri"/>
        </w:rPr>
        <w:t>s the crqitique</w:t>
      </w:r>
      <w:r w:rsidR="00CB61FC">
        <w:rPr>
          <w:rFonts w:cs="Calibri"/>
        </w:rPr>
        <w:t xml:space="preserve"> that it is an</w:t>
      </w:r>
      <w:r w:rsidR="00616DE0">
        <w:rPr>
          <w:rFonts w:cs="Calibri"/>
        </w:rPr>
        <w:t xml:space="preserve"> oversimplification of communication, overly linear flow of information</w:t>
      </w:r>
      <w:r w:rsidR="00CB61FC">
        <w:rPr>
          <w:rFonts w:cs="Calibri"/>
        </w:rPr>
        <w:t xml:space="preserve"> and doesn’t factor in participation</w:t>
      </w:r>
      <w:r w:rsidR="00616DE0">
        <w:rPr>
          <w:rFonts w:cs="Calibri"/>
        </w:rPr>
        <w:t xml:space="preserve"> </w:t>
      </w:r>
      <w:r w:rsidR="00CB61FC">
        <w:rPr>
          <w:rFonts w:cs="Calibri"/>
        </w:rPr>
        <w:fldChar w:fldCharType="begin" w:fldLock="1"/>
      </w:r>
      <w:r w:rsidR="00517C5A">
        <w:rPr>
          <w:rFonts w:cs="Calibri"/>
        </w:rPr>
        <w:instrText>ADDIN CSL_CITATION {"citationItems":[{"id":"ITEM-1","itemData":{"DOI":"10.1177/0894439314556599","author":[{"dropping-particle":"","family":"Choi","given":"Sujin","non-dropping-particle":"","parse-names":false,"suffix":""}],"container-title":"Social Science Computer Review","id":"ITEM-1","issue":"6","issued":{"date-parts":[["2015"]]},"page":"696-711","title":"The Two-Step Flow of Communication in Twitter-Based Public Forums","type":"article-journal","volume":"33"},"uris":["http://www.mendeley.com/documents/?uuid=adcadf9d-f406-423d-9f24-5ca4a0a55e1a"]},{"id":"ITEM-2","itemData":{"DOI":"10.1080/1553118X.2018.1452240","ISSN":"15531198","abstract":"This article addresses the concept of “communication” in strategic communication, and proposes a new lens through which to view communication in order to deepen knowledge of strategic communication, as well as to significantly improve the alignment of strategic communication with the demands of today’s strategy development process. Looking at modern strategy theory, this article focuses on communication theory as an ongoing process of meaning construction. It posits that communication is a process that is interactive by nature and participatory at all levels. This process is not necessarily two-way but omnidirectional diachronic, with an emphasis on the external and internal arenas of continuous meaning presentations, negotiations, and constructions. Strategic communication, therefore, needs to be conceptualized as an agile management process in which the focus is on feeding these arenas for strategy building and implementation, and on testing strategic decisions by presenting and negotiating these in a continuous loop.","author":[{"dropping-particle":"","family":"Ruler","given":"Betteke","non-dropping-particle":"van","parse-names":false,"suffix":""}],"container-title":"International Journal of Strategic Communication","id":"ITEM-2","issue":"4","issued":{"date-parts":[["2018"]]},"page":"367-381","publisher":"Routledge","title":"Communication Theory: An Underrated Pillar on Which Strategic Communication Rests","type":"article-journal","volume":"12"},"uris":["http://www.mendeley.com/documents/?uuid=8803fbb7-8e9b-4714-a499-454d86e6e1e4"]}],"mendeley":{"formattedCitation":"(van Ruler, 2018; Choi, 2015)","plainTextFormattedCitation":"(van Ruler, 2018; Choi, 2015)","previouslyFormattedCitation":"(van Ruler, 2018; Choi, 2015)"},"properties":{"noteIndex":0},"schema":"https://github.com/citation-style-language/schema/raw/master/csl-citation.json"}</w:instrText>
      </w:r>
      <w:r w:rsidR="00CB61FC">
        <w:rPr>
          <w:rFonts w:cs="Calibri"/>
        </w:rPr>
        <w:fldChar w:fldCharType="separate"/>
      </w:r>
      <w:r w:rsidR="00CB61FC" w:rsidRPr="00CB61FC">
        <w:rPr>
          <w:rFonts w:cs="Calibri"/>
          <w:noProof/>
        </w:rPr>
        <w:t>(van Ruler, 2018; Choi, 2015)</w:t>
      </w:r>
      <w:r w:rsidR="00CB61FC">
        <w:rPr>
          <w:rFonts w:cs="Calibri"/>
        </w:rPr>
        <w:fldChar w:fldCharType="end"/>
      </w:r>
      <w:r w:rsidR="00616DE0">
        <w:rPr>
          <w:rFonts w:cs="Calibri"/>
        </w:rPr>
        <w:t xml:space="preserve">. </w:t>
      </w:r>
      <w:r w:rsidR="00CB61FC">
        <w:rPr>
          <w:rFonts w:cs="Calibri"/>
        </w:rPr>
        <w:t xml:space="preserve">This suggests the importance of active engagement for all parties involved in the communication, which will be discussed in greater detail in the </w:t>
      </w:r>
      <w:r w:rsidR="00517C5A">
        <w:rPr>
          <w:rFonts w:cs="Calibri"/>
        </w:rPr>
        <w:t xml:space="preserve">following section on the </w:t>
      </w:r>
      <w:r w:rsidR="00912954">
        <w:rPr>
          <w:rFonts w:cs="Calibri"/>
        </w:rPr>
        <w:t>D</w:t>
      </w:r>
      <w:r w:rsidR="00517C5A">
        <w:rPr>
          <w:rFonts w:cs="Calibri"/>
        </w:rPr>
        <w:t xml:space="preserve">eficit </w:t>
      </w:r>
      <w:r w:rsidR="00912954">
        <w:rPr>
          <w:rFonts w:cs="Calibri"/>
        </w:rPr>
        <w:t>M</w:t>
      </w:r>
      <w:r w:rsidR="00517C5A">
        <w:rPr>
          <w:rFonts w:cs="Calibri"/>
        </w:rPr>
        <w:t>odel</w:t>
      </w:r>
      <w:r w:rsidR="00CB61FC">
        <w:rPr>
          <w:rFonts w:cs="Calibri"/>
        </w:rPr>
        <w:t xml:space="preserve">. </w:t>
      </w:r>
    </w:p>
    <w:p w14:paraId="3F89A9A2" w14:textId="77777777" w:rsidR="00787F73" w:rsidRDefault="00787F73" w:rsidP="00866155">
      <w:pPr>
        <w:contextualSpacing/>
        <w:rPr>
          <w:rFonts w:cs="Calibri"/>
        </w:rPr>
      </w:pPr>
    </w:p>
    <w:p w14:paraId="215F1F12" w14:textId="32D9CABB" w:rsidR="00787F73" w:rsidRDefault="00742FB7" w:rsidP="00C64169">
      <w:pPr>
        <w:contextualSpacing/>
      </w:pPr>
      <w:r>
        <w:rPr>
          <w:rFonts w:cs="Calibri"/>
        </w:rPr>
        <w:t xml:space="preserve">Two-step and </w:t>
      </w:r>
      <w:r w:rsidR="00912954">
        <w:rPr>
          <w:rFonts w:cs="Calibri"/>
        </w:rPr>
        <w:t>O</w:t>
      </w:r>
      <w:r w:rsidR="004F7B90">
        <w:rPr>
          <w:rFonts w:cs="Calibri"/>
        </w:rPr>
        <w:t>ne</w:t>
      </w:r>
      <w:r>
        <w:rPr>
          <w:rFonts w:cs="Calibri"/>
        </w:rPr>
        <w:t xml:space="preserve">-step </w:t>
      </w:r>
      <w:r w:rsidR="00912954">
        <w:rPr>
          <w:rFonts w:cs="Calibri"/>
        </w:rPr>
        <w:t>F</w:t>
      </w:r>
      <w:r>
        <w:rPr>
          <w:rFonts w:cs="Calibri"/>
        </w:rPr>
        <w:t xml:space="preserve">lows are clear ways of explaining the flow of information from a source to a receiver, and provide a normative view of communication and a sense of </w:t>
      </w:r>
      <w:r>
        <w:rPr>
          <w:rFonts w:cs="Calibri"/>
        </w:rPr>
        <w:lastRenderedPageBreak/>
        <w:t xml:space="preserve">objective reality </w:t>
      </w:r>
      <w:r>
        <w:fldChar w:fldCharType="begin" w:fldLock="1"/>
      </w:r>
      <w:r w:rsidR="00974B75">
        <w:rPr>
          <w:rFonts w:cs="Calibri"/>
        </w:rPr>
        <w:instrText>ADDIN CSL_CITATION {"citationItems":[{"id":"ITEM-1","itemData":{"DOI":"10.1177/0002716206292266","author":[{"dropping-particle":"","family":"Bennett","given":"W Lance","non-dropping-particle":"","parse-names":false,"suffix":""},{"dropping-particle":"","family":"Manheim","given":"Jarol B.","non-dropping-particle":"","parse-names":false,"suffix":""}],"container-title":"The Annals Of The American Academy","id":"ITEM-1","issue":"1","issued":{"date-parts":[["2006"]]},"page":"213-232","title":"The One-Step Flow of Communication","type":"article-journal","volume":"608"},"uris":["http://www.mendeley.com/documents/?uuid=02f164e4-bf8f-4290-84db-8fe169de7ff5"]}],"mendeley":{"formattedCitation":"(Bennett &amp; Manheim, 2006)","plainTextFormattedCitation":"(Bennett &amp; Manheim, 2006)","previouslyFormattedCitation":"(Bennett &amp; Manheim, 2006)"},"properties":{"noteIndex":0},"schema":"https://github.com/citation-style-language/schema/raw/master/csl-citation.json"}</w:instrText>
      </w:r>
      <w:r>
        <w:rPr>
          <w:rFonts w:cs="Calibri"/>
        </w:rPr>
        <w:fldChar w:fldCharType="separate"/>
      </w:r>
      <w:r>
        <w:rPr>
          <w:rFonts w:cs="Calibri"/>
          <w:noProof/>
        </w:rPr>
        <w:t>(Bennett &amp; Manheim, 2006)</w:t>
      </w:r>
      <w:r>
        <w:rPr>
          <w:rFonts w:cs="Calibri"/>
        </w:rPr>
        <w:fldChar w:fldCharType="end"/>
      </w:r>
      <w:r>
        <w:rPr>
          <w:rFonts w:cs="Calibri"/>
        </w:rPr>
        <w:t xml:space="preserve">. Within theory development, there is often a binary acceptance of different models, however, one may suggest that communication is not as simple as focusing on one </w:t>
      </w:r>
      <w:r>
        <w:rPr>
          <w:rFonts w:cs="Calibri"/>
          <w:i/>
          <w:iCs/>
        </w:rPr>
        <w:t>type</w:t>
      </w:r>
      <w:r>
        <w:rPr>
          <w:rFonts w:cs="Calibri"/>
        </w:rPr>
        <w:t xml:space="preserve"> of communication. Research suggests that within social media networks there can be a mixture of </w:t>
      </w:r>
      <w:r>
        <w:rPr>
          <w:rFonts w:cs="Calibri"/>
          <w:i/>
          <w:iCs/>
        </w:rPr>
        <w:t>One Step</w:t>
      </w:r>
      <w:r>
        <w:rPr>
          <w:rFonts w:cs="Calibri"/>
        </w:rPr>
        <w:t>, T</w:t>
      </w:r>
      <w:r>
        <w:rPr>
          <w:rFonts w:cs="Calibri"/>
          <w:i/>
          <w:iCs/>
        </w:rPr>
        <w:t>wo-Step</w:t>
      </w:r>
      <w:r>
        <w:rPr>
          <w:rFonts w:cs="Calibri"/>
        </w:rPr>
        <w:t xml:space="preserve"> and more complex network flows </w:t>
      </w:r>
      <w:r>
        <w:fldChar w:fldCharType="begin" w:fldLock="1"/>
      </w:r>
      <w:r>
        <w:rPr>
          <w:rFonts w:cs="Calibri"/>
        </w:rPr>
        <w:instrText>ADDIN CSL_CITATION {"citationItems":[{"id":"ITEM-1","itemData":{"DOI":"10.1177/0894439316639561","ISBN":"0894439316","author":[{"dropping-particle":"","family":"Hilbert","given":"Martin","non-dropping-particle":"","parse-names":false,"suffix":""},{"dropping-particle":"","family":"Vasquez","given":"Javier","non-dropping-particle":"","parse-names":false,"suffix":""},{"dropping-particle":"","family":"Halpern","given":"Daniel","non-dropping-particle":"","parse-names":false,"suffix":""},{"dropping-particle":"","family":"Valenzuela","given":"Sebastian","non-dropping-particle":"","parse-names":false,"suffix":""},{"dropping-particle":"","family":"Arriagada","given":"Eduardo","non-dropping-particle":"","parse-names":false,"suffix":""}],"container-title":"Social Science Computer Review","id":"ITEM-1","issue":"4","issued":{"date-parts":[["2017"]]},"page":"444-461","title":"One Step , Two Step , Network Step? Complementary Perspectives on Communication Flows in Twittered Citizen Protests","type":"article-journal","volume":"35"},"uris":["http://www.mendeley.com/documents/?uuid=7e554358-c6b5-4cac-a7f1-6593bb1900c9"]}],"mendeley":{"formattedCitation":"(Hilbert et al., 2017)","plainTextFormattedCitation":"(Hilbert et al., 2017)","previouslyFormattedCitation":"(Hilbert et al., 2017)"},"properties":{"noteIndex":0},"schema":"https://github.com/citation-style-language/schema/raw/master/csl-citation.json"}</w:instrText>
      </w:r>
      <w:r>
        <w:rPr>
          <w:rFonts w:cs="Calibri"/>
        </w:rPr>
        <w:fldChar w:fldCharType="separate"/>
      </w:r>
      <w:r>
        <w:rPr>
          <w:rFonts w:cs="Calibri"/>
          <w:noProof/>
        </w:rPr>
        <w:t>(Hilbert et al., 2017)</w:t>
      </w:r>
      <w:r>
        <w:rPr>
          <w:rFonts w:cs="Calibri"/>
        </w:rPr>
        <w:fldChar w:fldCharType="end"/>
      </w:r>
      <w:r w:rsidR="00C64169">
        <w:rPr>
          <w:rFonts w:cs="Calibri"/>
        </w:rPr>
        <w:t xml:space="preserve">. </w:t>
      </w:r>
      <w:r w:rsidR="00C64169">
        <w:t>These models</w:t>
      </w:r>
      <w:r>
        <w:rPr>
          <w:rFonts w:cs="Calibri"/>
        </w:rPr>
        <w:t xml:space="preserve"> focus on general communication, however, there are many different types of communication. Communication theory has subsequently been divided into different literatures focusing on different styles and reasons for messaging. This project focus</w:t>
      </w:r>
      <w:r w:rsidR="009727AC">
        <w:rPr>
          <w:rFonts w:cs="Calibri"/>
        </w:rPr>
        <w:t>es</w:t>
      </w:r>
      <w:r>
        <w:rPr>
          <w:rFonts w:cs="Calibri"/>
        </w:rPr>
        <w:t xml:space="preserve"> on how SYFR can communicate with their surrounding communities to create, develop, or foster a sense of community disaster resilience, as such there needs to be an understanding about how the threats and risks of disasters may be communicated. This can be done with the </w:t>
      </w:r>
      <w:r w:rsidR="00912954">
        <w:rPr>
          <w:rFonts w:cs="Calibri"/>
        </w:rPr>
        <w:t>D</w:t>
      </w:r>
      <w:r w:rsidR="004F7B90">
        <w:rPr>
          <w:rFonts w:cs="Calibri"/>
        </w:rPr>
        <w:t xml:space="preserve">eficit </w:t>
      </w:r>
      <w:r w:rsidR="00912954">
        <w:rPr>
          <w:rFonts w:cs="Calibri"/>
        </w:rPr>
        <w:t>M</w:t>
      </w:r>
      <w:r w:rsidR="004F7B90">
        <w:rPr>
          <w:rFonts w:cs="Calibri"/>
        </w:rPr>
        <w:t>odel</w:t>
      </w:r>
      <w:r>
        <w:rPr>
          <w:rFonts w:cs="Calibri"/>
        </w:rPr>
        <w:t>.</w:t>
      </w:r>
    </w:p>
    <w:p w14:paraId="5937C556" w14:textId="77777777" w:rsidR="00787F73" w:rsidRDefault="00787F73" w:rsidP="00866155">
      <w:pPr>
        <w:contextualSpacing/>
        <w:rPr>
          <w:rFonts w:cs="Calibri"/>
        </w:rPr>
      </w:pPr>
    </w:p>
    <w:p w14:paraId="4B9A5F3D" w14:textId="68434897" w:rsidR="00787F73" w:rsidRDefault="00742FB7" w:rsidP="00866155">
      <w:pPr>
        <w:pStyle w:val="Heading5"/>
        <w:spacing w:line="360" w:lineRule="auto"/>
      </w:pPr>
      <w:bookmarkStart w:id="198" w:name="_Toc93410806"/>
      <w:bookmarkStart w:id="199" w:name="_Toc139645576"/>
      <w:bookmarkStart w:id="200" w:name="_Toc98148306"/>
      <w:bookmarkStart w:id="201" w:name="_Toc139636621"/>
      <w:bookmarkStart w:id="202" w:name="_Toc67579745"/>
      <w:r>
        <w:rPr>
          <w:rFonts w:ascii="Calibri" w:hAnsi="Calibri" w:cs="Calibri"/>
        </w:rPr>
        <w:t xml:space="preserve">Deficit </w:t>
      </w:r>
      <w:bookmarkEnd w:id="198"/>
      <w:bookmarkEnd w:id="199"/>
      <w:bookmarkEnd w:id="200"/>
      <w:bookmarkEnd w:id="201"/>
      <w:bookmarkEnd w:id="202"/>
      <w:r w:rsidR="00912954">
        <w:rPr>
          <w:rFonts w:ascii="Calibri" w:hAnsi="Calibri" w:cs="Calibri"/>
        </w:rPr>
        <w:t>M</w:t>
      </w:r>
      <w:r w:rsidR="004F7B90">
        <w:rPr>
          <w:rFonts w:ascii="Calibri" w:hAnsi="Calibri" w:cs="Calibri"/>
        </w:rPr>
        <w:t>odel</w:t>
      </w:r>
    </w:p>
    <w:p w14:paraId="27C3E898" w14:textId="053D4142" w:rsidR="00787F73" w:rsidRDefault="00742FB7" w:rsidP="00866155">
      <w:pPr>
        <w:contextualSpacing/>
        <w:rPr>
          <w:rFonts w:cs="Calibri"/>
        </w:rPr>
      </w:pPr>
      <w:r>
        <w:rPr>
          <w:rFonts w:cs="Calibri"/>
        </w:rPr>
        <w:t xml:space="preserve">One of the traditional models of risk communication is known as the </w:t>
      </w:r>
      <w:r w:rsidR="00912954">
        <w:rPr>
          <w:rFonts w:cs="Calibri"/>
        </w:rPr>
        <w:t>D</w:t>
      </w:r>
      <w:r>
        <w:rPr>
          <w:rFonts w:cs="Calibri"/>
        </w:rPr>
        <w:t xml:space="preserve">eficit </w:t>
      </w:r>
      <w:r w:rsidR="00912954">
        <w:rPr>
          <w:rFonts w:cs="Calibri"/>
        </w:rPr>
        <w:t>M</w:t>
      </w:r>
      <w:r w:rsidR="004F7B90">
        <w:rPr>
          <w:rFonts w:cs="Calibri"/>
        </w:rPr>
        <w:t>odel</w:t>
      </w:r>
      <w:r w:rsidR="00D41D72">
        <w:rPr>
          <w:rFonts w:cs="Calibri"/>
        </w:rPr>
        <w:t>.</w:t>
      </w:r>
      <w:r>
        <w:rPr>
          <w:rFonts w:cs="Calibri"/>
        </w:rPr>
        <w:t xml:space="preserve"> </w:t>
      </w:r>
      <w:r w:rsidR="00D41D72">
        <w:rPr>
          <w:rFonts w:cs="Calibri"/>
        </w:rPr>
        <w:t xml:space="preserve">It </w:t>
      </w:r>
      <w:r>
        <w:rPr>
          <w:rFonts w:cs="Calibri"/>
        </w:rPr>
        <w:t xml:space="preserve">has often been used within disaster risk reduction (DRR) communication, making it a relevant communication model to examine in relation to SYFR. </w:t>
      </w:r>
      <w:r w:rsidR="00D41D72">
        <w:rPr>
          <w:rFonts w:cs="Calibri"/>
        </w:rPr>
        <w:t xml:space="preserve">It </w:t>
      </w:r>
      <w:r>
        <w:rPr>
          <w:rFonts w:cs="Calibri"/>
        </w:rPr>
        <w:t>is based on the idea that the public are lacking risk information</w:t>
      </w:r>
      <w:r w:rsidR="00D41D72">
        <w:rPr>
          <w:rFonts w:cs="Calibri"/>
        </w:rPr>
        <w:t>,</w:t>
      </w:r>
      <w:r>
        <w:rPr>
          <w:rFonts w:cs="Calibri"/>
        </w:rPr>
        <w:t xml:space="preserve"> and that when they have it, they will act to implement mitigation strategies and plans </w:t>
      </w:r>
      <w:r>
        <w:fldChar w:fldCharType="begin" w:fldLock="1"/>
      </w:r>
      <w:bookmarkStart w:id="203" w:name="_Hlk152683707"/>
      <w:r w:rsidR="00974B75">
        <w:rPr>
          <w:rFonts w:cs="Calibri"/>
        </w:rPr>
        <w:instrText>ADDIN CSL_CITATION {"citationItems":[{"id":"ITEM-1","itemData":{"DOI":"10.1016/j.proeng.2018.01.032","ISSN":"18777058","abstract":"The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Engineering","id":"ITEM-1","issued":{"date-parts":[["2018"]]},"page":"246-253","publisher":"Elsevier B.V.","title":"Conceptual Framework for Motivating Actions towards Disaster Preparedness Through Risk Communication","type":"article-journal","volume":"212"},"uris":["http://www.mendeley.com/documents/?uuid=01e245d0-867b-47cd-8164-80d2bc1d7862"]},{"id":"ITEM-2","itemData":{"DOI":"10.1016/j.gloenvcha.2019.03.001","ISSN":"09593780","abstract":"'Participation with publics' has been embraced in both government and academic literatures as a necessary but currently unrealized means of governing socio-environmental challenges. This near-universal embrace carries global significance. Long-standing efforts in the context of disaster risk reduction (DRR) provide an opportunity to consider how experts have positioned participation such that it can only fail to empower publics. Using interviews with risk managers, we demonstrate that they impose boundaries on participation via application of a deficit model (DM). Despite continuous calls to make governance more participatory, we explore how the boundaries imposed on participation persist because of how experts are expected to do risk management, and how experts understand their occupations. As a result, meaningful publics-experts interactions are bounded into impossibility. Following demonstration of the DM as the essence of how experts conceive experts-publics interactions, using experts' own suggestions for improving risk reduction, we suggest relationship building as a way of reinvigorating participation. We explore how disaster risk reduction grounded in relationships could overcome existing boundaries, offering an easily-applied reconceptualization for differentiating meaningful from superficial participation, as well as a viable alternative to prevailing participatory methods. Given the intransigence of countless socio-environmental challenges and the need for improved interactions amongst experts-publics, the findings offer a novel pathway that may open an avenue to realizing the promise of participation.","author":[{"dropping-particle":"","family":"Cook","given":"Brian R.","non-dropping-particle":"","parse-names":false,"suffix":""},{"dropping-particle":"","family":"Melo Zurita","given":"Maria de Lourdes","non-dropping-particle":"","parse-names":false,"suffix":""}],"container-title":"Global Environmental Change","id":"ITEM-2","issue":"May","issued":{"date-parts":[["2019"]]},"page":"56-65","publisher":"Elsevier Ltd","title":"Fulfilling the promise of participation by not resuscitating the deficit model","type":"article-journal","volume":"56"},"uris":["http://www.mendeley.com/documents/?uuid=de577b06-4442-4293-9291-43a20bc460b6"]},{"id":"ITEM-3","itemData":{"DOI":"10.1080/13669877.2020.1756385","ISSN":"14664461","abstract":"The emergence of the 2019 novel coronavirus has led to more than a pandemic—indeed, COVID-19 is spawning myriad other concerns as it rapidly marches around the globe. One of these concerns is a surge of misinformation, which we argue should be viewed as a risk in its own right, and to which insights from decades of risk communication research must be applied. Further, when the subject of misinformation is itself a risk, as in the case of COVID-19, we argue for the utility of viewing the problem as a multi-layered risk communication problem. In such circumstances, misinformation functions as a meta-risk that interacts with and complicates publics’ perceptions of the original risk. Therefore, as the COVID-19 “misinfodemic” intensifies, risk communication research should inform the efforts of key risk communicators. To this end, we discuss the implications of risk research for efforts to fact-check COVID-19 misinformation and offer practical recommendations.","author":[{"dropping-particle":"","family":"Krause","given":"Nicole M.","non-dropping-particle":"","parse-names":false,"suffix":""},{"dropping-particle":"","family":"Freiling","given":"Isabelle","non-dropping-particle":"","parse-names":false,"suffix":""},{"dropping-particle":"","family":"Beets","given":"Becca","non-dropping-particle":"","parse-names":false,"suffix":""},{"dropping-particle":"","family":"Brossard","given":"Dominique","non-dropping-particle":"","parse-names":false,"suffix":""}],"container-title":"Journal of Risk Research","id":"ITEM-3","issue":"7-8","issued":{"date-parts":[["2020"]]},"page":"1052-1059","publisher":"Routledge","title":"Fact-checking as risk communication: the multi-layered risk of misinformation in times of COVID-19","type":"article-journal","volume":"23"},"uris":["http://www.mendeley.com/documents/?uuid=26d3c928-b5da-4496-be25-28ce98d4ef48"]}],"mendeley":{"formattedCitation":"(Krause et al., 2020; Cook &amp; Melo Zurita, 2019; Abunyewah, Gajendran, &amp; Maund, 2018)","plainTextFormattedCitation":"(Krause et al., 2020; Cook &amp; Melo Zurita, 2019; Abunyewah, Gajendran, &amp; Maund, 2018)","previouslyFormattedCitation":"(Krause et al., 2020; Cook &amp; Melo Zurita, 2019; Abunyewah, Gajendran, &amp; Maund, 2018)"},"properties":{"noteIndex":0},"schema":"https://github.com/citation-style-language/schema/raw/master/csl-citation.json"}</w:instrText>
      </w:r>
      <w:r>
        <w:rPr>
          <w:rFonts w:cs="Calibri"/>
        </w:rPr>
        <w:fldChar w:fldCharType="separate"/>
      </w:r>
      <w:r>
        <w:rPr>
          <w:rFonts w:cs="Calibri"/>
          <w:noProof/>
        </w:rPr>
        <w:t>(Krause et al., 2020; Cook &amp; Melo Zurita, 2019; Abunyewah, Gajendran, &amp; Maund, 2018)</w:t>
      </w:r>
      <w:r>
        <w:rPr>
          <w:rFonts w:cs="Calibri"/>
        </w:rPr>
        <w:fldChar w:fldCharType="end"/>
      </w:r>
      <w:bookmarkEnd w:id="203"/>
      <w:r>
        <w:rPr>
          <w:rFonts w:cs="Calibri"/>
        </w:rPr>
        <w:t xml:space="preserve">. This places the emphasis of risk communication on those in positions of power or authority and on their role to convey complex scientific information to the general public </w:t>
      </w:r>
      <w:r>
        <w:fldChar w:fldCharType="begin" w:fldLock="1"/>
      </w:r>
      <w:r w:rsidR="00974B75">
        <w:rPr>
          <w:rFonts w:cs="Calibri"/>
        </w:rPr>
        <w:instrText>ADDIN CSL_CITATION {"citationItems":[{"id":"ITEM-1","itemData":{"DOI":"10.1016/j.proeng.2018.01.032","ISSN":"18777058","abstract":"The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Engineering","id":"ITEM-1","issued":{"date-parts":[["2018"]]},"page":"246-253","publisher":"Elsevier B.V.","title":"Conceptual Framework for Motivating Actions towards Disaster Preparedness Through Risk Communication","type":"article-journal","volume":"212"},"uris":["http://www.mendeley.com/documents/?uuid=01e245d0-867b-47cd-8164-80d2bc1d7862"]},{"id":"ITEM-2","itemData":{"DOI":"10.1016/j.gloenvcha.2019.03.001","ISSN":"09593780","abstract":"'Participation with publics' has been embraced in both government and academic literatures as a necessary but currently unrealized means of governing socio-environmental challenges. This near-universal embrace carries global significance. Long-standing efforts in the context of disaster risk reduction (DRR) provide an opportunity to consider how experts have positioned participation such that it can only fail to empower publics. Using interviews with risk managers, we demonstrate that they impose boundaries on participation via application of a deficit model (DM). Despite continuous calls to make governance more participatory, we explore how the boundaries imposed on participation persist because of how experts are expected to do risk management, and how experts understand their occupations. As a result, meaningful publics-experts interactions are bounded into impossibility. Following demonstration of the DM as the essence of how experts conceive experts-publics interactions, using experts' own suggestions for improving risk reduction, we suggest relationship building as a way of reinvigorating participation. We explore how disaster risk reduction grounded in relationships could overcome existing boundaries, offering an easily-applied reconceptualization for differentiating meaningful from superficial participation, as well as a viable alternative to prevailing participatory methods. Given the intransigence of countless socio-environmental challenges and the need for improved interactions amongst experts-publics, the findings offer a novel pathway that may open an avenue to realizing the promise of participation.","author":[{"dropping-particle":"","family":"Cook","given":"Brian R.","non-dropping-particle":"","parse-names":false,"suffix":""},{"dropping-particle":"","family":"Melo Zurita","given":"Maria de Lourdes","non-dropping-particle":"","parse-names":false,"suffix":""}],"container-title":"Global Environmental Change","id":"ITEM-2","issue":"May","issued":{"date-parts":[["2019"]]},"page":"56-65","publisher":"Elsevier Ltd","title":"Fulfilling the promise of participation by not resuscitating the deficit model","type":"article-journal","volume":"56"},"uris":["http://www.mendeley.com/documents/?uuid=de577b06-4442-4293-9291-43a20bc460b6"]}],"mendeley":{"formattedCitation":"(Cook &amp; Melo Zurita, 2019; Abunyewah, Gajendran, &amp; Maund, 2018)","plainTextFormattedCitation":"(Cook &amp; Melo Zurita, 2019; Abunyewah, Gajendran, &amp; Maund, 2018)","previouslyFormattedCitation":"(Cook &amp; Melo Zurita, 2019; Abunyewah, Gajendran, &amp; Maund, 2018)"},"properties":{"noteIndex":0},"schema":"https://github.com/citation-style-language/schema/raw/master/csl-citation.json"}</w:instrText>
      </w:r>
      <w:r>
        <w:rPr>
          <w:rFonts w:cs="Calibri"/>
        </w:rPr>
        <w:fldChar w:fldCharType="separate"/>
      </w:r>
      <w:r>
        <w:rPr>
          <w:rFonts w:cs="Calibri"/>
          <w:noProof/>
        </w:rPr>
        <w:t>(Cook &amp; Melo Zurita, 2019; Abunyewah, Gajendran, &amp; Maund, 2018)</w:t>
      </w:r>
      <w:r>
        <w:rPr>
          <w:rFonts w:cs="Calibri"/>
        </w:rPr>
        <w:fldChar w:fldCharType="end"/>
      </w:r>
      <w:r>
        <w:rPr>
          <w:rFonts w:cs="Calibri"/>
        </w:rPr>
        <w:t xml:space="preserve">. </w:t>
      </w:r>
      <w:r w:rsidR="00401CDA">
        <w:rPr>
          <w:rFonts w:cs="Calibri"/>
        </w:rPr>
        <w:t>T</w:t>
      </w:r>
      <w:r>
        <w:rPr>
          <w:rFonts w:cs="Calibri"/>
        </w:rPr>
        <w:t xml:space="preserve">he </w:t>
      </w:r>
      <w:r w:rsidR="00912954">
        <w:rPr>
          <w:rFonts w:cs="Calibri"/>
        </w:rPr>
        <w:t>D</w:t>
      </w:r>
      <w:r w:rsidR="004F7B90">
        <w:rPr>
          <w:rFonts w:cs="Calibri"/>
        </w:rPr>
        <w:t xml:space="preserve">eficit </w:t>
      </w:r>
      <w:r w:rsidR="00912954">
        <w:rPr>
          <w:rFonts w:cs="Calibri"/>
        </w:rPr>
        <w:t>M</w:t>
      </w:r>
      <w:r w:rsidR="004F7B90">
        <w:rPr>
          <w:rFonts w:cs="Calibri"/>
        </w:rPr>
        <w:t xml:space="preserve">odel </w:t>
      </w:r>
      <w:r>
        <w:rPr>
          <w:rFonts w:cs="Calibri"/>
        </w:rPr>
        <w:t xml:space="preserve">is </w:t>
      </w:r>
      <w:r w:rsidR="00D41D72">
        <w:rPr>
          <w:rFonts w:cs="Calibri"/>
        </w:rPr>
        <w:t>criticised</w:t>
      </w:r>
      <w:r w:rsidR="00517C5A">
        <w:rPr>
          <w:rFonts w:cs="Calibri"/>
        </w:rPr>
        <w:t xml:space="preserve"> for oversimplifying a lack of action and engagement, purely a</w:t>
      </w:r>
      <w:r w:rsidR="00401CDA">
        <w:rPr>
          <w:rFonts w:cs="Calibri"/>
        </w:rPr>
        <w:t xml:space="preserve">s individuals not having the correct information </w:t>
      </w:r>
      <w:r w:rsidR="00517C5A">
        <w:rPr>
          <w:rFonts w:cs="Calibri"/>
        </w:rPr>
        <w:fldChar w:fldCharType="begin" w:fldLock="1"/>
      </w:r>
      <w:r w:rsidR="00051476">
        <w:rPr>
          <w:rFonts w:cs="Calibri"/>
        </w:rPr>
        <w:instrText>ADDIN CSL_CITATION {"citationItems":[{"id":"ITEM-1","itemData":{"DOI":"10.1016/j.proeng.2018.01.032","ISSN":"18777058","abstract":"The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Engineering","id":"ITEM-1","issued":{"date-parts":[["2018"]]},"page":"246-253","publisher":"Elsevier B.V.","title":"Conceptual Framework for Motivating Actions towards Disaster Preparedness Through Risk Communication","type":"article-journal","volume":"212"},"uris":["http://www.mendeley.com/documents/?uuid=01e245d0-867b-47cd-8164-80d2bc1d7862"]}],"mendeley":{"formattedCitation":"(Abunyewah, Gajendran, &amp; Maund, 2018)","plainTextFormattedCitation":"(Abunyewah, Gajendran, &amp; Maund, 2018)","previouslyFormattedCitation":"(Abunyewah, Gajendran, &amp; Maund, 2018)"},"properties":{"noteIndex":0},"schema":"https://github.com/citation-style-language/schema/raw/master/csl-citation.json"}</w:instrText>
      </w:r>
      <w:r w:rsidR="00517C5A">
        <w:rPr>
          <w:rFonts w:cs="Calibri"/>
        </w:rPr>
        <w:fldChar w:fldCharType="separate"/>
      </w:r>
      <w:r w:rsidR="00517C5A" w:rsidRPr="00517C5A">
        <w:rPr>
          <w:rFonts w:cs="Calibri"/>
          <w:noProof/>
        </w:rPr>
        <w:t>(Abunyewah, Gajendran, &amp; Maund, 2018)</w:t>
      </w:r>
      <w:r w:rsidR="00517C5A">
        <w:rPr>
          <w:rFonts w:cs="Calibri"/>
        </w:rPr>
        <w:fldChar w:fldCharType="end"/>
      </w:r>
      <w:r w:rsidR="00401CDA">
        <w:rPr>
          <w:rFonts w:cs="Calibri"/>
        </w:rPr>
        <w:t>. However</w:t>
      </w:r>
      <w:r>
        <w:rPr>
          <w:rFonts w:cs="Calibri"/>
        </w:rPr>
        <w:t>,</w:t>
      </w:r>
      <w:r w:rsidR="00401CDA">
        <w:rPr>
          <w:rFonts w:cs="Calibri"/>
        </w:rPr>
        <w:t xml:space="preserve"> this approach is still present within </w:t>
      </w:r>
      <w:r w:rsidR="00517C5A">
        <w:rPr>
          <w:rFonts w:cs="Calibri"/>
        </w:rPr>
        <w:t>the DRR sector. I</w:t>
      </w:r>
      <w:r>
        <w:rPr>
          <w:rFonts w:cs="Calibri"/>
        </w:rPr>
        <w:t xml:space="preserve">t is presumed to persist within DRR agencies due to the tradition of information transfer and the idea that their authority as practitioners is based within the power of sharing knowledge </w:t>
      </w:r>
      <w:r>
        <w:fldChar w:fldCharType="begin" w:fldLock="1"/>
      </w:r>
      <w:r w:rsidR="00974B75">
        <w:rPr>
          <w:rFonts w:cs="Calibri"/>
        </w:rPr>
        <w:instrText>ADDIN CSL_CITATION {"citationItems":[{"id":"ITEM-1","itemData":{"DOI":"10.1016/j.gloenvcha.2019.03.001","ISSN":"09593780","abstract":"'Participation with publics' has been embraced in both government and academic literatures as a necessary but currently unrealized means of governing socio-environmental challenges. This near-universal embrace carries global significance. Long-standing efforts in the context of disaster risk reduction (DRR) provide an opportunity to consider how experts have positioned participation such that it can only fail to empower publics. Using interviews with risk managers, we demonstrate that they impose boundaries on participation via application of a deficit model (DM). Despite continuous calls to make governance more participatory, we explore how the boundaries imposed on participation persist because of how experts are expected to do risk management, and how experts understand their occupations. As a result, meaningful publics-experts interactions are bounded into impossibility. Following demonstration of the DM as the essence of how experts conceive experts-publics interactions, using experts' own suggestions for improving risk reduction, we suggest relationship building as a way of reinvigorating participation. We explore how disaster risk reduction grounded in relationships could overcome existing boundaries, offering an easily-applied reconceptualization for differentiating meaningful from superficial participation, as well as a viable alternative to prevailing participatory methods. Given the intransigence of countless socio-environmental challenges and the need for improved interactions amongst experts-publics, the findings offer a novel pathway that may open an avenue to realizing the promise of participation.","author":[{"dropping-particle":"","family":"Cook","given":"Brian R.","non-dropping-particle":"","parse-names":false,"suffix":""},{"dropping-particle":"","family":"Melo Zurita","given":"Maria de Lourdes","non-dropping-particle":"","parse-names":false,"suffix":""}],"container-title":"Global Environmental Change","id":"ITEM-1","issue":"May","issued":{"date-parts":[["2019"]]},"page":"56-65","publisher":"Elsevier Ltd","title":"Fulfilling the promise of participation by not resuscitating the deficit model","type":"article-journal","volume":"56"},"uris":["http://www.mendeley.com/documents/?uuid=de577b06-4442-4293-9291-43a20bc460b6"]}],"mendeley":{"formattedCitation":"(Cook &amp; Melo Zurita, 2019)","plainTextFormattedCitation":"(Cook &amp; Melo Zurita, 2019)","previouslyFormattedCitation":"(Cook &amp; Melo Zurita, 2019)"},"properties":{"noteIndex":0},"schema":"https://github.com/citation-style-language/schema/raw/master/csl-citation.json"}</w:instrText>
      </w:r>
      <w:r>
        <w:rPr>
          <w:rFonts w:cs="Calibri"/>
        </w:rPr>
        <w:fldChar w:fldCharType="separate"/>
      </w:r>
      <w:r>
        <w:rPr>
          <w:rFonts w:cs="Calibri"/>
          <w:noProof/>
        </w:rPr>
        <w:t>(Cook &amp; Melo Zurita, 2019)</w:t>
      </w:r>
      <w:r>
        <w:rPr>
          <w:rFonts w:cs="Calibri"/>
        </w:rPr>
        <w:fldChar w:fldCharType="end"/>
      </w:r>
      <w:r>
        <w:rPr>
          <w:rFonts w:cs="Calibri"/>
        </w:rPr>
        <w:t xml:space="preserve">. It could also be viewed as an institutional logic of communication within DRR. The literature indicates that practitioners can move away from the </w:t>
      </w:r>
      <w:r w:rsidR="00912954">
        <w:rPr>
          <w:rFonts w:cs="Calibri"/>
        </w:rPr>
        <w:t>D</w:t>
      </w:r>
      <w:r w:rsidR="004F7B90">
        <w:rPr>
          <w:rFonts w:cs="Calibri"/>
        </w:rPr>
        <w:t xml:space="preserve">eficit </w:t>
      </w:r>
      <w:r w:rsidR="00912954">
        <w:rPr>
          <w:rFonts w:cs="Calibri"/>
        </w:rPr>
        <w:t>M</w:t>
      </w:r>
      <w:r w:rsidR="004F7B90">
        <w:rPr>
          <w:rFonts w:cs="Calibri"/>
        </w:rPr>
        <w:t xml:space="preserve">odel </w:t>
      </w:r>
      <w:r>
        <w:rPr>
          <w:rFonts w:cs="Calibri"/>
        </w:rPr>
        <w:t xml:space="preserve">using participation to develop a two-way flow of information similar to risk consultation </w:t>
      </w:r>
      <w:r>
        <w:fldChar w:fldCharType="begin" w:fldLock="1"/>
      </w:r>
      <w:r w:rsidR="00974B75">
        <w:rPr>
          <w:rFonts w:cs="Calibri"/>
        </w:rPr>
        <w:instrText>ADDIN CSL_CITATION {"citationItems":[{"id":"ITEM-1","itemData":{"DOI":"10.1016/j.ijdrr.2022.103084","ISSN":"22124209","abstract":"We present a scoping review of methods used to elicit individuals' mental models of science or risk. Developing a shared understanding of the science related to risk is crucial for diverse individuals to collaboratively manage disaster consequences. Mental models, or people's psychological representation of how the ‘world works’, present a valuable tool to achieve this. Potential applications range from developing effective risk communication for use in short-warning situations to community co-development of future communication protocols for the co-management of risk. A diverse range of tools, in diverse fields, have thus been developed to elicit these mental models. Forty-four articles were selected via inclusion criteria from 561 found through a systematic search. We identified a wide range of direct and indirect elicitation techniques (concept, cognitive, flow, information world, knowledge, mind, and fuzzy cognitive maps, and decision influence diagrams) and interview-based techniques. Many used multiple elicitation techniques such as free-drawing, interviews, free-listing, sorting tasks, attitudinal surveys, photograph elicitation, metaphor analysis, and mapping software. We identify several challenges when designing elicitation methods, including researcher influence, the importance of external visualization, a lack of evaluation, the role of ‘experts’, and ethical considerations due to the influence of the process itself. We present a preliminary typology for elicitation and analysis and suggest future research should explore methods to assess the evolution of mental models to understand how conceptualisations change through time, experience, or public education programs. These lessons have the potential to benefit both science and disaster risk communication activities, given best practice calls for mutually constructed understanding.","author":[{"dropping-particle":"","family":"Doyle","given":"Emma E.H.","non-dropping-particle":"","parse-names":false,"suffix":""},{"dropping-particle":"","family":"Harrison","given":"Sara E.","non-dropping-particle":"","parse-names":false,"suffix":""},{"dropping-particle":"","family":"Hill","given":"Stephen R.","non-dropping-particle":"","parse-names":false,"suffix":""},{"dropping-particle":"","family":"Williams","given":"Matt","non-dropping-particle":"","parse-names":false,"suffix":""},{"dropping-particle":"","family":"Paton","given":"Douglas","non-dropping-particle":"","parse-names":false,"suffix":""},{"dropping-particle":"","family":"Bostrom","given":"Ann","non-dropping-particle":"","parse-names":false,"suffix":""}],"container-title":"International Journal of Disaster Risk Reduction","id":"ITEM-1","issued":{"date-parts":[["2022"]]},"page":"1 - 23","title":"Eliciting mental models of science and risk for disaster communication: A scoping review of methodologies","type":"article-journal","volume":"77"},"uris":["http://www.mendeley.com/documents/?uuid=d3565a89-f230-4d7e-8038-01121e626bb2"]}],"mendeley":{"formattedCitation":"(Doyle et al., 2022)","plainTextFormattedCitation":"(Doyle et al., 2022)","previouslyFormattedCitation":"(Doyle et al., 2022)"},"properties":{"noteIndex":0},"schema":"https://github.com/citation-style-language/schema/raw/master/csl-citation.json"}</w:instrText>
      </w:r>
      <w:r>
        <w:rPr>
          <w:rFonts w:cs="Calibri"/>
        </w:rPr>
        <w:fldChar w:fldCharType="separate"/>
      </w:r>
      <w:r>
        <w:rPr>
          <w:rFonts w:cs="Calibri"/>
          <w:noProof/>
        </w:rPr>
        <w:t>(Doyle et al., 2022)</w:t>
      </w:r>
      <w:r>
        <w:rPr>
          <w:rFonts w:cs="Calibri"/>
        </w:rPr>
        <w:fldChar w:fldCharType="end"/>
      </w:r>
      <w:r w:rsidR="00D41D72">
        <w:rPr>
          <w:rFonts w:cs="Calibri"/>
        </w:rPr>
        <w:t>.</w:t>
      </w:r>
      <w:r>
        <w:rPr>
          <w:rFonts w:cs="Calibri"/>
        </w:rPr>
        <w:t xml:space="preserve"> </w:t>
      </w:r>
      <w:r w:rsidR="00D41D72">
        <w:rPr>
          <w:rFonts w:cs="Calibri"/>
        </w:rPr>
        <w:t>A</w:t>
      </w:r>
      <w:r>
        <w:rPr>
          <w:rFonts w:cs="Calibri"/>
        </w:rPr>
        <w:t>lthough</w:t>
      </w:r>
      <w:r w:rsidR="00D41D72">
        <w:rPr>
          <w:rFonts w:cs="Calibri"/>
        </w:rPr>
        <w:t>,</w:t>
      </w:r>
      <w:r>
        <w:rPr>
          <w:rFonts w:cs="Calibri"/>
        </w:rPr>
        <w:t xml:space="preserve"> this frequently continues to include themes from the </w:t>
      </w:r>
      <w:r w:rsidR="00912954">
        <w:rPr>
          <w:rFonts w:cs="Calibri"/>
        </w:rPr>
        <w:t>D</w:t>
      </w:r>
      <w:r w:rsidR="004F7B90">
        <w:rPr>
          <w:rFonts w:cs="Calibri"/>
        </w:rPr>
        <w:t xml:space="preserve">eficit </w:t>
      </w:r>
      <w:r w:rsidR="00912954">
        <w:rPr>
          <w:rFonts w:cs="Calibri"/>
        </w:rPr>
        <w:t>M</w:t>
      </w:r>
      <w:r w:rsidR="004F7B90">
        <w:rPr>
          <w:rFonts w:cs="Calibri"/>
        </w:rPr>
        <w:t xml:space="preserve">odel </w:t>
      </w:r>
      <w:r>
        <w:rPr>
          <w:rFonts w:cs="Calibri"/>
        </w:rPr>
        <w:t xml:space="preserve">by simply providing information. The role of participation with communities and practitioners </w:t>
      </w:r>
      <w:r>
        <w:rPr>
          <w:rFonts w:cs="Calibri"/>
        </w:rPr>
        <w:lastRenderedPageBreak/>
        <w:t xml:space="preserve">can be examined using the </w:t>
      </w:r>
      <w:r w:rsidR="00912954">
        <w:rPr>
          <w:rFonts w:cs="Calibri"/>
        </w:rPr>
        <w:t>L</w:t>
      </w:r>
      <w:r w:rsidR="004F7B90">
        <w:rPr>
          <w:rFonts w:cs="Calibri"/>
        </w:rPr>
        <w:t xml:space="preserve">adder </w:t>
      </w:r>
      <w:r>
        <w:rPr>
          <w:rFonts w:cs="Calibri"/>
        </w:rPr>
        <w:t xml:space="preserve">of </w:t>
      </w:r>
      <w:r w:rsidR="00912954">
        <w:rPr>
          <w:rFonts w:cs="Calibri"/>
        </w:rPr>
        <w:t>P</w:t>
      </w:r>
      <w:r w:rsidR="004F7B90">
        <w:rPr>
          <w:rFonts w:cs="Calibri"/>
        </w:rPr>
        <w:t xml:space="preserve">articipation </w:t>
      </w:r>
      <w:r>
        <w:fldChar w:fldCharType="begin" w:fldLock="1"/>
      </w:r>
      <w:r>
        <w:rPr>
          <w:rFonts w:cs="Calibri"/>
        </w:rPr>
        <w:instrText>ADDIN CSL_CITATION {"citationItems":[{"id":"ITEM-1","itemData":{"DOI":"10.1080/01944366908977225","ISBN":"0002-8991","ISSN":"01944363","PMID":"9871","abstract":"Abstract The heated controversy over ?citizen participation,? ?citizen control?, and ?maximum feasible involvement of the poor,? has been waged largely in terms of exacerbated rhetoric and misleading euphemisms. To encourage a more enlightened dialogue, a typology of citizen participation is offered using examples from three federal social programs: urban renewal, anti-poverty, and Model Cities. The typology, which is designed to be provocative, is arranged in a ladder pattern with each rung corresponding to the extent of citizens' power in determining the plan and/or program. Abstract The heated controversy over ?citizen participation,? ?citizen control?, and ?maximum feasible involvement of the poor,? has been waged largely in terms of exacerbated rhetoric and misleading euphemisms. To encourage a more enlightened dialogue, a typology of citizen participation is offered using examples from three federal social programs: urban renewal, anti-poverty, and Model Cities. The typology, which is designed to be provocative, is arranged in a ladder pattern with each rung corresponding to the extent of citizens' power in determining the plan and/or program.","author":[{"dropping-particle":"","family":"Arnstein","given":"Sherry R.","non-dropping-particle":"","parse-names":false,"suffix":""}],"container-title":"Journal of the American Institute of Planners","id":"ITEM-1","issue":"4","issued":{"date-parts":[["1969"]]},"page":"216-224","title":"A Ladder Of Citizen Participation","type":"article-journal","volume":"35"},"uris":["http://www.mendeley.com/documents/?uuid=722d0a20-1906-4f55-980c-d7ca16560fd6"]}],"mendeley":{"formattedCitation":"(Arnstein, 1969)","plainTextFormattedCitation":"(Arnstein, 1969)","previouslyFormattedCitation":"(Arnstein, 1969)"},"properties":{"noteIndex":0},"schema":"https://github.com/citation-style-language/schema/raw/master/csl-citation.json"}</w:instrText>
      </w:r>
      <w:r>
        <w:rPr>
          <w:rFonts w:cs="Calibri"/>
        </w:rPr>
        <w:fldChar w:fldCharType="separate"/>
      </w:r>
      <w:r>
        <w:rPr>
          <w:rFonts w:cs="Calibri"/>
          <w:noProof/>
        </w:rPr>
        <w:t>(Arnstein, 1969)</w:t>
      </w:r>
      <w:r>
        <w:rPr>
          <w:rFonts w:cs="Calibri"/>
        </w:rPr>
        <w:fldChar w:fldCharType="end"/>
      </w:r>
      <w:r>
        <w:rPr>
          <w:rFonts w:cs="Calibri"/>
        </w:rPr>
        <w:t xml:space="preserve"> and the varying levels of power sharing associated with each step. The Ladder of Participation explains the varying ways that organisations can include or engage individual and groups within their work, with the lower rungs of the ladder describing non-participation, the middle rungs of the ladder describing tokenism, which is where the </w:t>
      </w:r>
      <w:r w:rsidR="00912954">
        <w:rPr>
          <w:rFonts w:cs="Calibri"/>
        </w:rPr>
        <w:t>D</w:t>
      </w:r>
      <w:r w:rsidR="004F7B90">
        <w:rPr>
          <w:rFonts w:cs="Calibri"/>
        </w:rPr>
        <w:t xml:space="preserve">eficit </w:t>
      </w:r>
      <w:r w:rsidR="00912954">
        <w:rPr>
          <w:rFonts w:cs="Calibri"/>
        </w:rPr>
        <w:t>M</w:t>
      </w:r>
      <w:r w:rsidR="004F7B90">
        <w:rPr>
          <w:rFonts w:cs="Calibri"/>
        </w:rPr>
        <w:t xml:space="preserve">odel </w:t>
      </w:r>
      <w:r>
        <w:rPr>
          <w:rFonts w:cs="Calibri"/>
        </w:rPr>
        <w:t xml:space="preserve">sits with </w:t>
      </w:r>
      <w:r>
        <w:rPr>
          <w:rFonts w:cs="Calibri"/>
          <w:i/>
          <w:iCs/>
        </w:rPr>
        <w:t>informing</w:t>
      </w:r>
      <w:r>
        <w:rPr>
          <w:rFonts w:cs="Calibri"/>
        </w:rPr>
        <w:t xml:space="preserve">, and the higher rungs of the ladder suggesting citizen power (as seen in Figure 5) </w:t>
      </w:r>
      <w:r>
        <w:fldChar w:fldCharType="begin" w:fldLock="1"/>
      </w:r>
      <w:r>
        <w:rPr>
          <w:rFonts w:cs="Calibri"/>
        </w:rPr>
        <w:instrText>ADDIN CSL_CITATION {"citationItems":[{"id":"ITEM-1","itemData":{"DOI":"10.1080/01944366908977225","ISBN":"0002-8991","ISSN":"01944363","PMID":"9871","abstract":"Abstract The heated controversy over ?citizen participation,? ?citizen control?, and ?maximum feasible involvement of the poor,? has been waged largely in terms of exacerbated rhetoric and misleading euphemisms. To encourage a more enlightened dialogue, a typology of citizen participation is offered using examples from three federal social programs: urban renewal, anti-poverty, and Model Cities. The typology, which is designed to be provocative, is arranged in a ladder pattern with each rung corresponding to the extent of citizens' power in determining the plan and/or program. Abstract The heated controversy over ?citizen participation,? ?citizen control?, and ?maximum feasible involvement of the poor,? has been waged largely in terms of exacerbated rhetoric and misleading euphemisms. To encourage a more enlightened dialogue, a typology of citizen participation is offered using examples from three federal social programs: urban renewal, anti-poverty, and Model Cities. The typology, which is designed to be provocative, is arranged in a ladder pattern with each rung corresponding to the extent of citizens' power in determining the plan and/or program.","author":[{"dropping-particle":"","family":"Arnstein","given":"Sherry R.","non-dropping-particle":"","parse-names":false,"suffix":""}],"container-title":"Journal of the American Institute of Planners","id":"ITEM-1","issue":"4","issued":{"date-parts":[["1969"]]},"page":"216-224","title":"A Ladder Of Citizen Participation","type":"article-journal","volume":"35"},"uris":["http://www.mendeley.com/documents/?uuid=722d0a20-1906-4f55-980c-d7ca16560fd6"]},{"id":"ITEM-2","itemData":{"DOI":"10.1016/j.cities.2017.02.009","ISBN":"0264-2751","ISSN":"02642751","abstract":"The aim of the article is to present a behavioural model of collaborative urban management. It draws on the discussion about the public engagement in urban management processes. We have been inspired by Sherry Arnstein's participation ladder, and we are using her categories of non-participation, tokenism and citizen power. However, in the course of our research, we came to the conclusion that our model should be extended to include the categories of disorder, awakening, radicalisation, civil disobedience and rebel action. The appearance of this new categories is triggered by recent changes in the socio-political conditions, associate with the fall of communism, decline of civil rights and deeper social changes connected with the ongoing globalization. The first stage of model-building involves distinguishing three basic collaboration actors: the inhabitants, urban movements and local authorities. The second stage is the construction of the scales of activity of the three actors. Finally, at the third stage, we established a coincidence of their behaviour patterns and categorised them into those of disorder, non-participation, tokenism, awakening, citizen power, radicalisation, civil disobedience and rebel action. We also present selected results of empirical research conducted in Poznan.","author":[{"dropping-particle":"","family":"Kotus","given":"Jacek","non-dropping-particle":"","parse-names":false,"suffix":""},{"dropping-particle":"","family":"Sowada","given":"Tomasz","non-dropping-particle":"","parse-names":false,"suffix":""}],"container-title":"Cities","id":"ITEM-2","issued":{"date-parts":[["2017"]]},"page":"78-86","title":"Behavioural model of collaborative urban management: extending the concept of Arnstein's ladder","type":"article-journal","volume":"65"},"uris":["http://www.mendeley.com/documents/?uuid=71541d9c-87a4-45df-ad7b-125b1534a34e"]}],"mendeley":{"formattedCitation":"(Kotus &amp; Sowada, 2017; Arnstein, 1969)","plainTextFormattedCitation":"(Kotus &amp; Sowada, 2017; Arnstein, 1969)","previouslyFormattedCitation":"(Kotus &amp; Sowada, 2017; Arnstein, 1969)"},"properties":{"noteIndex":0},"schema":"https://github.com/citation-style-language/schema/raw/master/csl-citation.json"}</w:instrText>
      </w:r>
      <w:r>
        <w:rPr>
          <w:rFonts w:cs="Calibri"/>
        </w:rPr>
        <w:fldChar w:fldCharType="separate"/>
      </w:r>
      <w:r>
        <w:rPr>
          <w:rFonts w:cs="Calibri"/>
          <w:noProof/>
        </w:rPr>
        <w:t>(Kotus &amp; Sowada, 2017; Arnstein, 1969)</w:t>
      </w:r>
      <w:r>
        <w:rPr>
          <w:rFonts w:cs="Calibri"/>
        </w:rPr>
        <w:fldChar w:fldCharType="end"/>
      </w:r>
      <w:r>
        <w:rPr>
          <w:rFonts w:cs="Calibri"/>
        </w:rPr>
        <w:t>. The Ladder of Participation suggests that by increasing the levels of engagement and participation between organisations and people they are aiming to work with, it will result in a more equal power and therefore more effective communication.</w:t>
      </w:r>
    </w:p>
    <w:p w14:paraId="50D4B68F" w14:textId="77777777" w:rsidR="005B6202" w:rsidRDefault="005B6202" w:rsidP="00866155">
      <w:pPr>
        <w:contextualSpacing/>
      </w:pPr>
    </w:p>
    <w:p w14:paraId="21BEE829" w14:textId="77777777" w:rsidR="00787F73" w:rsidRDefault="00742FB7" w:rsidP="00A0151B">
      <w:pPr>
        <w:keepNext/>
        <w:contextualSpacing/>
        <w:jc w:val="center"/>
      </w:pPr>
      <w:r>
        <w:rPr>
          <w:noProof/>
        </w:rPr>
        <w:drawing>
          <wp:inline distT="0" distB="0" distL="0" distR="0" wp14:anchorId="761291B5" wp14:editId="416CD50C">
            <wp:extent cx="4809490" cy="5087620"/>
            <wp:effectExtent l="0" t="0" r="0" b="0"/>
            <wp:docPr id="7" name="Picture 5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4" descr="A diagram of a diagram&#10;&#10;Description automatically generated"/>
                    <pic:cNvPicPr>
                      <a:picLocks noChangeAspect="1" noChangeArrowheads="1"/>
                    </pic:cNvPicPr>
                  </pic:nvPicPr>
                  <pic:blipFill>
                    <a:blip r:embed="rId13"/>
                    <a:stretch>
                      <a:fillRect/>
                    </a:stretch>
                  </pic:blipFill>
                  <pic:spPr bwMode="auto">
                    <a:xfrm>
                      <a:off x="0" y="0"/>
                      <a:ext cx="4809490" cy="5087620"/>
                    </a:xfrm>
                    <a:prstGeom prst="rect">
                      <a:avLst/>
                    </a:prstGeom>
                  </pic:spPr>
                </pic:pic>
              </a:graphicData>
            </a:graphic>
          </wp:inline>
        </w:drawing>
      </w:r>
    </w:p>
    <w:p w14:paraId="33DD37AD" w14:textId="044541A1" w:rsidR="00787F73" w:rsidRDefault="00742FB7" w:rsidP="00866155">
      <w:pPr>
        <w:pStyle w:val="caption1"/>
        <w:jc w:val="center"/>
      </w:pPr>
      <w:bookmarkStart w:id="204" w:name="_Toc193367283"/>
      <w:r>
        <w:t xml:space="preserve">Figure </w:t>
      </w:r>
      <w:r>
        <w:fldChar w:fldCharType="begin"/>
      </w:r>
      <w:r>
        <w:instrText xml:space="preserve"> SEQ Figure \* ARABIC </w:instrText>
      </w:r>
      <w:r>
        <w:fldChar w:fldCharType="separate"/>
      </w:r>
      <w:r w:rsidR="00132F53">
        <w:rPr>
          <w:noProof/>
        </w:rPr>
        <w:t>5</w:t>
      </w:r>
      <w:r>
        <w:rPr>
          <w:noProof/>
        </w:rPr>
        <w:fldChar w:fldCharType="end"/>
      </w:r>
      <w:r>
        <w:t xml:space="preserve">: </w:t>
      </w:r>
      <w:r>
        <w:rPr>
          <w:rFonts w:cs="Calibri"/>
        </w:rPr>
        <w:t>Arnstein</w:t>
      </w:r>
      <w:r>
        <w:t xml:space="preserve">’s Ladder of Participation </w:t>
      </w:r>
      <w:r>
        <w:fldChar w:fldCharType="begin" w:fldLock="1"/>
      </w:r>
      <w:r>
        <w:instrText>ADDIN CSL_CITATION {"citationItems":[{"id":"ITEM-1","itemData":{"DOI":"10.1080/01944366908977225","ISBN":"0002-8991","ISSN":"01944363","PMID":"9871","abstract":"Abstract The heated controversy over ?citizen participation,? ?citizen control?, and ?maximum feasible involvement of the poor,? has been waged largely in terms of exacerbated rhetoric and misleading euphemisms. To encourage a more enlightened dialogue, a typology of citizen participation is offered using examples from three federal social programs: urban renewal, anti-poverty, and Model Cities. The typology, which is designed to be provocative, is arranged in a ladder pattern with each rung corresponding to the extent of citizens' power in determining the plan and/or program. Abstract The heated controversy over ?citizen participation,? ?citizen control?, and ?maximum feasible involvement of the poor,? has been waged largely in terms of exacerbated rhetoric and misleading euphemisms. To encourage a more enlightened dialogue, a typology of citizen participation is offered using examples from three federal social programs: urban renewal, anti-poverty, and Model Cities. The typology, which is designed to be provocative, is arranged in a ladder pattern with each rung corresponding to the extent of citizens' power in determining the plan and/or program.","author":[{"dropping-particle":"","family":"Arnstein","given":"Sherry R.","non-dropping-particle":"","parse-names":false,"suffix":""}],"container-title":"Journal of the American Institute of Planners","id":"ITEM-1","issue":"4","issued":{"date-parts":[["1969"]]},"page":"216-224","title":"A Ladder Of Citizen Participation","type":"article-journal","volume":"35"},"uris":["http://www.mendeley.com/documents/?uuid=722d0a20-1906-4f55-980c-d7ca16560fd6"]}],"mendeley":{"formattedCitation":"(Arnstein, 1969)","plainTextFormattedCitation":"(Arnstein, 1969)","previouslyFormattedCitation":"(Arnstein, 1969)"},"properties":{"noteIndex":0},"schema":"https://github.com/citation-style-language/schema/raw/master/csl-citation.json"}</w:instrText>
      </w:r>
      <w:r>
        <w:fldChar w:fldCharType="separate"/>
      </w:r>
      <w:r>
        <w:rPr>
          <w:noProof/>
        </w:rPr>
        <w:t>(Arnstein, 1969)</w:t>
      </w:r>
      <w:r>
        <w:fldChar w:fldCharType="end"/>
      </w:r>
      <w:r>
        <w:t xml:space="preserve">. Image Source: </w:t>
      </w:r>
      <w:r>
        <w:fldChar w:fldCharType="begin" w:fldLock="1"/>
      </w:r>
      <w:r>
        <w:instrText>ADDIN CSL_CITATION {"citationItems":[{"id":"ITEM-1","itemData":{"author":[{"dropping-particle":"","family":"Rogers","given":"Paddy","non-dropping-particle":"","parse-names":false,"suffix":""}],"id":"ITEM-1","issued":{"date-parts":[["2024"]]},"title":"Arnstein's Ladder of Participation Image","type":"article"},"uris":["http://www.mendeley.com/documents/?uuid=29c8db56-8e27-4a90-baac-eb48f5fb6c21"]}],"mendeley":{"formattedCitation":"(Rogers, 2024)","plainTextFormattedCitation":"(Rogers, 2024)","previouslyFormattedCitation":"(Rogers, 2024)"},"properties":{"noteIndex":0},"schema":"https://github.com/citation-style-language/schema/raw/master/csl-citation.json"}</w:instrText>
      </w:r>
      <w:r>
        <w:fldChar w:fldCharType="separate"/>
      </w:r>
      <w:r>
        <w:rPr>
          <w:i w:val="0"/>
          <w:noProof/>
        </w:rPr>
        <w:t>(Rogers, 2024)</w:t>
      </w:r>
      <w:bookmarkEnd w:id="204"/>
      <w:r>
        <w:fldChar w:fldCharType="end"/>
      </w:r>
    </w:p>
    <w:p w14:paraId="48ADA5F7" w14:textId="1FFAAD06" w:rsidR="00787F73" w:rsidRDefault="00742FB7" w:rsidP="00866155">
      <w:pPr>
        <w:contextualSpacing/>
      </w:pPr>
      <w:r>
        <w:rPr>
          <w:rFonts w:cs="Calibri"/>
        </w:rPr>
        <w:lastRenderedPageBreak/>
        <w:t xml:space="preserve">While the </w:t>
      </w:r>
      <w:r w:rsidR="00912954">
        <w:rPr>
          <w:rFonts w:cs="Calibri"/>
        </w:rPr>
        <w:t>D</w:t>
      </w:r>
      <w:r w:rsidR="004F7B90">
        <w:rPr>
          <w:rFonts w:cs="Calibri"/>
        </w:rPr>
        <w:t xml:space="preserve">eficit </w:t>
      </w:r>
      <w:r w:rsidR="00912954">
        <w:rPr>
          <w:rFonts w:cs="Calibri"/>
        </w:rPr>
        <w:t>M</w:t>
      </w:r>
      <w:r w:rsidR="004F7B90">
        <w:rPr>
          <w:rFonts w:cs="Calibri"/>
        </w:rPr>
        <w:t xml:space="preserve">odel </w:t>
      </w:r>
      <w:r>
        <w:rPr>
          <w:rFonts w:cs="Calibri"/>
        </w:rPr>
        <w:t xml:space="preserve">has some merit for policymakers, namely the perceived solution of providing education to communities so that they become aware of risk, it does not consider what they do with the information or how they process the information into risk perception and subsequent action </w:t>
      </w:r>
      <w:r>
        <w:fldChar w:fldCharType="begin" w:fldLock="1"/>
      </w:r>
      <w:r>
        <w:rPr>
          <w:rFonts w:cs="Calibri"/>
        </w:rPr>
        <w:instrText>ADDIN CSL_CITATION {"citationItems":[{"id":"ITEM-1","itemData":{"DOI":"10.1080/13669877.2020.1756385","ISSN":"14664461","abstract":"The emergence of the 2019 novel coronavirus has led to more than a pandemic—indeed, COVID-19 is spawning myriad other concerns as it rapidly marches around the globe. One of these concerns is a surge of misinformation, which we argue should be viewed as a risk in its own right, and to which insights from decades of risk communication research must be applied. Further, when the subject of misinformation is itself a risk, as in the case of COVID-19, we argue for the utility of viewing the problem as a multi-layered risk communication problem. In such circumstances, misinformation functions as a meta-risk that interacts with and complicates publics’ perceptions of the original risk. Therefore, as the COVID-19 “misinfodemic” intensifies, risk communication research should inform the efforts of key risk communicators. To this end, we discuss the implications of risk research for efforts to fact-check COVID-19 misinformation and offer practical recommendations.","author":[{"dropping-particle":"","family":"Krause","given":"Nicole M.","non-dropping-particle":"","parse-names":false,"suffix":""},{"dropping-particle":"","family":"Freiling","given":"Isabelle","non-dropping-particle":"","parse-names":false,"suffix":""},{"dropping-particle":"","family":"Beets","given":"Becca","non-dropping-particle":"","parse-names":false,"suffix":""},{"dropping-particle":"","family":"Brossard","given":"Dominique","non-dropping-particle":"","parse-names":false,"suffix":""}],"container-title":"Journal of Risk Research","id":"ITEM-1","issue":"7-8","issued":{"date-parts":[["2020"]]},"page":"1052-1059","publisher":"Routledge","title":"Fact-checking as risk communication: the multi-layered risk of misinformation in times of COVID-19","type":"article-journal","volume":"23"},"uris":["http://www.mendeley.com/documents/?uuid=26d3c928-b5da-4496-be25-28ce98d4ef48"]}],"mendeley":{"formattedCitation":"(Krause et al., 2020)","plainTextFormattedCitation":"(Krause et al., 2020)","previouslyFormattedCitation":"(Krause et al., 2020)"},"properties":{"noteIndex":0},"schema":"https://github.com/citation-style-language/schema/raw/master/csl-citation.json"}</w:instrText>
      </w:r>
      <w:r>
        <w:rPr>
          <w:rFonts w:cs="Calibri"/>
        </w:rPr>
        <w:fldChar w:fldCharType="separate"/>
      </w:r>
      <w:r>
        <w:rPr>
          <w:rFonts w:cs="Calibri"/>
          <w:noProof/>
        </w:rPr>
        <w:t>(Krause et al., 2020)</w:t>
      </w:r>
      <w:r>
        <w:rPr>
          <w:rFonts w:cs="Calibri"/>
        </w:rPr>
        <w:fldChar w:fldCharType="end"/>
      </w:r>
      <w:r>
        <w:rPr>
          <w:rFonts w:cs="Calibri"/>
        </w:rPr>
        <w:t>. These considerations are significant within this project as this research focuses on the relationship between SYFR’s communication and the receivers of that information, and whether the community are acting on that information (examined in chapter 6).</w:t>
      </w:r>
      <w:r>
        <w:t xml:space="preserve"> Therefore, if the institutional logic is to communicate in a manner that does not support behavioural </w:t>
      </w:r>
      <w:r w:rsidR="00CB08F8">
        <w:t>change,</w:t>
      </w:r>
      <w:r>
        <w:t xml:space="preserve"> then the logic is providing an operational barrier.</w:t>
      </w:r>
      <w:r>
        <w:rPr>
          <w:rFonts w:cs="Calibri"/>
        </w:rPr>
        <w:t xml:space="preserve"> </w:t>
      </w:r>
    </w:p>
    <w:p w14:paraId="48C4BE76" w14:textId="77777777" w:rsidR="00787F73" w:rsidRDefault="00787F73" w:rsidP="00866155">
      <w:pPr>
        <w:contextualSpacing/>
        <w:rPr>
          <w:rFonts w:cs="Calibri"/>
        </w:rPr>
      </w:pPr>
    </w:p>
    <w:p w14:paraId="3ECB8484" w14:textId="189FD7BE" w:rsidR="00787F73" w:rsidRDefault="00742FB7" w:rsidP="00866155">
      <w:pPr>
        <w:contextualSpacing/>
      </w:pPr>
      <w:r>
        <w:rPr>
          <w:rFonts w:cs="Calibri"/>
        </w:rPr>
        <w:t xml:space="preserve">The </w:t>
      </w:r>
      <w:r w:rsidR="00912954">
        <w:rPr>
          <w:rFonts w:cs="Calibri"/>
        </w:rPr>
        <w:t>D</w:t>
      </w:r>
      <w:r w:rsidR="004F7B90">
        <w:rPr>
          <w:rFonts w:cs="Calibri"/>
        </w:rPr>
        <w:t xml:space="preserve">eficit </w:t>
      </w:r>
      <w:r w:rsidR="00912954">
        <w:rPr>
          <w:rFonts w:cs="Calibri"/>
        </w:rPr>
        <w:t>M</w:t>
      </w:r>
      <w:r w:rsidR="004F7B90">
        <w:rPr>
          <w:rFonts w:cs="Calibri"/>
        </w:rPr>
        <w:t xml:space="preserve">odel </w:t>
      </w:r>
      <w:r>
        <w:rPr>
          <w:rFonts w:cs="Calibri"/>
        </w:rPr>
        <w:t xml:space="preserve">is also lacking as it does not factor in the different experiences of people and how those lived experiences can </w:t>
      </w:r>
      <w:r w:rsidRPr="00CB08F8">
        <w:rPr>
          <w:rFonts w:cs="Calibri"/>
        </w:rPr>
        <w:t xml:space="preserve">impact on how they </w:t>
      </w:r>
      <w:r>
        <w:rPr>
          <w:rFonts w:cs="Calibri"/>
        </w:rPr>
        <w:t xml:space="preserve">act on information; this requires a behavioural model. </w:t>
      </w:r>
      <w:bookmarkStart w:id="205" w:name="_Toc98148310"/>
      <w:r>
        <w:rPr>
          <w:rFonts w:cs="Calibri"/>
          <w:lang w:eastAsia="en-US"/>
        </w:rPr>
        <w:t>This thesis explore</w:t>
      </w:r>
      <w:r w:rsidR="00CB08F8">
        <w:rPr>
          <w:rFonts w:cs="Calibri"/>
          <w:lang w:eastAsia="en-US"/>
        </w:rPr>
        <w:t>d</w:t>
      </w:r>
      <w:r>
        <w:rPr>
          <w:rFonts w:cs="Calibri"/>
          <w:lang w:eastAsia="en-US"/>
        </w:rPr>
        <w:t xml:space="preserve"> this using the </w:t>
      </w:r>
      <w:r w:rsidR="0038275C">
        <w:rPr>
          <w:rFonts w:cs="Calibri"/>
        </w:rPr>
        <w:t>Protection Motivation Theory Model</w:t>
      </w:r>
      <w:r>
        <w:rPr>
          <w:rFonts w:cs="Calibri"/>
          <w:lang w:eastAsia="en-US"/>
        </w:rPr>
        <w:t xml:space="preserve">, and it examines how this model can be used to understand the different factors that influence how and when individuals and communities respond to risk. </w:t>
      </w:r>
    </w:p>
    <w:p w14:paraId="20A79904" w14:textId="77777777" w:rsidR="00787F73" w:rsidRDefault="00787F73" w:rsidP="00866155">
      <w:pPr>
        <w:rPr>
          <w:rFonts w:cs="Calibri"/>
          <w:lang w:eastAsia="en-US"/>
        </w:rPr>
      </w:pPr>
    </w:p>
    <w:p w14:paraId="58A5F8DB" w14:textId="56DA7F88" w:rsidR="00787F73" w:rsidRDefault="00742FB7" w:rsidP="00866155">
      <w:pPr>
        <w:pStyle w:val="Heading5"/>
        <w:spacing w:line="360" w:lineRule="auto"/>
      </w:pPr>
      <w:bookmarkStart w:id="206" w:name="_Toc139645577"/>
      <w:bookmarkStart w:id="207" w:name="_Toc67579746"/>
      <w:bookmarkStart w:id="208" w:name="_Toc93410807"/>
      <w:bookmarkStart w:id="209" w:name="_Toc98148307"/>
      <w:bookmarkStart w:id="210" w:name="_Toc139636622"/>
      <w:r>
        <w:rPr>
          <w:rFonts w:ascii="Calibri" w:hAnsi="Calibri" w:cs="Calibri"/>
        </w:rPr>
        <w:t xml:space="preserve">Protection </w:t>
      </w:r>
      <w:r w:rsidR="0038275C">
        <w:rPr>
          <w:rFonts w:ascii="Calibri" w:hAnsi="Calibri" w:cs="Calibri"/>
        </w:rPr>
        <w:t>M</w:t>
      </w:r>
      <w:r w:rsidR="004F7B90">
        <w:rPr>
          <w:rFonts w:ascii="Calibri" w:hAnsi="Calibri" w:cs="Calibri"/>
        </w:rPr>
        <w:t xml:space="preserve">otivation </w:t>
      </w:r>
      <w:bookmarkEnd w:id="206"/>
      <w:bookmarkEnd w:id="207"/>
      <w:bookmarkEnd w:id="208"/>
      <w:bookmarkEnd w:id="209"/>
      <w:bookmarkEnd w:id="210"/>
      <w:r w:rsidR="0038275C">
        <w:rPr>
          <w:rFonts w:ascii="Calibri" w:hAnsi="Calibri" w:cs="Calibri"/>
        </w:rPr>
        <w:t>T</w:t>
      </w:r>
      <w:r w:rsidR="004F7B90">
        <w:rPr>
          <w:rFonts w:ascii="Calibri" w:hAnsi="Calibri" w:cs="Calibri"/>
        </w:rPr>
        <w:t>heory</w:t>
      </w:r>
    </w:p>
    <w:p w14:paraId="7248D18E" w14:textId="175B6A89" w:rsidR="00787F73" w:rsidRDefault="00742FB7" w:rsidP="00866155">
      <w:pPr>
        <w:contextualSpacing/>
      </w:pPr>
      <w:r>
        <w:rPr>
          <w:rFonts w:cs="Calibri"/>
        </w:rPr>
        <w:t xml:space="preserve">Examining how and why individuals change and adapt their behaviour to perceived risk is important for any organisation aiming to make a change, such as SYFR and the development of community resilience. This can be done with the </w:t>
      </w:r>
      <w:r w:rsidR="0038275C">
        <w:rPr>
          <w:rFonts w:cs="Calibri"/>
        </w:rPr>
        <w:t>Protection Motivation Theory</w:t>
      </w:r>
      <w:r w:rsidR="0038275C" w:rsidDel="004F7B90">
        <w:rPr>
          <w:rFonts w:cs="Calibri"/>
        </w:rPr>
        <w:t xml:space="preserve"> </w:t>
      </w:r>
      <w:r>
        <w:rPr>
          <w:rFonts w:cs="Calibri"/>
        </w:rPr>
        <w:t xml:space="preserve">(PMT), which is based on human cognition around risk and human nature to protect oneself.  This theory notes that individuals protect themselves or implement risk management strategies dependant on their personality, their previous observations, and/or their education </w:t>
      </w:r>
      <w:r>
        <w:fldChar w:fldCharType="begin" w:fldLock="1"/>
      </w:r>
      <w:r w:rsidR="00974B75">
        <w:rPr>
          <w:rFonts w:cs="Calibri"/>
        </w:rPr>
        <w:instrText>ADDIN CSL_CITATION {"citationItems":[{"id":"ITEM-1","itemData":{"DOI":"10.1061/(asce)nh.1527-6996.0000294","ISBN":"0000000167","ISSN":"1527-6988","abstract":"©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Review","id":"ITEM-1","issue":"3","issued":{"date-parts":[["2018"]]},"page":"1 - 21","title":"Flood Risk Assessment, Future Trend Modeling, and Risk Communication: A Review of Ongoing Research","type":"article-journal","volume":"19"},"uris":["http://www.mendeley.com/documents/?uuid=72f77961-1216-4228-ab43-b36cf7f2e2d4"]},{"id":"ITEM-2","itemData":{"DOI":"10.1007/s11069-017-3111-0","ISSN":"15730840","abstract":"Communicating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Hazards","id":"ITEM-2","issued":{"date-parts":[["2018"]]},"page":"1461-1483","title":"How does information affect fire risk reduction behaviors? Mediating effects of cognitive processes and subjective knowledge","type":"article-journal","volume":"90"},"uris":["http://www.mendeley.com/documents/?uuid=b253cc58-5f59-4b2e-9c77-76be2b2788b4"]},{"id":"ITEM-3","itemData":{"DOI":"10.1080/19371918.2021.2018082","ISSN":"1937190X","PMID":"34962187","abstract":"COVID-19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Health","id":"ITEM-3","issue":"5","issued":{"date-parts":[["2022"]]},"page":"419-434","title":"An Integrated Approach to COVID-19 Preventive Behaviour Intentions: Protection Motivation Theory, Information Acquisition, and Trust","type":"article-journal","volume":"37"},"uris":["http://www.mendeley.com/documents/?uuid=8abd72eb-8ae4-4af7-9da1-be357bf94394"]},{"id":"ITEM-4","itemData":{"DOI":"10.1016/j.ijdrr.2021.102759","ISSN":"22124209","abstract":"The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Reduction","id":"ITEM-4","issued":{"date-parts":[["2022"]]},"page":"1 - 16","title":"Determination of factors affecting the response efficacy of Filipinos under Typhoon Conson 2021 (Jolina): An extended protection motivation theory approach","type":"article-journal","volume":"70"},"uris":["http://www.mendeley.com/documents/?uuid=df8c524a-2262-493d-9e98-6620d59903d4"]}],"mendeley":{"formattedCitation":"(Acar &amp; Kıcali, 2022; Gumasing et al., 2022; Liu &amp; Jiao, 2018; Salman &amp; Li, 2018)","plainTextFormattedCitation":"(Acar &amp; Kıcali, 2022; Gumasing et al., 2022; Liu &amp; Jiao, 2018; Salman &amp; Li, 2018)","previouslyFormattedCitation":"(Acar &amp; Kıcali, 2022; Gumasing et al., 2022; Liu &amp; Jiao, 2018; Salman &amp; Li, 2018)"},"properties":{"noteIndex":0},"schema":"https://github.com/citation-style-language/schema/raw/master/csl-citation.json"}</w:instrText>
      </w:r>
      <w:r>
        <w:rPr>
          <w:rFonts w:cs="Calibri"/>
        </w:rPr>
        <w:fldChar w:fldCharType="separate"/>
      </w:r>
      <w:r>
        <w:rPr>
          <w:rFonts w:cs="Calibri"/>
          <w:noProof/>
        </w:rPr>
        <w:t>(Acar &amp; Kıcali, 2022; Gumasing et al., 2022; Liu &amp; Jiao, 2018; Salman &amp; Li, 2018)</w:t>
      </w:r>
      <w:r>
        <w:rPr>
          <w:rFonts w:cs="Calibri"/>
        </w:rPr>
        <w:fldChar w:fldCharType="end"/>
      </w:r>
      <w:r>
        <w:rPr>
          <w:rFonts w:cs="Calibri"/>
        </w:rPr>
        <w:t>. It is important to understand this as a process and it could help to encourage action and the development of personal and community resilience. PMT can be further explained by focusing on two different aspects which motivate individuals: threat appraisal and coping appraisal.</w:t>
      </w:r>
    </w:p>
    <w:p w14:paraId="6E9C3948" w14:textId="77777777" w:rsidR="00787F73" w:rsidRDefault="00787F73" w:rsidP="00866155">
      <w:pPr>
        <w:contextualSpacing/>
        <w:rPr>
          <w:rFonts w:cs="Calibri"/>
        </w:rPr>
      </w:pPr>
    </w:p>
    <w:p w14:paraId="7A4E735E" w14:textId="77777777" w:rsidR="00787F73" w:rsidRDefault="00742FB7" w:rsidP="00866155">
      <w:pPr>
        <w:contextualSpacing/>
      </w:pPr>
      <w:r>
        <w:rPr>
          <w:rFonts w:cs="Calibri"/>
        </w:rPr>
        <w:t xml:space="preserve">Threat appraisal defines an individual’s personal perception of risk and danger, namely whether they perceive something as threatening to themselves or their property </w:t>
      </w:r>
      <w:r>
        <w:fldChar w:fldCharType="begin" w:fldLock="1"/>
      </w:r>
      <w:r w:rsidR="00974B75">
        <w:rPr>
          <w:rFonts w:cs="Calibri"/>
        </w:rPr>
        <w:instrText>ADDIN CSL_CITATION {"citationItems":[{"id":"ITEM-1","itemData":{"DOI":"10.1007/s11069-017-3111-0","ISSN":"15730840","abstract":"Communicating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Hazards","id":"ITEM-1","issued":{"date-parts":[["2018"]]},"page":"1461-1483","title":"How does information affect fire risk reduction behaviors? Mediating effects of cognitive processes and subjective knowledge","type":"article-journal","volume":"90"},"uris":["http://www.mendeley.com/documents/?uuid=b253cc58-5f59-4b2e-9c77-76be2b2788b4"]},{"id":"ITEM-2","itemData":{"DOI":"10.1061/(asce)nh.1527-6996.0000294","ISBN":"0000000167","ISSN":"1527-6988","abstract":"©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Review","id":"ITEM-2","issue":"3","issued":{"date-parts":[["2018"]]},"page":"1 - 21","title":"Flood Risk Assessment, Future Trend Modeling, and Risk Communication: A Review of Ongoing Research","type":"article-journal","volume":"19"},"uris":["http://www.mendeley.com/documents/?uuid=72f77961-1216-4228-ab43-b36cf7f2e2d4"]},{"id":"ITEM-3","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Hazards","id":"ITEM-3","issued":{"date-parts":[["2018"]]},"page":"1665-1686","publisher":"Springer Netherlands","title":"Rethinking flood risk communication","type":"article-journal","volume":"92"},"uris":["http://www.mendeley.com/documents/?uuid=a75b9d7a-46e6-41f1-a446-75375a9342c5"]},{"id":"ITEM-4","itemData":{"DOI":"10.1080/19371918.2021.2018082","ISSN":"1937190X","PMID":"34962187","abstract":"COVID-19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Health","id":"ITEM-4","issue":"5","issued":{"date-parts":[["2022"]]},"page":"419-434","title":"An Integrated Approach to COVID-19 Preventive Behaviour Intentions: Protection Motivation Theory, Information Acquisition, and Trust","type":"article-journal","volume":"37"},"uris":["http://www.mendeley.com/documents/?uuid=8abd72eb-8ae4-4af7-9da1-be357bf94394"]},{"id":"ITEM-5","itemData":{"DOI":"10.1016/j.ijdrr.2021.102759","ISSN":"22124209","abstract":"The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Reduction","id":"ITEM-5","issued":{"date-parts":[["2022"]]},"page":"1 - 16","title":"Determination of factors affecting the response efficacy of Filipinos under Typhoon Conson 2021 (Jolina): An extended protection motivation theory approach","type":"article-journal","volume":"70"},"uris":["http://www.mendeley.com/documents/?uuid=df8c524a-2262-493d-9e98-6620d59903d4"]}],"mendeley":{"formattedCitation":"(Acar &amp; Kıcali, 2022; Gumasing et al., 2022; Liu &amp; Jiao, 2018; Rollason et al., 2018; Salman &amp; Li, 2018)","plainTextFormattedCitation":"(Acar &amp; Kıcali, 2022; Gumasing et al., 2022; Liu &amp; Jiao, 2018; Rollason et al., 2018; Salman &amp; Li, 2018)","previouslyFormattedCitation":"(Acar &amp; Kıcali, 2022; Gumasing et al., 2022; Liu &amp; Jiao, 2018; Rollason et al., 2018; Salman &amp; Li, 2018)"},"properties":{"noteIndex":0},"schema":"https://github.com/citation-style-language/schema/raw/master/csl-citation.json"}</w:instrText>
      </w:r>
      <w:r>
        <w:rPr>
          <w:rFonts w:cs="Calibri"/>
        </w:rPr>
        <w:fldChar w:fldCharType="separate"/>
      </w:r>
      <w:r>
        <w:rPr>
          <w:rFonts w:cs="Calibri"/>
          <w:noProof/>
        </w:rPr>
        <w:t xml:space="preserve">(Acar &amp; Kıcali, 2022; Gumasing et al., 2022; Liu &amp; Jiao, 2018; Rollason et al., 2018; Salman &amp; Li, </w:t>
      </w:r>
      <w:r>
        <w:rPr>
          <w:rFonts w:cs="Calibri"/>
          <w:noProof/>
        </w:rPr>
        <w:lastRenderedPageBreak/>
        <w:t>2018)</w:t>
      </w:r>
      <w:r>
        <w:rPr>
          <w:rFonts w:cs="Calibri"/>
        </w:rPr>
        <w:fldChar w:fldCharType="end"/>
      </w:r>
      <w:r>
        <w:rPr>
          <w:rFonts w:cs="Calibri"/>
        </w:rPr>
        <w:t>. Once a risk has been noted and there is a sense of danger to oneself or property, they then move into the second element of PMT: coping appraisal.</w:t>
      </w:r>
    </w:p>
    <w:p w14:paraId="2EACD2DD" w14:textId="77777777" w:rsidR="00787F73" w:rsidRDefault="00787F73" w:rsidP="00866155">
      <w:pPr>
        <w:contextualSpacing/>
        <w:rPr>
          <w:rFonts w:cs="Calibri"/>
        </w:rPr>
      </w:pPr>
    </w:p>
    <w:p w14:paraId="3722298C" w14:textId="77777777" w:rsidR="00787F73" w:rsidRDefault="00742FB7" w:rsidP="00866155">
      <w:pPr>
        <w:contextualSpacing/>
      </w:pPr>
      <w:r>
        <w:rPr>
          <w:rFonts w:cs="Calibri"/>
        </w:rPr>
        <w:t xml:space="preserve">Coping appraisal links to an individual’s assessment of their available support, resources and capacity, and whether they </w:t>
      </w:r>
      <w:r w:rsidR="009727AC">
        <w:rPr>
          <w:rFonts w:cs="Calibri"/>
        </w:rPr>
        <w:t>are</w:t>
      </w:r>
      <w:r>
        <w:rPr>
          <w:rFonts w:cs="Calibri"/>
        </w:rPr>
        <w:t xml:space="preserve"> able to implement the required changes to mitigate or reduce the threat or risk </w:t>
      </w:r>
      <w:r>
        <w:fldChar w:fldCharType="begin" w:fldLock="1"/>
      </w:r>
      <w:r w:rsidR="00974B75">
        <w:rPr>
          <w:rFonts w:cs="Calibri"/>
        </w:rPr>
        <w:instrText>ADDIN CSL_CITATION {"citationItems":[{"id":"ITEM-1","itemData":{"DOI":"10.1007/s11069-017-3111-0","ISSN":"15730840","abstract":"Communicating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Hazards","id":"ITEM-1","issued":{"date-parts":[["2018"]]},"page":"1461-1483","title":"How does information affect fire risk reduction behaviors? Mediating effects of cognitive processes and subjective knowledge","type":"article-journal","volume":"90"},"uris":["http://www.mendeley.com/documents/?uuid=b253cc58-5f59-4b2e-9c77-76be2b2788b4"]},{"id":"ITEM-2","itemData":{"DOI":"10.1061/(asce)nh.1527-6996.0000294","ISBN":"0000000167","ISSN":"1527-6988","abstract":"©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Review","id":"ITEM-2","issue":"3","issued":{"date-parts":[["2018"]]},"page":"1 - 21","title":"Flood Risk Assessment, Future Trend Modeling, and Risk Communication: A Review of Ongoing Research","type":"article-journal","volume":"19"},"uris":["http://www.mendeley.com/documents/?uuid=72f77961-1216-4228-ab43-b36cf7f2e2d4"]},{"id":"ITEM-3","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Hazards","id":"ITEM-3","issued":{"date-parts":[["2018"]]},"page":"1665-1686","publisher":"Springer Netherlands","title":"Rethinking flood risk communication","type":"article-journal","volume":"92"},"uris":["http://www.mendeley.com/documents/?uuid=a75b9d7a-46e6-41f1-a446-75375a9342c5"]},{"id":"ITEM-4","itemData":{"DOI":"10.1080/19371918.2021.2018082","ISSN":"1937190X","PMID":"34962187","abstract":"COVID-19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Health","id":"ITEM-4","issue":"5","issued":{"date-parts":[["2022"]]},"page":"419-434","title":"An Integrated Approach to COVID-19 Preventive Behaviour Intentions: Protection Motivation Theory, Information Acquisition, and Trust","type":"article-journal","volume":"37"},"uris":["http://www.mendeley.com/documents/?uuid=8abd72eb-8ae4-4af7-9da1-be357bf94394"]},{"id":"ITEM-5","itemData":{"DOI":"10.1016/j.ijdrr.2021.102759","ISSN":"22124209","abstract":"The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Reduction","id":"ITEM-5","issued":{"date-parts":[["2022"]]},"page":"1 - 16","title":"Determination of factors affecting the response efficacy of Filipinos under Typhoon Conson 2021 (Jolina): An extended protection motivation theory approach","type":"article-journal","volume":"70"},"uris":["http://www.mendeley.com/documents/?uuid=df8c524a-2262-493d-9e98-6620d59903d4"]}],"mendeley":{"formattedCitation":"(Acar &amp; Kıcali, 2022; Gumasing et al., 2022; Liu &amp; Jiao, 2018; Rollason et al., 2018; Salman &amp; Li, 2018)","plainTextFormattedCitation":"(Acar &amp; Kıcali, 2022; Gumasing et al., 2022; Liu &amp; Jiao, 2018; Rollason et al., 2018; Salman &amp; Li, 2018)","previouslyFormattedCitation":"(Acar &amp; Kıcali, 2022; Gumasing et al., 2022; Liu &amp; Jiao, 2018; Rollason et al., 2018; Salman &amp; Li, 2018)"},"properties":{"noteIndex":0},"schema":"https://github.com/citation-style-language/schema/raw/master/csl-citation.json"}</w:instrText>
      </w:r>
      <w:r>
        <w:rPr>
          <w:rFonts w:cs="Calibri"/>
        </w:rPr>
        <w:fldChar w:fldCharType="separate"/>
      </w:r>
      <w:r>
        <w:rPr>
          <w:rFonts w:cs="Calibri"/>
          <w:noProof/>
        </w:rPr>
        <w:t>(Acar &amp; Kıcali, 2022; Gumasing et al., 2022; Liu &amp; Jiao, 2018; Rollason et al., 2018; Salman &amp; Li, 2018)</w:t>
      </w:r>
      <w:r>
        <w:rPr>
          <w:rFonts w:cs="Calibri"/>
        </w:rPr>
        <w:fldChar w:fldCharType="end"/>
      </w:r>
      <w:r>
        <w:rPr>
          <w:rFonts w:cs="Calibri"/>
        </w:rPr>
        <w:t xml:space="preserve">, effectively encouraging the </w:t>
      </w:r>
      <w:r w:rsidRPr="00CB08F8">
        <w:rPr>
          <w:rFonts w:cs="Calibri"/>
        </w:rPr>
        <w:t xml:space="preserve">individual to have control over their behaviour </w:t>
      </w:r>
      <w:r w:rsidRPr="00CB08F8">
        <w:fldChar w:fldCharType="begin" w:fldLock="1"/>
      </w:r>
      <w:r w:rsidR="00974B75" w:rsidRPr="00CB08F8">
        <w:rPr>
          <w:rFonts w:cs="Calibri"/>
        </w:rPr>
        <w:instrText>ADDIN CSL_CITATION {"citationItems":[{"id":"ITEM-1","itemData":{"DOI":"10.1016/j.ijdrr.2021.102759","ISSN":"22124209","abstract":"The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Reduction","id":"ITEM-1","issued":{"date-parts":[["2022"]]},"page":"1 - 16","title":"Determination of factors affecting the response efficacy of Filipinos under Typhoon Conson 2021 (Jolina): An extended protection motivation theory approach","type":"article-journal","volume":"70"},"uris":["http://www.mendeley.com/documents/?uuid=df8c524a-2262-493d-9e98-6620d59903d4"]}],"mendeley":{"formattedCitation":"(Gumasing et al., 2022)","plainTextFormattedCitation":"(Gumasing et al., 2022)","previouslyFormattedCitation":"(Gumasing et al., 2022)"},"properties":{"noteIndex":0},"schema":"https://github.com/citation-style-language/schema/raw/master/csl-citation.json"}</w:instrText>
      </w:r>
      <w:r w:rsidRPr="00CB08F8">
        <w:rPr>
          <w:rFonts w:cs="Calibri"/>
        </w:rPr>
        <w:fldChar w:fldCharType="separate"/>
      </w:r>
      <w:r w:rsidRPr="00CB08F8">
        <w:rPr>
          <w:rFonts w:cs="Calibri"/>
          <w:noProof/>
        </w:rPr>
        <w:t>(Gumasing et al., 2022)</w:t>
      </w:r>
      <w:r w:rsidRPr="00CB08F8">
        <w:rPr>
          <w:rFonts w:cs="Calibri"/>
        </w:rPr>
        <w:fldChar w:fldCharType="end"/>
      </w:r>
      <w:r w:rsidRPr="00CB08F8">
        <w:rPr>
          <w:rFonts w:cs="Calibri"/>
        </w:rPr>
        <w:t xml:space="preserve">. This implies that for there to be behaviour change, there needs to be a shifting in the institutional logics not only of the </w:t>
      </w:r>
      <w:r>
        <w:rPr>
          <w:rFonts w:cs="Calibri"/>
        </w:rPr>
        <w:t>community, but also at the micro level of the individual. This individual level behavioural change can be examined using an institutional ethnography, as is discussed in Chapter 3.</w:t>
      </w:r>
    </w:p>
    <w:p w14:paraId="34A0C1B7" w14:textId="77777777" w:rsidR="00787F73" w:rsidRDefault="00787F73" w:rsidP="00866155">
      <w:pPr>
        <w:contextualSpacing/>
        <w:rPr>
          <w:rFonts w:cs="Calibri"/>
        </w:rPr>
      </w:pPr>
    </w:p>
    <w:p w14:paraId="75582BF3" w14:textId="5242E568" w:rsidR="00013936" w:rsidRPr="00013936" w:rsidRDefault="00742FB7" w:rsidP="00866155">
      <w:pPr>
        <w:contextualSpacing/>
        <w:rPr>
          <w:rFonts w:cs="Calibri"/>
        </w:rPr>
      </w:pPr>
      <w:r>
        <w:rPr>
          <w:rFonts w:cs="Calibri"/>
        </w:rPr>
        <w:t xml:space="preserve">PMT moves away from the </w:t>
      </w:r>
      <w:r w:rsidR="00912954">
        <w:rPr>
          <w:rFonts w:cs="Calibri"/>
        </w:rPr>
        <w:t>D</w:t>
      </w:r>
      <w:r w:rsidR="004F7B90">
        <w:rPr>
          <w:rFonts w:cs="Calibri"/>
        </w:rPr>
        <w:t xml:space="preserve">eficit </w:t>
      </w:r>
      <w:r w:rsidR="00912954">
        <w:rPr>
          <w:rFonts w:cs="Calibri"/>
        </w:rPr>
        <w:t>M</w:t>
      </w:r>
      <w:r w:rsidR="004F7B90">
        <w:rPr>
          <w:rFonts w:cs="Calibri"/>
        </w:rPr>
        <w:t xml:space="preserve">odel </w:t>
      </w:r>
      <w:r>
        <w:rPr>
          <w:rFonts w:cs="Calibri"/>
        </w:rPr>
        <w:t>and highlights that there is variation in lived experiences, and that this can impact how individuals react to risk.</w:t>
      </w:r>
      <w:r w:rsidR="00013936">
        <w:rPr>
          <w:rFonts w:cs="Calibri"/>
        </w:rPr>
        <w:t xml:space="preserve"> While PMT resolves some of the challenges associated with the </w:t>
      </w:r>
      <w:r w:rsidR="00912954">
        <w:rPr>
          <w:rFonts w:cs="Calibri"/>
        </w:rPr>
        <w:t>D</w:t>
      </w:r>
      <w:r w:rsidR="00013936">
        <w:rPr>
          <w:rFonts w:cs="Calibri"/>
        </w:rPr>
        <w:t xml:space="preserve">eficit </w:t>
      </w:r>
      <w:r w:rsidR="00912954">
        <w:rPr>
          <w:rFonts w:cs="Calibri"/>
        </w:rPr>
        <w:t>M</w:t>
      </w:r>
      <w:r w:rsidR="00013936">
        <w:rPr>
          <w:rFonts w:cs="Calibri"/>
        </w:rPr>
        <w:t xml:space="preserve">odel, it is not perfect. For instance, the over-reliance of </w:t>
      </w:r>
      <w:r w:rsidR="00013936" w:rsidRPr="00A0151B">
        <w:rPr>
          <w:rFonts w:cs="Calibri"/>
          <w:i/>
          <w:iCs/>
        </w:rPr>
        <w:t>threat</w:t>
      </w:r>
      <w:r w:rsidR="00013936">
        <w:rPr>
          <w:rFonts w:cs="Calibri"/>
        </w:rPr>
        <w:t xml:space="preserve">. PMT suggests that fear is a motivator for action, </w:t>
      </w:r>
      <w:r w:rsidR="00051476">
        <w:rPr>
          <w:rFonts w:cs="Calibri"/>
        </w:rPr>
        <w:t>however it can also l</w:t>
      </w:r>
      <w:r w:rsidR="00013936">
        <w:rPr>
          <w:rFonts w:cs="Calibri"/>
        </w:rPr>
        <w:t xml:space="preserve">ead to </w:t>
      </w:r>
      <w:r w:rsidR="00051476">
        <w:rPr>
          <w:rFonts w:cs="Calibri"/>
        </w:rPr>
        <w:t>resistance</w:t>
      </w:r>
      <w:r w:rsidR="00013936">
        <w:rPr>
          <w:rFonts w:cs="Calibri"/>
        </w:rPr>
        <w:t xml:space="preserve"> and avoidance behaviours </w:t>
      </w:r>
      <w:r w:rsidR="00051476">
        <w:rPr>
          <w:rFonts w:cs="Calibri"/>
        </w:rPr>
        <w:fldChar w:fldCharType="begin" w:fldLock="1"/>
      </w:r>
      <w:r w:rsidR="00792736">
        <w:rPr>
          <w:rFonts w:cs="Calibri"/>
        </w:rPr>
        <w:instrText>ADDIN CSL_CITATION {"citationItems":[{"id":"ITEM-1","itemData":{"DOI":"10.1080/13669877.2018.1485175","ISSN":"14664461","abstract":"Flood preparedness of private households is regarded an essential building block of integrated flood risk management. In the past decade, numerous empirical studies have employed the protection motivation theory (PMT) to explain flood mitigation behavior at the household level. However, much of this research has produced mixed results and could not consistently confirm the strength and direction of the relationships between the PMT components. Based on a survey of 2,007 households in flood-prone areas, this study revisits the model structure of the PMT by means of structural equation modeling. Compared to the methods used in previous studies, this modeling technique allows us to capture the PMT components in greater detail and to comprehensively test their hypothesized interrelations. Our results point to two separate routes leading to two different response types: A protective route from coping appraisal to protective behavior, and a non-protective route from threat appraisal to non-protective responses. Risk perception is not found to be part of the protective route, neither are non-protective responses confirmed to undermine protection motivation. The two separate routes are observed consistently across all combinations of the six protective and four non-protective responses assessed in this study. In the light of encouraging private flood adaptation, risk communication measures should specifically target the protective route and avoid (accidentally) providing incentives that fall within the non-protective route. This cross-sectional study, however, cannot establish how the two routes interrelate over time. More experimental and longitudinal research is required to address potential feedback effects and the role of decision stages.","author":[{"dropping-particle":"","family":"Babcicky","given":"Philipp","non-dropping-particle":"","parse-names":false,"suffix":""},{"dropping-particle":"","family":"Seebauer","given":"Sebastian","non-dropping-particle":"","parse-names":false,"suffix":""}],"container-title":"Journal of Risk Research","id":"ITEM-1","issue":"12","issued":{"date-parts":[["2019"]]},"page":"1503-1521","title":"Unpacking Protection Motivation Theory: evidence for a separate protective and non-protective route in private flood mitigation behavior","type":"article-journal","volume":"22"},"uris":["http://www.mendeley.com/documents/?uuid=04ca1f0c-bd3b-4dc6-8d90-edd73550410b"]},{"id":"ITEM-2","itemData":{"DOI":"10.1016/j.gloenvcha.2013.05.009","ISSN":"09593780","abstract":"Insights into flood mitigation behaviour are important because of the ongoing shift to risk-based flood management approaches in Europe and worldwide, which envisage a contribution from flood-prone households to risk reduction. The recent literature on factors that influence flood mitigation behaviour indicates that flood-coping appraisal is an important variable to understand and explain flood mitigation behaviour. Coping appraisal originates from Protection Motivation Theory (PMT), and refers to the cognitive process that people undergo when evaluating their own ability to avoid a certain risk. However, the empirical literature on the importance of coping appraisal is still scarce, and, in particular, little is known about the independent influence of the three single components of coping appraisal on precautionary behaviour: namely, response efficacy, self-efficacy, and response cost. This study presents the results of a recent survey among 752 flood-prone households along the river Rhine in order to provide detailed insights into the influence of the components of flood-coping appraisal on four different types of flood mitigation behaviour: structural building measures, adapted building use, the deployment of flood barriers, and the purchase of flood insurance. The results confirm that flood-coping appraisal is an important variable in terms of precautionary behaviour. In particular, both response efficacy and self-efficacy contribute to the models which explain the four different types of flood-mitigation behaviour. Based on these findings, it is concluded that risk communication should focus more strongly on the potential of flood-mitigation measures to effectively reduce or avoid flood damage, as well as on information about how to implement such measures in practice. © 2013 Elsevier Ltd.","author":[{"dropping-particle":"","family":"Bubeck","given":"P.","non-dropping-particle":"","parse-names":false,"suffix":""},{"dropping-particle":"","family":"Botzen","given":"W. J.W.","non-dropping-particle":"","parse-names":false,"suffix":""},{"dropping-particle":"","family":"Kreibich","given":"H.","non-dropping-particle":"","parse-names":false,"suffix":""},{"dropping-particle":"","family":"Aerts","given":"J. C.J.H.","non-dropping-particle":"","parse-names":false,"suffix":""}],"container-title":"Global Environmental Change","id":"ITEM-2","issue":"5","issued":{"date-parts":[["2013"]]},"page":"1327-1338","title":"Detailed insights into the influence of flood-coping appraisals on mitigation behaviour","type":"article-journal","volume":"23"},"uris":["http://www.mendeley.com/documents/?uuid=8edb6f76-1756-48a7-9901-6035cc45205d"]}],"mendeley":{"formattedCitation":"(Babcicky &amp; Seebauer, 2019; Bubeck et al., 2013)","plainTextFormattedCitation":"(Babcicky &amp; Seebauer, 2019; Bubeck et al., 2013)","previouslyFormattedCitation":"(Babcicky &amp; Seebauer, 2019; Bubeck et al., 2013)"},"properties":{"noteIndex":0},"schema":"https://github.com/citation-style-language/schema/raw/master/csl-citation.json"}</w:instrText>
      </w:r>
      <w:r w:rsidR="00051476">
        <w:rPr>
          <w:rFonts w:cs="Calibri"/>
        </w:rPr>
        <w:fldChar w:fldCharType="separate"/>
      </w:r>
      <w:r w:rsidR="00323A57" w:rsidRPr="00323A57">
        <w:rPr>
          <w:rFonts w:cs="Calibri"/>
          <w:noProof/>
        </w:rPr>
        <w:t>(Babcicky &amp; Seebauer, 2019; Bubeck et al., 2013)</w:t>
      </w:r>
      <w:r w:rsidR="00051476">
        <w:rPr>
          <w:rFonts w:cs="Calibri"/>
        </w:rPr>
        <w:fldChar w:fldCharType="end"/>
      </w:r>
      <w:r w:rsidR="00013936">
        <w:rPr>
          <w:rFonts w:cs="Calibri"/>
        </w:rPr>
        <w:t>.</w:t>
      </w:r>
      <w:r w:rsidR="00051476">
        <w:rPr>
          <w:rFonts w:cs="Calibri"/>
        </w:rPr>
        <w:t xml:space="preserve"> This suggests that PMT does not factor in changing temporality, namely how the risk is assessed over time.</w:t>
      </w:r>
      <w:r w:rsidR="00013936">
        <w:rPr>
          <w:rFonts w:cs="Calibri"/>
        </w:rPr>
        <w:t xml:space="preserve"> PMT </w:t>
      </w:r>
      <w:r w:rsidR="00323A57">
        <w:rPr>
          <w:rFonts w:cs="Calibri"/>
        </w:rPr>
        <w:t xml:space="preserve">lacks an assessment of </w:t>
      </w:r>
      <w:r w:rsidR="00013936">
        <w:rPr>
          <w:rFonts w:cs="Calibri"/>
        </w:rPr>
        <w:t>social context, such as cultural norms</w:t>
      </w:r>
      <w:r w:rsidR="00323A57">
        <w:rPr>
          <w:rFonts w:cs="Calibri"/>
        </w:rPr>
        <w:t xml:space="preserve"> and what is expected</w:t>
      </w:r>
      <w:r w:rsidR="00013936">
        <w:rPr>
          <w:rFonts w:cs="Calibri"/>
        </w:rPr>
        <w:t>. One can then view PMT from and institutional logics perspective, and the shifting temporalities of logics</w:t>
      </w:r>
      <w:r w:rsidR="00323A57">
        <w:rPr>
          <w:rFonts w:cs="Calibri"/>
        </w:rPr>
        <w:t xml:space="preserve">. Specifically, </w:t>
      </w:r>
      <w:r w:rsidR="00013936">
        <w:rPr>
          <w:rFonts w:cs="Calibri"/>
        </w:rPr>
        <w:t xml:space="preserve">what is </w:t>
      </w:r>
      <w:r w:rsidR="00323A57">
        <w:rPr>
          <w:rFonts w:cs="Calibri"/>
        </w:rPr>
        <w:t xml:space="preserve">expected from the </w:t>
      </w:r>
      <w:r w:rsidR="00013936">
        <w:rPr>
          <w:rFonts w:cs="Calibri"/>
        </w:rPr>
        <w:t>normative, regulative and cultural</w:t>
      </w:r>
      <w:r w:rsidR="00323A57">
        <w:rPr>
          <w:rFonts w:cs="Calibri"/>
        </w:rPr>
        <w:t xml:space="preserve"> elements of the institutions</w:t>
      </w:r>
      <w:r w:rsidR="00013936">
        <w:rPr>
          <w:rFonts w:cs="Calibri"/>
        </w:rPr>
        <w:t xml:space="preserve"> </w:t>
      </w:r>
      <w:r w:rsidR="00323A57">
        <w:fldChar w:fldCharType="begin" w:fldLock="1"/>
      </w:r>
      <w:r w:rsidR="00323A57">
        <w:rPr>
          <w:rFonts w:cs="Calibri"/>
        </w:rPr>
        <w:instrText>ADDIN CSL_CITATION {"citationItems":[{"id":"ITEM-1","itemData":{"DOI":"10.1108/S0277-2833(2010)0000021006","ISBN":"0000021008","ISSN":"02772833","abstract":"Social science attention to the distinctive role played by the professions\\nin modern society dates, at least, from the 1930s, beginning with\\nthe pioneering research of Carr-Saunders and Wilson (1933) and the\\ntheorizing of Parsons (1939). A considerable body of work was produced\\nwell into the 1960s, most of which embraced what was subsequently\\ntermed a functionalist approach. It was argued that in return for\\nemploying their specialized knowledge in the client's interest, professionals\\nwere ceded the right to set standards of training and practice and\\nto exercise autonomy of decision making in their spheres of competence\\n(e.g., Goode, 1957; Goss, 1961; Greenwood, 1957; Hughes, 1958b).\\nConsiderable effort was expended in differentiating between more-\\nand less-fully developed types of professions (e.g., Etzioni, 1969;\\nScott, 1965), as well as identifying the stages and strategies by\\nwhich professions acquired their distinctive features and status\\n(e.g., Abbott, 1988; Freidson, 1986; Wilensky, 1964).","author":[{"dropping-particle":"","family":"Scott","given":"W. Richard","non-dropping-particle":"","parse-names":false,"suffix":""}],"container-title":"Institutions and Entrepreneurship (Research in the Sociology of Work, Vol. 21)","editor":[{"dropping-particle":"","family":"Wesley D. Sine","given":"Robert J. David","non-dropping-particle":"","parse-names":false,"suffix":""}],"id":"ITEM-1","issued":{"date-parts":[["2010"]]},"page":"27-49","publisher":"Emerald Group Publishing Limited","publisher-place":"Leeds","title":"Entrepreneurs and professionals: The mediating role of institutions","type":"chapter"},"uris":["http://www.mendeley.com/documents/?uuid=8748eab4-c587-451c-8f5e-723bdb377cea"]},{"id":"ITEM-2","itemData":{"DOI":"10.1111/joms.12070","ISBN":"7804923325","ISSN":"14676486","abstract":"In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Studies","id":"ITEM-2","issue":"7","issued":{"date-parts":[["2014"]]},"page":"1206-1220","title":"Rethinking institutions and organizations","type":"article-journal","volume":"51"},"uris":["http://www.mendeley.com/documents/?uuid=0af2a191-4e5d-48b8-8f8d-ce7200539d20"]},{"id":"ITEM-3","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Practice","id":"ITEM-3","issue":"3","issued":{"date-parts":[["2010"]]},"page":"421-440","title":"Institutional theory and entrepreneurship: Where are we now and where do we need to move in the future?","type":"article-journal","volume":"34"},"uris":["http://www.mendeley.com/documents/?uuid=e36ff41e-f87e-4ac2-ad15-cf1983b501ae"]},{"id":"ITEM-4","itemData":{"DOI":"10.1177/0170840607088151","ISBN":"0170-8406","ISSN":"01708406","PMID":"31323064","abstract":"More so than other types of social actors, the professions in modern society have assumed leading roles in the creation and tending of institutions. They are the preeminent institutional agents of our time. Different professions work in various ways: some attempt to create general cultural-cognitive frameworks; others to devise normative pre- scriptions to guide behavior; and still others to exercise coercive authority. Also, indi- vidual professionals assume varying roles within their professional community: some concentrate on devising and testing general principles, others transport these ideas to varying communities; and still others work to apply the principles to individual cases. Professions themselves adhere to an institutional model, but this model has undergone important changes over time.","author":[{"dropping-particle":"","family":"Scott","given":"W. Richard","non-dropping-particle":"","parse-names":false,"suffix":""}],"container-title":"Organization Studies","id":"ITEM-4","issue":"2","issued":{"date-parts":[["2008"]]},"page":"219-238","title":"Lords of the dance: Professionals as institutional agents","type":"article-journal","volume":"29"},"uris":["http://www.mendeley.com/documents/?uuid=08afe149-5ce2-4fa3-a5be-8ece63af6202"]},{"id":"ITEM-5","itemData":{"author":[{"dropping-particle":"","family":"Scott","given":"W. R.","non-dropping-particle":"","parse-names":false,"suffix":""}],"chapter-number":"22","container-title":"Great Minds in Management: The Process of Theory Development","editor":[{"dropping-particle":"","family":"Smith","given":"Ken G.","non-dropping-particle":"","parse-names":false,"suffix":""},{"dropping-particle":"","family":"Hitt","given":"Michael A.","non-dropping-particle":"","parse-names":false,"suffix":""}],"id":"ITEM-5","issued":{"date-parts":[["2005"]]},"page":"460-484","publisher":"Oxford University Press","publisher-place":"Oxford","title":"Institutional theory: Contributing to a theoretical research program","type":"chapter"},"uris":["http://www.mendeley.com/documents/?uuid=8de1c0a6-4550-442d-8529-9841b65f3d92"]}],"mendeley":{"formattedCitation":"(Greenwood, Hinings, &amp; Whetten, 2014; Bruton, Ahlstrom, &amp; Li, 2010; Scott, 2005, 2008b, 2010a)","plainTextFormattedCitation":"(Greenwood, Hinings, &amp; Whetten, 2014; Bruton, Ahlstrom, &amp; Li, 2010; Scott, 2005, 2008b, 2010a)","previouslyFormattedCitation":"(Greenwood, Hinings, &amp; Whetten, 2014; Bruton, Ahlstrom, &amp; Li, 2010; Scott, 2005, 2008b, 2010a)"},"properties":{"noteIndex":0},"schema":"https://github.com/citation-style-language/schema/raw/master/csl-citation.json"}</w:instrText>
      </w:r>
      <w:r w:rsidR="00323A57">
        <w:rPr>
          <w:rFonts w:cs="Calibri"/>
        </w:rPr>
        <w:fldChar w:fldCharType="separate"/>
      </w:r>
      <w:r w:rsidR="00323A57">
        <w:rPr>
          <w:rFonts w:cs="Calibri"/>
          <w:noProof/>
        </w:rPr>
        <w:t>(Greenwood, Hinings, &amp; Whetten, 2014; Bruton, Ahlstrom, &amp; Li, 2010; Scott, 2005, 2008b, 2010a)</w:t>
      </w:r>
      <w:r w:rsidR="00323A57">
        <w:rPr>
          <w:rFonts w:cs="Calibri"/>
        </w:rPr>
        <w:fldChar w:fldCharType="end"/>
      </w:r>
      <w:r w:rsidR="00013936">
        <w:rPr>
          <w:rFonts w:cs="Calibri"/>
        </w:rPr>
        <w:t xml:space="preserve">. </w:t>
      </w:r>
    </w:p>
    <w:p w14:paraId="5C1D58F9" w14:textId="77777777" w:rsidR="00013936" w:rsidRDefault="00013936" w:rsidP="00866155">
      <w:pPr>
        <w:contextualSpacing/>
        <w:rPr>
          <w:rFonts w:cs="Calibri"/>
        </w:rPr>
      </w:pPr>
    </w:p>
    <w:p w14:paraId="16346BDD" w14:textId="057D5610" w:rsidR="00787F73" w:rsidRDefault="00051476" w:rsidP="00866155">
      <w:pPr>
        <w:contextualSpacing/>
      </w:pPr>
      <w:r>
        <w:rPr>
          <w:rFonts w:cs="Calibri"/>
        </w:rPr>
        <w:t xml:space="preserve">These </w:t>
      </w:r>
      <w:r w:rsidR="00323A57">
        <w:rPr>
          <w:rFonts w:cs="Calibri"/>
        </w:rPr>
        <w:t>criticisms</w:t>
      </w:r>
      <w:r>
        <w:rPr>
          <w:rFonts w:cs="Calibri"/>
        </w:rPr>
        <w:t xml:space="preserve"> of the </w:t>
      </w:r>
      <w:r w:rsidR="00912954">
        <w:rPr>
          <w:rFonts w:cs="Calibri"/>
        </w:rPr>
        <w:t>D</w:t>
      </w:r>
      <w:r>
        <w:rPr>
          <w:rFonts w:cs="Calibri"/>
        </w:rPr>
        <w:t xml:space="preserve">eficit </w:t>
      </w:r>
      <w:r w:rsidR="00912954">
        <w:rPr>
          <w:rFonts w:cs="Calibri"/>
        </w:rPr>
        <w:t>M</w:t>
      </w:r>
      <w:r>
        <w:rPr>
          <w:rFonts w:cs="Calibri"/>
        </w:rPr>
        <w:t>odel and PMT indicate that</w:t>
      </w:r>
      <w:r w:rsidR="00742FB7">
        <w:rPr>
          <w:rFonts w:cs="Calibri"/>
        </w:rPr>
        <w:t xml:space="preserve"> organisations that conduct risk communication as part of their wider operations, like SYFR, may need to develop a strong understanding of their surrounding community logics</w:t>
      </w:r>
      <w:r w:rsidR="004712A4">
        <w:rPr>
          <w:rFonts w:cs="Calibri"/>
        </w:rPr>
        <w:t>. With this understanding they would then be able to</w:t>
      </w:r>
      <w:r w:rsidR="00742FB7">
        <w:rPr>
          <w:rFonts w:cs="Calibri"/>
        </w:rPr>
        <w:t xml:space="preserve"> incorporate the varying rates of threat and coping appraisal within their strategy, highlighting the need to explore the practicalities of risk communication</w:t>
      </w:r>
      <w:r w:rsidR="001028E7">
        <w:rPr>
          <w:rFonts w:cs="Calibri"/>
        </w:rPr>
        <w:t xml:space="preserve"> u</w:t>
      </w:r>
      <w:r>
        <w:rPr>
          <w:rFonts w:cs="Calibri"/>
        </w:rPr>
        <w:t xml:space="preserve">sing Arnstein’s </w:t>
      </w:r>
      <w:r w:rsidR="001028E7">
        <w:rPr>
          <w:rFonts w:cs="Calibri"/>
        </w:rPr>
        <w:t>L</w:t>
      </w:r>
      <w:r>
        <w:rPr>
          <w:rFonts w:cs="Calibri"/>
        </w:rPr>
        <w:t xml:space="preserve">adder of </w:t>
      </w:r>
      <w:r w:rsidR="001028E7">
        <w:rPr>
          <w:rFonts w:cs="Calibri"/>
        </w:rPr>
        <w:t>Participation.</w:t>
      </w:r>
    </w:p>
    <w:p w14:paraId="741AC3B7" w14:textId="77777777" w:rsidR="00787F73" w:rsidRDefault="00787F73" w:rsidP="00866155">
      <w:pPr>
        <w:rPr>
          <w:rFonts w:cs="Calibri"/>
        </w:rPr>
      </w:pPr>
    </w:p>
    <w:p w14:paraId="41D339CB" w14:textId="77777777" w:rsidR="00787F73" w:rsidRDefault="00742FB7" w:rsidP="00866155">
      <w:pPr>
        <w:pStyle w:val="Heading5"/>
        <w:spacing w:line="360" w:lineRule="auto"/>
      </w:pPr>
      <w:bookmarkStart w:id="211" w:name="_Toc139645579"/>
      <w:bookmarkStart w:id="212" w:name="_Toc139636625"/>
      <w:bookmarkEnd w:id="205"/>
      <w:r>
        <w:rPr>
          <w:rFonts w:ascii="Calibri" w:hAnsi="Calibri" w:cs="Calibri"/>
        </w:rPr>
        <w:lastRenderedPageBreak/>
        <w:t xml:space="preserve">What needs to be included in risk </w:t>
      </w:r>
      <w:bookmarkEnd w:id="211"/>
      <w:bookmarkEnd w:id="212"/>
      <w:r>
        <w:rPr>
          <w:rFonts w:ascii="Calibri" w:hAnsi="Calibri" w:cs="Calibri"/>
        </w:rPr>
        <w:t>communication?</w:t>
      </w:r>
    </w:p>
    <w:p w14:paraId="5F5CF364" w14:textId="77777777" w:rsidR="00787F73" w:rsidRDefault="00742FB7" w:rsidP="00866155">
      <w:r>
        <w:rPr>
          <w:rFonts w:cs="Calibri"/>
          <w:lang w:eastAsia="en-US"/>
        </w:rPr>
        <w:t xml:space="preserve">The preceding sections have described communication in terms of its theoretical structure and process, however, communication is something that requires a practical approach. This includes understanding the content of such messages, and how the audience is engaged by and contacted about these messages. </w:t>
      </w:r>
    </w:p>
    <w:p w14:paraId="0BF22A95" w14:textId="77777777" w:rsidR="00787F73" w:rsidRDefault="00787F73" w:rsidP="00866155">
      <w:pPr>
        <w:rPr>
          <w:rFonts w:cs="Calibri"/>
          <w:lang w:eastAsia="en-US"/>
        </w:rPr>
      </w:pPr>
    </w:p>
    <w:p w14:paraId="64585524" w14:textId="77777777" w:rsidR="00787F73" w:rsidRDefault="00742FB7" w:rsidP="00866155">
      <w:pPr>
        <w:contextualSpacing/>
        <w:rPr>
          <w:rFonts w:cs="Calibri"/>
        </w:rPr>
      </w:pPr>
      <w:r>
        <w:rPr>
          <w:rFonts w:cs="Calibri"/>
        </w:rPr>
        <w:t xml:space="preserve">The consensus among risk communicators is that in order to have conversations which result in mitigating and protecting actions during and after an event, there needs to be an established network and relationship in place </w:t>
      </w:r>
      <w:r>
        <w:fldChar w:fldCharType="begin" w:fldLock="1"/>
      </w:r>
      <w:r w:rsidR="00974B75">
        <w:rPr>
          <w:rFonts w:cs="Calibri"/>
        </w:rPr>
        <w:instrText>ADDIN CSL_CITATION {"citationItems":[{"id":"ITEM-1","itemData":{"DOI":"10.1016/j.ijdrr.2016.11.014","ISSN":"22124209","abstract":"The use of social media applications by citizens, public authorities, and humanitarian organisations generates vast quantities of data. Research predominantly focuses on the use of social media and associated analysis tools during the short-term response phase of a disaster. As such, the use of social media analysis tools to harness social media data for preparedness purposes is currently unclear. This research uses a combination of semi-structured interviews with 20 Red Cross Red Crescent and humanitarian actors, an online survey, two workshops and desk-based research to examine the opportunities and barriers faced by humanitarian actors in using social media analysis tools to analyse social media data for disaster preparedness. Whilst social media analysis tools provide humanitarian actors with an opportunity to understand the effectiveness of their preparedness communication on social media, to monitor risks and disasters, and to build community preparedness networks, this study identified a limited use of social media analysis tools by research participants. This (non) use of social media analysis tools was influenced by the interaction between seven categories of barriers relating to the user of the tool or the tool itself: language, culture, value, financial, human resources, technology, and data. In discussing these barriers, the authors highlight the key role that context plays in determining the significance of each barrier on the selection and use of social media analysis tools for preparedness.","author":[{"dropping-particle":"","family":"Anson","given":"Susan","non-dropping-particle":"","parse-names":false,"suffix":""},{"dropping-particle":"","family":"Watson","given":"Hayley","non-dropping-particle":"","parse-names":false,"suffix":""},{"dropping-particle":"","family":"Wadhwa","given":"Kush","non-dropping-particle":"","parse-names":false,"suffix":""},{"dropping-particle":"","family":"Metz","given":"Karin","non-dropping-particle":"","parse-names":false,"suffix":""}],"container-title":"International Journal of Disaster Risk Reduction","id":"ITEM-1","issued":{"date-parts":[["2017"]]},"page":"131-139","publisher":"Elsevier Ltd","title":"Analysing social media data for disaster preparedness: Understanding the opportunities and barriers faced by humanitarian actors","type":"article-journal","volume":"21"},"uris":["http://www.mendeley.com/documents/?uuid=7c91a9ee-7c4a-421b-a2c6-6d5e6dd6dd52"]}],"mendeley":{"formattedCitation":"(Anson et al., 2017)","plainTextFormattedCitation":"(Anson et al., 2017)","previouslyFormattedCitation":"(Anson et al., 2017)"},"properties":{"noteIndex":0},"schema":"https://github.com/citation-style-language/schema/raw/master/csl-citation.json"}</w:instrText>
      </w:r>
      <w:r>
        <w:rPr>
          <w:rFonts w:cs="Calibri"/>
        </w:rPr>
        <w:fldChar w:fldCharType="separate"/>
      </w:r>
      <w:r>
        <w:rPr>
          <w:rFonts w:cs="Calibri"/>
          <w:noProof/>
        </w:rPr>
        <w:t>(Anson et al., 2017)</w:t>
      </w:r>
      <w:r>
        <w:rPr>
          <w:rFonts w:cs="Calibri"/>
        </w:rPr>
        <w:fldChar w:fldCharType="end"/>
      </w:r>
      <w:r>
        <w:rPr>
          <w:rFonts w:cs="Calibri"/>
        </w:rPr>
        <w:t xml:space="preserve">, indicating a potential risk communication logic. This highlights the need for practitioners within the risk management arena to use communication tools, like social media, to create a two-way conversation between themselves and the communities and individuals at risk; they must actively respond to messages, gather information from the public, and provide information for news sources </w:t>
      </w:r>
      <w:r>
        <w:fldChar w:fldCharType="begin" w:fldLock="1"/>
      </w:r>
      <w:r w:rsidR="00974B75">
        <w:rPr>
          <w:rFonts w:cs="Calibri"/>
        </w:rPr>
        <w:instrText>ADDIN CSL_CITATION {"citationItems":[{"id":"ITEM-1","itemData":{"DOI":"10.1016/j.ijdrr.2016.11.014","ISSN":"22124209","abstract":"The use of social media applications by citizens, public authorities, and humanitarian organisations generates vast quantities of data. Research predominantly focuses on the use of social media and associated analysis tools during the short-term response phase of a disaster. As such, the use of social media analysis tools to harness social media data for preparedness purposes is currently unclear. This research uses a combination of semi-structured interviews with 20 Red Cross Red Crescent and humanitarian actors, an online survey, two workshops and desk-based research to examine the opportunities and barriers faced by humanitarian actors in using social media analysis tools to analyse social media data for disaster preparedness. Whilst social media analysis tools provide humanitarian actors with an opportunity to understand the effectiveness of their preparedness communication on social media, to monitor risks and disasters, and to build community preparedness networks, this study identified a limited use of social media analysis tools by research participants. This (non) use of social media analysis tools was influenced by the interaction between seven categories of barriers relating to the user of the tool or the tool itself: language, culture, value, financial, human resources, technology, and data. In discussing these barriers, the authors highlight the key role that context plays in determining the significance of each barrier on the selection and use of social media analysis tools for preparedness.","author":[{"dropping-particle":"","family":"Anson","given":"Susan","non-dropping-particle":"","parse-names":false,"suffix":""},{"dropping-particle":"","family":"Watson","given":"Hayley","non-dropping-particle":"","parse-names":false,"suffix":""},{"dropping-particle":"","family":"Wadhwa","given":"Kush","non-dropping-particle":"","parse-names":false,"suffix":""},{"dropping-particle":"","family":"Metz","given":"Karin","non-dropping-particle":"","parse-names":false,"suffix":""}],"container-title":"International Journal of Disaster Risk Reduction","id":"ITEM-1","issued":{"date-parts":[["2017"]]},"page":"131-139","publisher":"Elsevier Ltd","title":"Analysing social media data for disaster preparedness: Understanding the opportunities and barriers faced by humanitarian actors","type":"article-journal","volume":"21"},"uris":["http://www.mendeley.com/documents/?uuid=7c91a9ee-7c4a-421b-a2c6-6d5e6dd6dd52"]},{"id":"ITEM-2","itemData":{"DOI":"10.2202/1944-2866.1130","author":[{"dropping-particle":"","family":"Crump","given":"Jeremy","non-dropping-particle":"","parse-names":false,"suffix":""}],"container-title":"Policy and Internet","id":"ITEM-2","issue":"4","issued":{"date-parts":[["2011"]]},"page":"1 - 29","title":"What Are the Police Doing on Twitter? Social Media, the Police and the Public","type":"article-journal","volume":"3"},"uris":["http://www.mendeley.com/documents/?uuid=93b9b90c-c4cb-49b6-8cb2-534bbcb93a38"]},{"id":"ITEM-3","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Hazards","id":"ITEM-3","issued":{"date-parts":[["2018"]]},"page":"1665-1686","publisher":"Springer Netherlands","title":"Rethinking flood risk communication","type":"article-journal","volume":"92"},"uris":["http://www.mendeley.com/documents/?uuid=a75b9d7a-46e6-41f1-a446-75375a9342c5"]},{"id":"ITEM-4","itemData":{"DOI":"10.1080/13669877.2014.961517","ISSN":"1366-9877","author":[{"dropping-particle":"","family":"Regan","given":"Áine","non-dropping-particle":"","parse-names":false,"suffix":""},{"dropping-particle":"","family":"Raats","given":"Monique","non-dropping-particle":"","parse-names":false,"suffix":""},{"dropping-particle":"","family":"Shan","given":"Liran Christine","non-dropping-particle":"","parse-names":false,"suffix":""},{"dropping-particle":"","family":"Wall","given":"Patrick G","non-dropping-particle":"","parse-names":false,"suffix":""},{"dropping-particle":"","family":"McConnon","given":"Aine","non-dropping-particle":"","parse-names":false,"suffix":""}],"container-title":"Journal of Risk Research","id":"ITEM-4","issue":"1","issued":{"date-parts":[["2016"]]},"page":"119-132","publisher":"Routledge","title":"Risk communication and social media during food safety crises : a study of stakeholders ’ opinions in Ireland","type":"article-journal","volume":"19"},"uris":["http://www.mendeley.com/documents/?uuid=93b71440-a063-4fcd-a9e7-146cc5654f5e"]},{"id":"ITEM-5","itemData":{"DOI":"10.1080/17538947.2018.1480670","ISSN":"17538955","abstract":"Although Twitter is used for emergency management activities, the relevance of tweets during a hazard event is still open to debate. In this study, six different computational (i.e. Natural Language Processing) and spatiotemporal analytical approaches were implemented to assess the relevance of risk information extracted from tweets obtained during the 2013 Colorado flood event. Primarily, tweets containing information about the flooding events and its impacts were analysed. Examination of the relationships between tweet volume and its content with precipitation amount, damage extent, and official reports revealed that relevant tweets provided information about the event and its impacts rather than any other risk information that public expects to receive via alert messages. However, only 14% of the geo-tagged tweets and only 0.06% of the total fire hose tweets were found to be relevant to the event. By providing insight into the quality of social media data and its usefulness to emergency management activities, this study contributes to the literature on quality of big data. Future research in this area would focus on assessing the reliability of relevant tweets for disaster related situational awareness.","author":[{"dropping-particle":"","family":"Liu","given":"Xiaohui","non-dropping-particle":"","parse-names":false,"suffix":""},{"dropping-particle":"","family":"Kar","given":"Bandana","non-dropping-particle":"","parse-names":false,"suffix":""},{"dropping-particle":"","family":"Zhang","given":"Chaoyang","non-dropping-particle":"","parse-names":false,"suffix":""},{"dropping-particle":"","family":"Cochran","given":"David M.","non-dropping-particle":"","parse-names":false,"suffix":""}],"container-title":"International Journal of Digital Earth","id":"ITEM-5","issue":"7","issued":{"date-parts":[["2019"]]},"page":"781-801","publisher":"Taylor &amp; Francis","title":"Assessing relevance of tweets for risk communication","type":"article-journal","volume":"12"},"uris":["http://www.mendeley.com/documents/?uuid=a1aeac85-39ce-43ac-8e69-76cb0fe26dfc"]},{"id":"ITEM-6","itemData":{"DOI":"10.1016/j.ijdrr.2022.102903","ISSN":"22124209","abstract":"In today's information age, both excess and lack of information can cause a disaster. COVID-19 pandemic not only highlighted the significance of risk communication but also pointed out several unintended and distressing consequences due to information gaps and miscommunications. Despite facing a common threat, the local communities suffered differential impacts during the pandemic. This paper classifies the nature of risk communications experienced across different countries into three categories, namely: inadequate, ideal, and infodemic risk communication that influenced the local perceptions and responses. It further argues that inadequately planned risk communications tend to create new risks and compromise the efforts towards managing a disaster. As global risks are responded locally, there is a need for more inclusive and engaging risk communication that involves communities as responsible stakeholders who understand, plan, and respond to risks to increase their propensity for resilience during disasters and crisis situations.","author":[{"dropping-particle":"","family":"Khan","given":"Shabana","non-dropping-particle":"","parse-names":false,"suffix":""},{"dropping-particle":"","family":"Mishra","given":"Jyoti","non-dropping-particle":"","parse-names":false,"suffix":""},{"dropping-particle":"","family":"Ahmed","given":"Nova","non-dropping-particle":"","parse-names":false,"suffix":""},{"dropping-particle":"","family":"Onyige","given":"Chioma Daisy","non-dropping-particle":"","parse-names":false,"suffix":""},{"dropping-particle":"","family":"Lin","given":"Kuanhui Elaine","non-dropping-particle":"","parse-names":false,"suffix":""},{"dropping-particle":"","family":"Siew","given":"Renard","non-dropping-particle":"","parse-names":false,"suffix":""},{"dropping-particle":"","family":"Lim","given":"Boon Han","non-dropping-particle":"","parse-names":false,"suffix":""}],"container-title":"International Journal of Disaster Risk Reduction","id":"ITEM-6","issued":{"date-parts":[["2022"]]},"page":"1-13","title":"Risk communication and community engagement during COVID-19","type":"article-journal","volume":"74"},"uris":["http://www.mendeley.com/documents/?uuid=849f61bc-f758-47e1-97be-298ae2c6fa66"]}],"mendeley":{"formattedCitation":"(Khan et al., 2022; Liu et al., 2019; Rollason et al., 2018; Anson et al., 2017; Regan et al., 2016; Crump, 2011)","plainTextFormattedCitation":"(Khan et al., 2022; Liu et al., 2019; Rollason et al., 2018; Anson et al., 2017; Regan et al., 2016; Crump, 2011)","previouslyFormattedCitation":"(Khan et al., 2022; Liu et al., 2019; Rollason et al., 2018; Anson et al., 2017; Regan et al., 2016; Crump, 2011)"},"properties":{"noteIndex":0},"schema":"https://github.com/citation-style-language/schema/raw/master/csl-citation.json"}</w:instrText>
      </w:r>
      <w:r>
        <w:rPr>
          <w:rFonts w:cs="Calibri"/>
        </w:rPr>
        <w:fldChar w:fldCharType="separate"/>
      </w:r>
      <w:r>
        <w:rPr>
          <w:rFonts w:cs="Calibri"/>
          <w:noProof/>
        </w:rPr>
        <w:t>(Khan et al., 2022; Liu et al., 2019; Rollason et al., 2018; Anson et al., 2017; Regan et al., 2016; Crump, 2011)</w:t>
      </w:r>
      <w:r>
        <w:rPr>
          <w:rFonts w:cs="Calibri"/>
        </w:rPr>
        <w:fldChar w:fldCharType="end"/>
      </w:r>
      <w:r>
        <w:rPr>
          <w:rFonts w:cs="Calibri"/>
        </w:rPr>
        <w:t xml:space="preserve">. </w:t>
      </w:r>
    </w:p>
    <w:p w14:paraId="2BC73D11" w14:textId="77777777" w:rsidR="004712A4" w:rsidRDefault="004712A4" w:rsidP="00866155">
      <w:pPr>
        <w:contextualSpacing/>
      </w:pPr>
    </w:p>
    <w:p w14:paraId="157E79BD" w14:textId="6724CFC0" w:rsidR="00787F73" w:rsidRDefault="00742FB7" w:rsidP="00866155">
      <w:pPr>
        <w:contextualSpacing/>
      </w:pPr>
      <w:r>
        <w:rPr>
          <w:rFonts w:cs="Calibri"/>
        </w:rPr>
        <w:t xml:space="preserve">This has been seen with the UK police force and their use of social media to try and increase public trust, confidence, and their accountability and availability to local citizens </w:t>
      </w:r>
      <w:r>
        <w:fldChar w:fldCharType="begin" w:fldLock="1"/>
      </w:r>
      <w:r w:rsidR="00974B75">
        <w:rPr>
          <w:rFonts w:cs="Calibri"/>
        </w:rPr>
        <w:instrText>ADDIN CSL_CITATION {"citationItems":[{"id":"ITEM-1","itemData":{"DOI":"10.2202/1944-2866.1130","author":[{"dropping-particle":"","family":"Crump","given":"Jeremy","non-dropping-particle":"","parse-names":false,"suffix":""}],"container-title":"Policy and Internet","id":"ITEM-1","issue":"4","issued":{"date-parts":[["2011"]]},"page":"1 - 29","title":"What Are the Police Doing on Twitter? Social Media, the Police and the Public","type":"article-journal","volume":"3"},"uris":["http://www.mendeley.com/documents/?uuid=93b9b90c-c4cb-49b6-8cb2-534bbcb93a38"]}],"mendeley":{"formattedCitation":"(Crump, 2011)","plainTextFormattedCitation":"(Crump, 2011)","previouslyFormattedCitation":"(Crump, 2011)"},"properties":{"noteIndex":0},"schema":"https://github.com/citation-style-language/schema/raw/master/csl-citation.json"}</w:instrText>
      </w:r>
      <w:r>
        <w:rPr>
          <w:rFonts w:cs="Calibri"/>
        </w:rPr>
        <w:fldChar w:fldCharType="separate"/>
      </w:r>
      <w:r>
        <w:rPr>
          <w:rFonts w:cs="Calibri"/>
          <w:noProof/>
        </w:rPr>
        <w:t>(Crump, 2011)</w:t>
      </w:r>
      <w:r>
        <w:rPr>
          <w:rFonts w:cs="Calibri"/>
        </w:rPr>
        <w:fldChar w:fldCharType="end"/>
      </w:r>
      <w:r>
        <w:rPr>
          <w:rFonts w:cs="Calibri"/>
        </w:rPr>
        <w:t xml:space="preserve">. However, </w:t>
      </w:r>
      <w:r w:rsidR="00C84401">
        <w:rPr>
          <w:rFonts w:cs="Calibri"/>
        </w:rPr>
        <w:t xml:space="preserve">while </w:t>
      </w:r>
      <w:r>
        <w:rPr>
          <w:rFonts w:cs="Calibri"/>
        </w:rPr>
        <w:t xml:space="preserve">the intention was to develop a dialogic approach, the police used Twitter mainly as a broadcasting channel, and bi-directional communication rarely if ever happens </w:t>
      </w:r>
      <w:r>
        <w:fldChar w:fldCharType="begin" w:fldLock="1"/>
      </w:r>
      <w:r w:rsidR="00974B75">
        <w:rPr>
          <w:rFonts w:cs="Calibri"/>
        </w:rPr>
        <w:instrText>ADDIN CSL_CITATION {"citationItems":[{"id":"ITEM-1","itemData":{"DOI":"10.1111/soc4.12648","ISSN":"17519020","abstract":"Studies of social media's impact on policing have emerged in several disciplines, including criminology, sociology, and communications. Despite their insight, there is no unified body of knowledge regarding this relationship. In an attempt to synthesize extant work, bring coherence to the field, and orient future scholarship, this article summarizes research on social media's implications for practices and perceptions of order maintenance. It does so by identifying how social media's technical affordances empower and constrain police services. By offering new opportunities for surveillance, risk communication, and impression management, emergent technologies augment the police's control of their public visibility and that of the social world. However, they also provide unprecedented capacities to monitor the police and expose, circulate, and mobilize around perceived injustice, whether brutality, racial profiling, or other forms of indiscretion. Considering these issues promises to enhance knowledge on contemporary directions in social control, organizational communication, inequality, and collective action. Suggestions for future research are also explored.","author":[{"dropping-particle":"","family":"Walsh","given":"James P.","non-dropping-particle":"","parse-names":false,"suffix":""},{"dropping-particle":"","family":"O'Connor","given":"Christopher","non-dropping-particle":"","parse-names":false,"suffix":""}],"container-title":"Sociology Compass","id":"ITEM-1","issue":"1","issued":{"date-parts":[["2019"]]},"page":"1-14","title":"Social media and policing: A review of recent research","type":"article-journal","volume":"13"},"uris":["http://www.mendeley.com/documents/?uuid=002836f2-9be1-4ef3-b368-bd689bfefb83"]},{"id":"ITEM-2","itemData":{"DOI":"10.2202/1944-2866.1130","author":[{"dropping-particle":"","family":"Crump","given":"Jeremy","non-dropping-particle":"","parse-names":false,"suffix":""}],"container-title":"Policy and Internet","id":"ITEM-2","issue":"4","issued":{"date-parts":[["2011"]]},"page":"1 - 29","title":"What Are the Police Doing on Twitter? Social Media, the Police and the Public","type":"article-journal","volume":"3"},"uris":["http://www.mendeley.com/documents/?uuid=93b9b90c-c4cb-49b6-8cb2-534bbcb93a38"]}],"mendeley":{"formattedCitation":"(Walsh &amp; O’Connor, 2019; Crump, 2011)","plainTextFormattedCitation":"(Walsh &amp; O’Connor, 2019; Crump, 2011)","previouslyFormattedCitation":"(Walsh &amp; O’Connor, 2019; Crump, 2011)"},"properties":{"noteIndex":0},"schema":"https://github.com/citation-style-language/schema/raw/master/csl-citation.json"}</w:instrText>
      </w:r>
      <w:r>
        <w:rPr>
          <w:rFonts w:cs="Calibri"/>
        </w:rPr>
        <w:fldChar w:fldCharType="separate"/>
      </w:r>
      <w:r>
        <w:rPr>
          <w:rFonts w:cs="Calibri"/>
          <w:noProof/>
        </w:rPr>
        <w:t>(Walsh &amp; O’Connor, 2019; Crump, 2011)</w:t>
      </w:r>
      <w:r>
        <w:rPr>
          <w:rFonts w:cs="Calibri"/>
        </w:rPr>
        <w:fldChar w:fldCharType="end"/>
      </w:r>
      <w:r>
        <w:rPr>
          <w:rFonts w:cs="Calibri"/>
        </w:rPr>
        <w:t xml:space="preserve">. </w:t>
      </w:r>
      <w:r w:rsidR="00C84401">
        <w:rPr>
          <w:rFonts w:cs="Calibri"/>
        </w:rPr>
        <w:t>While</w:t>
      </w:r>
      <w:r>
        <w:rPr>
          <w:rFonts w:cs="Calibri"/>
        </w:rPr>
        <w:t xml:space="preserve"> organisations like the police and FRS may aim for a dialogic approach to gain the benefits of social media to increase trust, it is not always required for their risk or information campaign messaging. </w:t>
      </w:r>
    </w:p>
    <w:p w14:paraId="301102DB" w14:textId="77777777" w:rsidR="00787F73" w:rsidRDefault="00787F73" w:rsidP="00866155">
      <w:pPr>
        <w:contextualSpacing/>
        <w:rPr>
          <w:rFonts w:cs="Calibri"/>
        </w:rPr>
      </w:pPr>
    </w:p>
    <w:p w14:paraId="17A75212" w14:textId="51285C6D" w:rsidR="00787F73" w:rsidRDefault="00742FB7" w:rsidP="00866155">
      <w:pPr>
        <w:contextualSpacing/>
      </w:pPr>
      <w:r>
        <w:rPr>
          <w:rFonts w:cs="Calibri"/>
        </w:rPr>
        <w:t>The police and FRS also differ in their relationships with citizens, not only due to the nature of their jobs</w:t>
      </w:r>
      <w:r>
        <w:rPr>
          <w:rStyle w:val="FootnoteReference"/>
          <w:rFonts w:cs="Calibri"/>
        </w:rPr>
        <w:footnoteReference w:id="1"/>
      </w:r>
      <w:r>
        <w:rPr>
          <w:rFonts w:cs="Calibri"/>
        </w:rPr>
        <w:t xml:space="preserve"> but also within the geographical context of South Yorkshire</w:t>
      </w:r>
      <w:r w:rsidR="00AB0C26">
        <w:rPr>
          <w:rFonts w:cs="Calibri"/>
        </w:rPr>
        <w:t>.</w:t>
      </w:r>
      <w:r>
        <w:rPr>
          <w:rFonts w:cs="Calibri"/>
        </w:rPr>
        <w:t xml:space="preserve"> South Yorkshire Police hav</w:t>
      </w:r>
      <w:r w:rsidR="00AB0C26">
        <w:rPr>
          <w:rFonts w:cs="Calibri"/>
        </w:rPr>
        <w:t>e had</w:t>
      </w:r>
      <w:r>
        <w:rPr>
          <w:rFonts w:cs="Calibri"/>
        </w:rPr>
        <w:t xml:space="preserve"> some high-profile failings, such as the Hillsborough disaster. In contrast</w:t>
      </w:r>
      <w:r w:rsidR="00AB0C26">
        <w:rPr>
          <w:rFonts w:cs="Calibri"/>
        </w:rPr>
        <w:t>,</w:t>
      </w:r>
      <w:r>
        <w:rPr>
          <w:rFonts w:cs="Calibri"/>
        </w:rPr>
        <w:t xml:space="preserve"> the HMICFRS reported that UK FRS’ have strong levels of trust and satisfaction among the British public </w:t>
      </w:r>
      <w:r>
        <w:fldChar w:fldCharType="begin" w:fldLock="1"/>
      </w:r>
      <w:r w:rsidR="00974B75">
        <w:rPr>
          <w:rFonts w:cs="Calibri"/>
        </w:rPr>
        <w:instrText>ADDIN CSL_CITATION {"citationItems":[{"id":"ITEM-1","itemData":{"DOI":"10.1093/milmed/157.7.a3a","ISBN":"9781032055435","ISSN":"00264075","PMID":"1528462","author":[{"dropping-particle":"","family":"Wankhade","given":"Paresh","non-dropping-particle":"","parse-names":false,"suffix":""},{"dropping-particle":"","family":"Murphy","given":"Peter","non-dropping-particle":"","parse-names":false,"suffix":""}],"edition":"First","id":"ITEM-1","issued":{"date-parts":[["2023"]]},"publisher":"Routledge","publisher-place":"Abingdon","title":"Emergency services management course: A research Overview","type":"book"},"uris":["http://www.mendeley.com/documents/?uuid=c441c885-3108-4c7e-9d3e-4346bac85c65"]},{"id":"ITEM-2","itemData":{"author":[{"dropping-particle":"","family":"HMICFRS","given":"","non-dropping-particle":"","parse-names":false,"suffix":""}],"id":"ITEM-2","issued":{"date-parts":[["2018"]]},"number-of-pages":"1 - 52","publisher-place":"London","title":"Public Perceptions of Fire and Rescue Services in England 2018","type":"report"},"uris":["http://www.mendeley.com/documents/?uuid=b925a175-f787-4be1-bb7d-2e89478c257d"]}],"mendeley":{"formattedCitation":"(Wankhade &amp; Murphy, 2023; HMICFRS, 2018)","plainTextFormattedCitation":"(Wankhade &amp; Murphy, 2023; HMICFRS, 2018)","previouslyFormattedCitation":"(Wankhade &amp; Murphy, 2023; HMICFRS, 2018)"},"properties":{"noteIndex":0},"schema":"https://github.com/citation-style-language/schema/raw/master/csl-citation.json"}</w:instrText>
      </w:r>
      <w:r>
        <w:rPr>
          <w:rFonts w:cs="Calibri"/>
        </w:rPr>
        <w:fldChar w:fldCharType="separate"/>
      </w:r>
      <w:r>
        <w:rPr>
          <w:rFonts w:cs="Calibri"/>
          <w:noProof/>
        </w:rPr>
        <w:t>(Wankhade &amp; Murphy, 2023; HMICFRS, 2018)</w:t>
      </w:r>
      <w:r>
        <w:rPr>
          <w:rFonts w:cs="Calibri"/>
        </w:rPr>
        <w:fldChar w:fldCharType="end"/>
      </w:r>
      <w:r>
        <w:rPr>
          <w:rFonts w:cs="Calibri"/>
        </w:rPr>
        <w:t xml:space="preserve">. Therefore, examining risk </w:t>
      </w:r>
      <w:r>
        <w:rPr>
          <w:rFonts w:cs="Calibri"/>
        </w:rPr>
        <w:lastRenderedPageBreak/>
        <w:t xml:space="preserve">communication requires local contextual information, as the community logics surrounding different organisations will differ. This thesis provides a contribution not only to the communication literature, examining the risk communication strategies held by a FRS </w:t>
      </w:r>
      <w:r w:rsidR="004712A4">
        <w:rPr>
          <w:rFonts w:cs="Calibri"/>
        </w:rPr>
        <w:t>(</w:t>
      </w:r>
      <w:r>
        <w:rPr>
          <w:rFonts w:cs="Calibri"/>
        </w:rPr>
        <w:t>which is examined in RQ1</w:t>
      </w:r>
      <w:r w:rsidR="004712A4">
        <w:rPr>
          <w:rFonts w:cs="Calibri"/>
        </w:rPr>
        <w:t>)</w:t>
      </w:r>
      <w:r>
        <w:rPr>
          <w:rFonts w:cs="Calibri"/>
        </w:rPr>
        <w:t xml:space="preserve">, but also to the role of different logics and their influence on SYFR’s strategy </w:t>
      </w:r>
      <w:r w:rsidR="004712A4">
        <w:rPr>
          <w:rFonts w:cs="Calibri"/>
        </w:rPr>
        <w:t>(</w:t>
      </w:r>
      <w:r>
        <w:rPr>
          <w:rFonts w:cs="Calibri"/>
        </w:rPr>
        <w:t>examined in RQ2</w:t>
      </w:r>
      <w:r w:rsidR="004712A4">
        <w:rPr>
          <w:rFonts w:cs="Calibri"/>
        </w:rPr>
        <w:t>)</w:t>
      </w:r>
      <w:r>
        <w:rPr>
          <w:rFonts w:cs="Calibri"/>
        </w:rPr>
        <w:t xml:space="preserve">. </w:t>
      </w:r>
    </w:p>
    <w:p w14:paraId="09042D19" w14:textId="77777777" w:rsidR="00787F73" w:rsidRDefault="00787F73" w:rsidP="00866155">
      <w:pPr>
        <w:contextualSpacing/>
        <w:rPr>
          <w:rFonts w:cs="Calibri"/>
        </w:rPr>
      </w:pPr>
    </w:p>
    <w:p w14:paraId="0042C02C" w14:textId="71177753" w:rsidR="00787F73" w:rsidRDefault="00742FB7" w:rsidP="00866155">
      <w:pPr>
        <w:contextualSpacing/>
      </w:pPr>
      <w:r>
        <w:rPr>
          <w:rFonts w:cs="Calibri"/>
        </w:rPr>
        <w:t xml:space="preserve">To examine how SYFR uses social media for risk communication and the development of resilience, there needs to be an understanding of what information is required when creating risk communication. In a study focusing on the tweets prior to the 2013 flooding in Colorado, US, most of the warning and alerting tweets that were spatially and temporally linked to the flooding discussed the </w:t>
      </w:r>
      <w:r>
        <w:rPr>
          <w:rFonts w:cs="Calibri"/>
          <w:i/>
          <w:iCs/>
        </w:rPr>
        <w:t>nature of the disaster</w:t>
      </w:r>
      <w:r>
        <w:rPr>
          <w:rFonts w:cs="Calibri"/>
        </w:rPr>
        <w:t xml:space="preserve"> and the </w:t>
      </w:r>
      <w:r>
        <w:rPr>
          <w:rFonts w:cs="Calibri"/>
          <w:i/>
          <w:iCs/>
        </w:rPr>
        <w:t>impact zone</w:t>
      </w:r>
      <w:r>
        <w:rPr>
          <w:rFonts w:cs="Calibri"/>
        </w:rPr>
        <w:t xml:space="preserve">; this type of information is relevant to impacted individuals enabling them to make plans and decisions to reduce the impact of the disaster, and improve their resilience </w:t>
      </w:r>
      <w:r>
        <w:fldChar w:fldCharType="begin" w:fldLock="1"/>
      </w:r>
      <w:r>
        <w:rPr>
          <w:rFonts w:cs="Calibri"/>
        </w:rPr>
        <w:instrText>ADDIN CSL_CITATION {"citationItems":[{"id":"ITEM-1","itemData":{"DOI":"10.1080/17538947.2018.1480670","ISSN":"17538955","abstract":"Although Twitter is used for emergency management activities, the relevance of tweets during a hazard event is still open to debate. In this study, six different computational (i.e. Natural Language Processing) and spatiotemporal analytical approaches were implemented to assess the relevance of risk information extracted from tweets obtained during the 2013 Colorado flood event. Primarily, tweets containing information about the flooding events and its impacts were analysed. Examination of the relationships between tweet volume and its content with precipitation amount, damage extent, and official reports revealed that relevant tweets provided information about the event and its impacts rather than any other risk information that public expects to receive via alert messages. However, only 14% of the geo-tagged tweets and only 0.06% of the total fire hose tweets were found to be relevant to the event. By providing insight into the quality of social media data and its usefulness to emergency management activities, this study contributes to the literature on quality of big data. Future research in this area would focus on assessing the reliability of relevant tweets for disaster related situational awareness.","author":[{"dropping-particle":"","family":"Liu","given":"Xiaohui","non-dropping-particle":"","parse-names":false,"suffix":""},{"dropping-particle":"","family":"Kar","given":"Bandana","non-dropping-particle":"","parse-names":false,"suffix":""},{"dropping-particle":"","family":"Zhang","given":"Chaoyang","non-dropping-particle":"","parse-names":false,"suffix":""},{"dropping-particle":"","family":"Cochran","given":"David M.","non-dropping-particle":"","parse-names":false,"suffix":""}],"container-title":"International Journal of Digital Earth","id":"ITEM-1","issue":"7","issued":{"date-parts":[["2019"]]},"page":"781-801","publisher":"Taylor &amp; Francis","title":"Assessing relevance of tweets for risk communication","type":"article-journal","volume":"12"},"uris":["http://www.mendeley.com/documents/?uuid=a1aeac85-39ce-43ac-8e69-76cb0fe26dfc"]}],"mendeley":{"formattedCitation":"(Liu et al., 2019)","plainTextFormattedCitation":"(Liu et al., 2019)","previouslyFormattedCitation":"(Liu et al., 2019)"},"properties":{"noteIndex":0},"schema":"https://github.com/citation-style-language/schema/raw/master/csl-citation.json"}</w:instrText>
      </w:r>
      <w:r>
        <w:rPr>
          <w:rFonts w:cs="Calibri"/>
        </w:rPr>
        <w:fldChar w:fldCharType="separate"/>
      </w:r>
      <w:r>
        <w:rPr>
          <w:rFonts w:cs="Calibri"/>
          <w:noProof/>
        </w:rPr>
        <w:t>(Liu et al., 2019)</w:t>
      </w:r>
      <w:r>
        <w:rPr>
          <w:rFonts w:cs="Calibri"/>
        </w:rPr>
        <w:fldChar w:fldCharType="end"/>
      </w:r>
      <w:r>
        <w:rPr>
          <w:rFonts w:cs="Calibri"/>
        </w:rPr>
        <w:t xml:space="preserve">, suggesting a hyper local approach.  Within these communications, there needs to be a level of </w:t>
      </w:r>
      <w:r>
        <w:rPr>
          <w:rFonts w:cs="Calibri"/>
          <w:i/>
          <w:iCs/>
        </w:rPr>
        <w:t>data quality</w:t>
      </w:r>
      <w:r>
        <w:rPr>
          <w:rFonts w:cs="Calibri"/>
        </w:rPr>
        <w:t xml:space="preserve">, focusing on accuracy, completeness, relevance, reliability and accessibility </w:t>
      </w:r>
      <w:r>
        <w:fldChar w:fldCharType="begin" w:fldLock="1"/>
      </w:r>
      <w:r>
        <w:rPr>
          <w:rFonts w:cs="Calibri"/>
        </w:rPr>
        <w:instrText>ADDIN CSL_CITATION {"citationItems":[{"id":"ITEM-1","itemData":{"DOI":"10.1080/17538947.2018.1480670","ISSN":"17538955","abstract":"Although Twitter is used for emergency management activities, the relevance of tweets during a hazard event is still open to debate. In this study, six different computational (i.e. Natural Language Processing) and spatiotemporal analytical approaches were implemented to assess the relevance of risk information extracted from tweets obtained during the 2013 Colorado flood event. Primarily, tweets containing information about the flooding events and its impacts were analysed. Examination of the relationships between tweet volume and its content with precipitation amount, damage extent, and official reports revealed that relevant tweets provided information about the event and its impacts rather than any other risk information that public expects to receive via alert messages. However, only 14% of the geo-tagged tweets and only 0.06% of the total fire hose tweets were found to be relevant to the event. By providing insight into the quality of social media data and its usefulness to emergency management activities, this study contributes to the literature on quality of big data. Future research in this area would focus on assessing the reliability of relevant tweets for disaster related situational awareness.","author":[{"dropping-particle":"","family":"Liu","given":"Xiaohui","non-dropping-particle":"","parse-names":false,"suffix":""},{"dropping-particle":"","family":"Kar","given":"Bandana","non-dropping-particle":"","parse-names":false,"suffix":""},{"dropping-particle":"","family":"Zhang","given":"Chaoyang","non-dropping-particle":"","parse-names":false,"suffix":""},{"dropping-particle":"","family":"Cochran","given":"David M.","non-dropping-particle":"","parse-names":false,"suffix":""}],"container-title":"International Journal of Digital Earth","id":"ITEM-1","issue":"7","issued":{"date-parts":[["2019"]]},"page":"781-801","publisher":"Taylor &amp; Francis","title":"Assessing relevance of tweets for risk communication","type":"article-journal","volume":"12"},"uris":["http://www.mendeley.com/documents/?uuid=a1aeac85-39ce-43ac-8e69-76cb0fe26dfc"]}],"mendeley":{"formattedCitation":"(Liu et al., 2019)","plainTextFormattedCitation":"(Liu et al., 2019)","previouslyFormattedCitation":"(Liu et al., 2019)"},"properties":{"noteIndex":0},"schema":"https://github.com/citation-style-language/schema/raw/master/csl-citation.json"}</w:instrText>
      </w:r>
      <w:r>
        <w:rPr>
          <w:rFonts w:cs="Calibri"/>
        </w:rPr>
        <w:fldChar w:fldCharType="separate"/>
      </w:r>
      <w:r>
        <w:rPr>
          <w:rFonts w:cs="Calibri"/>
          <w:noProof/>
        </w:rPr>
        <w:t>(Liu et al., 2019)</w:t>
      </w:r>
      <w:r>
        <w:rPr>
          <w:rFonts w:cs="Calibri"/>
        </w:rPr>
        <w:fldChar w:fldCharType="end"/>
      </w:r>
      <w:r w:rsidR="00AB0C26">
        <w:rPr>
          <w:rFonts w:cs="Calibri"/>
        </w:rPr>
        <w:t>. This would</w:t>
      </w:r>
      <w:r>
        <w:rPr>
          <w:rFonts w:cs="Calibri"/>
        </w:rPr>
        <w:t xml:space="preserve"> ensur</w:t>
      </w:r>
      <w:r w:rsidR="00AB0C26">
        <w:rPr>
          <w:rFonts w:cs="Calibri"/>
        </w:rPr>
        <w:t>e</w:t>
      </w:r>
      <w:r>
        <w:rPr>
          <w:rFonts w:cs="Calibri"/>
        </w:rPr>
        <w:t xml:space="preserve"> that all members of the at-risk group have the correct information to make informed decisions, which suggests that there needs to be greater focus on the audience and the context of each risk.</w:t>
      </w:r>
    </w:p>
    <w:p w14:paraId="1BD31248" w14:textId="77777777" w:rsidR="00787F73" w:rsidRDefault="00787F73" w:rsidP="00866155">
      <w:pPr>
        <w:spacing w:after="160"/>
        <w:contextualSpacing/>
        <w:rPr>
          <w:rFonts w:cs="Calibri"/>
        </w:rPr>
      </w:pPr>
    </w:p>
    <w:p w14:paraId="0B7113C6" w14:textId="1EE3EEF7" w:rsidR="00787F73" w:rsidRDefault="00742FB7" w:rsidP="00866155">
      <w:pPr>
        <w:spacing w:after="160"/>
        <w:contextualSpacing/>
      </w:pPr>
      <w:r>
        <w:rPr>
          <w:rFonts w:cs="Calibri"/>
        </w:rPr>
        <w:t>Risk communication aims to motivate specific risk-reducing actions within individuals and community groups; this can be done through education or lived experience. Educating people about risks aims to increase their perception of risk (threat appraisal), and encourage</w:t>
      </w:r>
      <w:r w:rsidR="00AB0C26">
        <w:rPr>
          <w:rFonts w:cs="Calibri"/>
        </w:rPr>
        <w:t>s</w:t>
      </w:r>
      <w:r>
        <w:rPr>
          <w:rFonts w:cs="Calibri"/>
        </w:rPr>
        <w:t xml:space="preserve"> them to engage in mitigation activities (coping appraisal); this can also be done through storytelling, and the sharing of individuals experiences and their knowledge of previous protective behaviours </w:t>
      </w:r>
      <w:r>
        <w:fldChar w:fldCharType="begin" w:fldLock="1"/>
      </w:r>
      <w:r w:rsidR="00974B75">
        <w:rPr>
          <w:rFonts w:cs="Calibri"/>
        </w:rPr>
        <w:instrText>ADDIN CSL_CITATION {"citationItems":[{"id":"ITEM-1","itemData":{"DOI":"10.1016/j.proeng.2018.01.032","ISSN":"18777058","abstract":"The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Engineering","id":"ITEM-1","issued":{"date-parts":[["2018"]]},"page":"246-253","publisher":"Elsevier B.V.","title":"Conceptual Framework for Motivating Actions towards Disaster Preparedness Through Risk Communication","type":"article-journal","volume":"212"},"uris":["http://www.mendeley.com/documents/?uuid=01e245d0-867b-47cd-8164-80d2bc1d7862"]},{"id":"ITEM-2","itemData":{"author":[{"dropping-particle":"","family":"Macdonagh","given":"Peter","non-dropping-particle":"","parse-names":false,"suffix":""},{"dropping-particle":"","family":"Comer","given":"Michelle","non-dropping-particle":"","parse-names":false,"suffix":""},{"dropping-particle":"","family":"Mackin","given":"Martin","non-dropping-particle":"","parse-names":false,"suffix":""},{"dropping-particle":"","family":"O'Byrnes","given":"Ruth","non-dropping-particle":"","parse-names":false,"suffix":""},{"dropping-particle":"","family":"Dobrokhotova","given":"Ekaterina","non-dropping-particle":"","parse-names":false,"suffix":""},{"dropping-particle":"","family":"Wendt","given":"Willi","non-dropping-particle":"","parse-names":false,"suffix":""},{"dropping-particle":"","family":"Kloyber","given":"Christian","non-dropping-particle":"","parse-names":false,"suffix":""},{"dropping-particle":"","family":"Elliot","given":"Aideen","non-dropping-particle":"","parse-names":false,"suffix":""},{"dropping-particle":"","family":"McCarthy","given":"Sadbh","non-dropping-particle":"","parse-names":false,"suffix":""}],"id":"ITEM-2","issued":{"date-parts":[["2016"]]},"number-of-pages":"1-131","title":"D35.1 - Best Practice In Communication for Civil Resilience","type":"report"},"uris":["http://www.mendeley.com/documents/?uuid=9c2e1b15-5c78-4c06-bc51-02589f54f1b9"]},{"id":"ITEM-3","itemData":{"DOI":"10.1016/j.ijdrr.2017.04.015","ISSN":"22124209","abstract":"The medium of film is well established for education and communication about hazardous phenomena as it provides engaging ways to directly view hazards and their impacts. Empirical analysis can help to understand films’ effectiveness in informing populations at risk and catalysing action to reduce risk. Using volcanic eruptions as a focus, an evidence-based methodology was devised to create, use, and track the outcomes of digital film tools designed to raise hazard and risk awareness, and develop preparedness efforts. Experiences from two contrasting eruptions were documented, with the secondary purpose of fostering social and cultural memories of eruptions, developed in response to demand from at-risk communities during field-based research. The films were created as a partnership with local volcano monitoring scientists and at-risk populations who, consequently, became the leading focus of the films, thus offering a substantial contrast to other types of hazard communication. The films were analysed by sharing them with at-risk communities and evaluating the immediate influence on learning and affect. Results indicated that the use of local content and actors to share experiences and teach valuable lessons were inspirational. Recognizable faces and spaces helped to convey disaster risk reduction messages. They also motivated audiences to consider ownership of risk and potential actions to reduce risk and strengthen resilience. This study demonstrated the effectiveness of co-production in the design and execution of intervention strategies for volcanic risk reduction. Co-production of films with local agencies resulted in products that were contextually appropriate, meaningful for audiences, and useful risk communication tools.","author":[{"dropping-particle":"","family":"Hicks","given":"Anna","non-dropping-particle":"","parse-names":false,"suffix":""},{"dropping-particle":"","family":"Armijos","given":"Maria Teresa","non-dropping-particle":"","parse-names":false,"suffix":""},{"dropping-particle":"","family":"Barclay","given":"Jenni","non-dropping-particle":"","parse-names":false,"suffix":""},{"dropping-particle":"","family":"Stone","given":"Jonathan","non-dropping-particle":"","parse-names":false,"suffix":""},{"dropping-particle":"","family":"Robertson","given":"Richard","non-dropping-particle":"","parse-names":false,"suffix":""},{"dropping-particle":"","family":"Cortés","given":"Gloria Patricia","non-dropping-particle":"","parse-names":false,"suffix":""}],"container-title":"International Journal of Disaster Risk Reduction","id":"ITEM-3","issued":{"date-parts":[["2017"]]},"page":"138-151","publisher":"Elsevier Ltd","title":"Risk communication films: Process, product and potential for improving preparedness and behaviour change","type":"article-journal","volume":"23"},"uris":["http://www.mendeley.com/documents/?uuid=0f5f1ccc-9589-4eed-a1d9-c3f921c1cc41"]}],"mendeley":{"formattedCitation":"(Abunyewah, Gajendran, &amp; Maund, 2018; Hicks et al., 2017; Macdonagh et al., 2016)","plainTextFormattedCitation":"(Abunyewah, Gajendran, &amp; Maund, 2018; Hicks et al., 2017; Macdonagh et al., 2016)","previouslyFormattedCitation":"(Abunyewah, Gajendran, &amp; Maund, 2018; Hicks et al., 2017; Macdonagh et al., 2016)"},"properties":{"noteIndex":0},"schema":"https://github.com/citation-style-language/schema/raw/master/csl-citation.json"}</w:instrText>
      </w:r>
      <w:r>
        <w:rPr>
          <w:rFonts w:cs="Calibri"/>
        </w:rPr>
        <w:fldChar w:fldCharType="separate"/>
      </w:r>
      <w:r>
        <w:rPr>
          <w:rFonts w:cs="Calibri"/>
          <w:noProof/>
        </w:rPr>
        <w:t>(Abunyewah, Gajendran, &amp; Maund, 2018; Hicks et al., 2017; Macdonagh et al., 2016)</w:t>
      </w:r>
      <w:r>
        <w:rPr>
          <w:rFonts w:cs="Calibri"/>
        </w:rPr>
        <w:fldChar w:fldCharType="end"/>
      </w:r>
      <w:r>
        <w:rPr>
          <w:rFonts w:cs="Calibri"/>
        </w:rPr>
        <w:t xml:space="preserve">. This was seen in St Vincent as well as Colombia with the creation of a series of films created by a research team to develop a sense of risk awareness about local volcanoes with the use of local people’s experiences to develop a shared community risk perception </w:t>
      </w:r>
      <w:r>
        <w:fldChar w:fldCharType="begin" w:fldLock="1"/>
      </w:r>
      <w:r w:rsidR="00974B75">
        <w:rPr>
          <w:rFonts w:cs="Calibri"/>
        </w:rPr>
        <w:instrText>ADDIN CSL_CITATION {"citationItems":[{"id":"ITEM-1","itemData":{"DOI":"10.1016/j.ijdrr.2017.04.015","ISSN":"22124209","abstract":"The medium of film is well established for education and communication about hazardous phenomena as it provides engaging ways to directly view hazards and their impacts. Empirical analysis can help to understand films’ effectiveness in informing populations at risk and catalysing action to reduce risk. Using volcanic eruptions as a focus, an evidence-based methodology was devised to create, use, and track the outcomes of digital film tools designed to raise hazard and risk awareness, and develop preparedness efforts. Experiences from two contrasting eruptions were documented, with the secondary purpose of fostering social and cultural memories of eruptions, developed in response to demand from at-risk communities during field-based research. The films were created as a partnership with local volcano monitoring scientists and at-risk populations who, consequently, became the leading focus of the films, thus offering a substantial contrast to other types of hazard communication. The films were analysed by sharing them with at-risk communities and evaluating the immediate influence on learning and affect. Results indicated that the use of local content and actors to share experiences and teach valuable lessons were inspirational. Recognizable faces and spaces helped to convey disaster risk reduction messages. They also motivated audiences to consider ownership of risk and potential actions to reduce risk and strengthen resilience. This study demonstrated the effectiveness of co-production in the design and execution of intervention strategies for volcanic risk reduction. Co-production of films with local agencies resulted in products that were contextually appropriate, meaningful for audiences, and useful risk communication tools.","author":[{"dropping-particle":"","family":"Hicks","given":"Anna","non-dropping-particle":"","parse-names":false,"suffix":""},{"dropping-particle":"","family":"Armijos","given":"Maria Teresa","non-dropping-particle":"","parse-names":false,"suffix":""},{"dropping-particle":"","family":"Barclay","given":"Jenni","non-dropping-particle":"","parse-names":false,"suffix":""},{"dropping-particle":"","family":"Stone","given":"Jonathan","non-dropping-particle":"","parse-names":false,"suffix":""},{"dropping-particle":"","family":"Robertson","given":"Richard","non-dropping-particle":"","parse-names":false,"suffix":""},{"dropping-particle":"","family":"Cortés","given":"Gloria Patricia","non-dropping-particle":"","parse-names":false,"suffix":""}],"container-title":"International Journal of Disaster Risk Reduction","id":"ITEM-1","issued":{"date-parts":[["2017"]]},"page":"138-151","publisher":"Elsevier Ltd","title":"Risk communication films: Process, product and potential for improving preparedness and behaviour change","type":"article-journal","volume":"23"},"uris":["http://www.mendeley.com/documents/?uuid=0f5f1ccc-9589-4eed-a1d9-c3f921c1cc41"]}],"mendeley":{"formattedCitation":"(Hicks et al., 2017)","plainTextFormattedCitation":"(Hicks et al., 2017)","previouslyFormattedCitation":"(Hicks et al., 2017)"},"properties":{"noteIndex":0},"schema":"https://github.com/citation-style-language/schema/raw/master/csl-citation.json"}</w:instrText>
      </w:r>
      <w:r>
        <w:rPr>
          <w:rFonts w:cs="Calibri"/>
        </w:rPr>
        <w:fldChar w:fldCharType="separate"/>
      </w:r>
      <w:r>
        <w:rPr>
          <w:rFonts w:cs="Calibri"/>
          <w:noProof/>
        </w:rPr>
        <w:t>(Hicks et al., 2017)</w:t>
      </w:r>
      <w:r>
        <w:rPr>
          <w:rFonts w:cs="Calibri"/>
        </w:rPr>
        <w:fldChar w:fldCharType="end"/>
      </w:r>
      <w:r>
        <w:rPr>
          <w:rFonts w:cs="Calibri"/>
        </w:rPr>
        <w:t xml:space="preserve">. This awareness of risk can be communicated via education of the different types of hazard, the mechanisms of the risk, and how actions can be adjusted to mitigate the risk </w:t>
      </w:r>
      <w:r>
        <w:fldChar w:fldCharType="begin" w:fldLock="1"/>
      </w:r>
      <w:r w:rsidR="00974B75">
        <w:rPr>
          <w:rFonts w:cs="Calibri"/>
        </w:rPr>
        <w:instrText>ADDIN CSL_CITATION {"citationItems":[{"id":"ITEM-1","itemData":{"DOI":"10.1016/j.proeng.2018.01.032","ISSN":"18777058","abstract":"The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Engineering","id":"ITEM-1","issued":{"date-parts":[["2018"]]},"page":"246-253","publisher":"Elsevier B.V.","title":"Conceptual Framework for Motivating Actions towards Disaster Preparedness Through Risk Communication","type":"article-journal","volume":"212"},"uris":["http://www.mendeley.com/documents/?uuid=01e245d0-867b-47cd-8164-80d2bc1d7862"]}],"mendeley":{"formattedCitation":"(Abunyewah, Gajendran, &amp; Maund, 2018)","plainTextFormattedCitation":"(Abunyewah, Gajendran, &amp; Maund, 2018)","previouslyFormattedCitation":"(Abunyewah, Gajendran, &amp; Maund, 2018)"},"properties":{"noteIndex":0},"schema":"https://github.com/citation-style-language/schema/raw/master/csl-citation.json"}</w:instrText>
      </w:r>
      <w:r>
        <w:rPr>
          <w:rFonts w:cs="Calibri"/>
        </w:rPr>
        <w:fldChar w:fldCharType="separate"/>
      </w:r>
      <w:r>
        <w:rPr>
          <w:rFonts w:cs="Calibri"/>
          <w:noProof/>
        </w:rPr>
        <w:t>(Abunyewah, Gajendran, &amp; Maund, 2018)</w:t>
      </w:r>
      <w:r>
        <w:rPr>
          <w:rFonts w:cs="Calibri"/>
        </w:rPr>
        <w:fldChar w:fldCharType="end"/>
      </w:r>
      <w:r>
        <w:rPr>
          <w:rFonts w:cs="Calibri"/>
        </w:rPr>
        <w:t xml:space="preserve">. This focus on </w:t>
      </w:r>
      <w:r>
        <w:rPr>
          <w:rFonts w:cs="Calibri"/>
        </w:rPr>
        <w:lastRenderedPageBreak/>
        <w:t xml:space="preserve">educating communities about risk aims to encourage individuals to adopt protective measures </w:t>
      </w:r>
      <w:r>
        <w:fldChar w:fldCharType="begin" w:fldLock="1"/>
      </w:r>
      <w:r w:rsidR="00974B75">
        <w:rPr>
          <w:rFonts w:cs="Calibri"/>
        </w:rPr>
        <w:instrText>ADDIN CSL_CITATION {"citationItems":[{"id":"ITEM-1","itemData":{"DOI":"10.1016/j.ijdrr.2017.04.015","ISSN":"22124209","abstract":"The medium of film is well established for education and communication about hazardous phenomena as it provides engaging ways to directly view hazards and their impacts. Empirical analysis can help to understand films’ effectiveness in informing populations at risk and catalysing action to reduce risk. Using volcanic eruptions as a focus, an evidence-based methodology was devised to create, use, and track the outcomes of digital film tools designed to raise hazard and risk awareness, and develop preparedness efforts. Experiences from two contrasting eruptions were documented, with the secondary purpose of fostering social and cultural memories of eruptions, developed in response to demand from at-risk communities during field-based research. The films were created as a partnership with local volcano monitoring scientists and at-risk populations who, consequently, became the leading focus of the films, thus offering a substantial contrast to other types of hazard communication. The films were analysed by sharing them with at-risk communities and evaluating the immediate influence on learning and affect. Results indicated that the use of local content and actors to share experiences and teach valuable lessons were inspirational. Recognizable faces and spaces helped to convey disaster risk reduction messages. They also motivated audiences to consider ownership of risk and potential actions to reduce risk and strengthen resilience. This study demonstrated the effectiveness of co-production in the design and execution of intervention strategies for volcanic risk reduction. Co-production of films with local agencies resulted in products that were contextually appropriate, meaningful for audiences, and useful risk communication tools.","author":[{"dropping-particle":"","family":"Hicks","given":"Anna","non-dropping-particle":"","parse-names":false,"suffix":""},{"dropping-particle":"","family":"Armijos","given":"Maria Teresa","non-dropping-particle":"","parse-names":false,"suffix":""},{"dropping-particle":"","family":"Barclay","given":"Jenni","non-dropping-particle":"","parse-names":false,"suffix":""},{"dropping-particle":"","family":"Stone","given":"Jonathan","non-dropping-particle":"","parse-names":false,"suffix":""},{"dropping-particle":"","family":"Robertson","given":"Richard","non-dropping-particle":"","parse-names":false,"suffix":""},{"dropping-particle":"","family":"Cortés","given":"Gloria Patricia","non-dropping-particle":"","parse-names":false,"suffix":""}],"container-title":"International Journal of Disaster Risk Reduction","id":"ITEM-1","issued":{"date-parts":[["2017"]]},"page":"138-151","publisher":"Elsevier Ltd","title":"Risk communication films: Process, product and potential for improving preparedness and behaviour change","type":"article-journal","volume":"23"},"uris":["http://www.mendeley.com/documents/?uuid=0f5f1ccc-9589-4eed-a1d9-c3f921c1cc41"]},{"id":"ITEM-2","itemData":{"DOI":"10.1007/s11069-017-3111-0","ISSN":"15730840","abstract":"Communicating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Hazards","id":"ITEM-2","issued":{"date-parts":[["2018"]]},"page":"1461-1483","title":"How does information affect fire risk reduction behaviors? Mediating effects of cognitive processes and subjective knowledge","type":"article-journal","volume":"90"},"uris":["http://www.mendeley.com/documents/?uuid=b253cc58-5f59-4b2e-9c77-76be2b2788b4"]}],"mendeley":{"formattedCitation":"(Liu &amp; Jiao, 2018; Hicks et al., 2017)","plainTextFormattedCitation":"(Liu &amp; Jiao, 2018; Hicks et al., 2017)","previouslyFormattedCitation":"(Liu &amp; Jiao, 2018; Hicks et al., 2017)"},"properties":{"noteIndex":0},"schema":"https://github.com/citation-style-language/schema/raw/master/csl-citation.json"}</w:instrText>
      </w:r>
      <w:r>
        <w:rPr>
          <w:rFonts w:cs="Calibri"/>
        </w:rPr>
        <w:fldChar w:fldCharType="separate"/>
      </w:r>
      <w:r>
        <w:rPr>
          <w:rFonts w:cs="Calibri"/>
          <w:noProof/>
        </w:rPr>
        <w:t>(Liu &amp; Jiao, 2018; Hicks et al., 2017)</w:t>
      </w:r>
      <w:r>
        <w:rPr>
          <w:rFonts w:cs="Calibri"/>
        </w:rPr>
        <w:fldChar w:fldCharType="end"/>
      </w:r>
      <w:r>
        <w:rPr>
          <w:rFonts w:cs="Calibri"/>
        </w:rPr>
        <w:t xml:space="preserve"> and assumes that once they have the information that they will act on it, therefore following the traditional DRR institutional logic of using the </w:t>
      </w:r>
      <w:r w:rsidR="00912954">
        <w:rPr>
          <w:rFonts w:cs="Calibri"/>
        </w:rPr>
        <w:t>D</w:t>
      </w:r>
      <w:r w:rsidR="004F7B90">
        <w:rPr>
          <w:rFonts w:cs="Calibri"/>
        </w:rPr>
        <w:t xml:space="preserve">eficit </w:t>
      </w:r>
      <w:r w:rsidR="00912954">
        <w:rPr>
          <w:rFonts w:cs="Calibri"/>
        </w:rPr>
        <w:t>M</w:t>
      </w:r>
      <w:r w:rsidR="004F7B90">
        <w:rPr>
          <w:rFonts w:cs="Calibri"/>
        </w:rPr>
        <w:t>odel</w:t>
      </w:r>
      <w:r>
        <w:rPr>
          <w:rFonts w:cs="Calibri"/>
        </w:rPr>
        <w:t>. This highlights the need to understand the audience that is at risk, providing organisations, such as SYFR, with the required contextual information to design targeted communication.</w:t>
      </w:r>
      <w:r w:rsidR="00C02EEB">
        <w:rPr>
          <w:rFonts w:cs="Calibri"/>
        </w:rPr>
        <w:t xml:space="preserve"> This thesis used this understanding to structure the data collection </w:t>
      </w:r>
      <w:r w:rsidR="001028E7">
        <w:rPr>
          <w:rFonts w:cs="Calibri"/>
        </w:rPr>
        <w:t>by</w:t>
      </w:r>
      <w:r w:rsidR="00C02EEB">
        <w:rPr>
          <w:rFonts w:cs="Calibri"/>
        </w:rPr>
        <w:t xml:space="preserve"> examining SYFR</w:t>
      </w:r>
      <w:r w:rsidR="00AB0C26">
        <w:rPr>
          <w:rFonts w:cs="Calibri"/>
        </w:rPr>
        <w:t>’</w:t>
      </w:r>
      <w:r w:rsidR="00C02EEB">
        <w:rPr>
          <w:rFonts w:cs="Calibri"/>
        </w:rPr>
        <w:t xml:space="preserve">s aims of communication, through their wider communication plans, as well as their specific PIC aims and evaluations. </w:t>
      </w:r>
      <w:r w:rsidR="001028E7">
        <w:rPr>
          <w:rFonts w:cs="Calibri"/>
        </w:rPr>
        <w:t>T</w:t>
      </w:r>
      <w:r w:rsidR="00C02EEB">
        <w:rPr>
          <w:rFonts w:cs="Calibri"/>
        </w:rPr>
        <w:t>heir aims and evaluations</w:t>
      </w:r>
      <w:r w:rsidR="001028E7">
        <w:rPr>
          <w:rFonts w:cs="Calibri"/>
        </w:rPr>
        <w:t xml:space="preserve"> were then analysed</w:t>
      </w:r>
      <w:r w:rsidR="00C02EEB">
        <w:rPr>
          <w:rFonts w:cs="Calibri"/>
        </w:rPr>
        <w:t xml:space="preserve"> </w:t>
      </w:r>
      <w:r w:rsidR="001028E7">
        <w:rPr>
          <w:rFonts w:cs="Calibri"/>
        </w:rPr>
        <w:t>by an</w:t>
      </w:r>
      <w:r w:rsidR="00C02EEB">
        <w:rPr>
          <w:rFonts w:cs="Calibri"/>
        </w:rPr>
        <w:t xml:space="preserve"> </w:t>
      </w:r>
      <w:r w:rsidR="001028E7">
        <w:rPr>
          <w:rFonts w:cs="Calibri"/>
        </w:rPr>
        <w:t>examination of</w:t>
      </w:r>
      <w:r w:rsidR="00C02EEB">
        <w:rPr>
          <w:rFonts w:cs="Calibri"/>
        </w:rPr>
        <w:t xml:space="preserve"> their followers on social media (see Chapter 6).</w:t>
      </w:r>
    </w:p>
    <w:p w14:paraId="0C105CF6" w14:textId="77777777" w:rsidR="00787F73" w:rsidRDefault="00787F73" w:rsidP="00866155">
      <w:pPr>
        <w:pStyle w:val="Heading5"/>
        <w:spacing w:line="360" w:lineRule="auto"/>
        <w:rPr>
          <w:rFonts w:ascii="Calibri" w:hAnsi="Calibri" w:cs="Calibri"/>
        </w:rPr>
      </w:pPr>
      <w:bookmarkStart w:id="213" w:name="_Toc139636626"/>
      <w:bookmarkStart w:id="214" w:name="_Toc98148314"/>
      <w:bookmarkStart w:id="215" w:name="_Toc139645580"/>
      <w:bookmarkStart w:id="216" w:name="_Hlk139551500"/>
    </w:p>
    <w:p w14:paraId="6ACB0E86" w14:textId="77777777" w:rsidR="00787F73" w:rsidRDefault="00742FB7" w:rsidP="00866155">
      <w:pPr>
        <w:pStyle w:val="Heading5"/>
        <w:spacing w:line="360" w:lineRule="auto"/>
      </w:pPr>
      <w:bookmarkStart w:id="217" w:name="_Toc93410814"/>
      <w:bookmarkStart w:id="218" w:name="_Toc67579753"/>
      <w:r>
        <w:rPr>
          <w:rFonts w:ascii="Calibri" w:hAnsi="Calibri" w:cs="Calibri"/>
        </w:rPr>
        <w:t>Understanding the audience</w:t>
      </w:r>
      <w:bookmarkEnd w:id="217"/>
      <w:bookmarkEnd w:id="218"/>
      <w:r>
        <w:rPr>
          <w:rFonts w:ascii="Calibri" w:hAnsi="Calibri" w:cs="Calibri"/>
        </w:rPr>
        <w:t xml:space="preserve"> at risk</w:t>
      </w:r>
      <w:bookmarkEnd w:id="213"/>
      <w:bookmarkEnd w:id="214"/>
      <w:bookmarkEnd w:id="215"/>
      <w:r>
        <w:rPr>
          <w:rFonts w:ascii="Calibri" w:hAnsi="Calibri" w:cs="Calibri"/>
        </w:rPr>
        <w:t xml:space="preserve"> </w:t>
      </w:r>
      <w:bookmarkEnd w:id="216"/>
    </w:p>
    <w:p w14:paraId="0AF91DA0" w14:textId="77777777" w:rsidR="00787F73" w:rsidRDefault="00742FB7" w:rsidP="00866155">
      <w:pPr>
        <w:contextualSpacing/>
      </w:pPr>
      <w:r>
        <w:rPr>
          <w:rFonts w:cs="Calibri"/>
        </w:rPr>
        <w:t>In order to target risk communication to relevant practitioner and community individuals</w:t>
      </w:r>
      <w:r w:rsidR="00AB0C26">
        <w:rPr>
          <w:rFonts w:cs="Calibri"/>
        </w:rPr>
        <w:t>,</w:t>
      </w:r>
      <w:r>
        <w:rPr>
          <w:rFonts w:cs="Calibri"/>
        </w:rPr>
        <w:t xml:space="preserve"> there needs to be an understanding of the audience exploring their needs and comprehension </w:t>
      </w:r>
      <w:r>
        <w:fldChar w:fldCharType="begin" w:fldLock="1"/>
      </w:r>
      <w:r w:rsidR="00974B75">
        <w:rPr>
          <w:rFonts w:cs="Calibri"/>
        </w:rPr>
        <w:instrText>ADDIN CSL_CITATION {"citationItems":[{"id":"ITEM-1","itemData":{"DOI":"10.1016/j.ijdrr.2017.04.015","ISSN":"22124209","abstract":"The medium of film is well established for education and communication about hazardous phenomena as it provides engaging ways to directly view hazards and their impacts. Empirical analysis can help to understand films’ effectiveness in informing populations at risk and catalysing action to reduce risk. Using volcanic eruptions as a focus, an evidence-based methodology was devised to create, use, and track the outcomes of digital film tools designed to raise hazard and risk awareness, and develop preparedness efforts. Experiences from two contrasting eruptions were documented, with the secondary purpose of fostering social and cultural memories of eruptions, developed in response to demand from at-risk communities during field-based research. The films were created as a partnership with local volcano monitoring scientists and at-risk populations who, consequently, became the leading focus of the films, thus offering a substantial contrast to other types of hazard communication. The films were analysed by sharing them with at-risk communities and evaluating the immediate influence on learning and affect. Results indicated that the use of local content and actors to share experiences and teach valuable lessons were inspirational. Recognizable faces and spaces helped to convey disaster risk reduction messages. They also motivated audiences to consider ownership of risk and potential actions to reduce risk and strengthen resilience. This study demonstrated the effectiveness of co-production in the design and execution of intervention strategies for volcanic risk reduction. Co-production of films with local agencies resulted in products that were contextually appropriate, meaningful for audiences, and useful risk communication tools.","author":[{"dropping-particle":"","family":"Hicks","given":"Anna","non-dropping-particle":"","parse-names":false,"suffix":""},{"dropping-particle":"","family":"Armijos","given":"Maria Teresa","non-dropping-particle":"","parse-names":false,"suffix":""},{"dropping-particle":"","family":"Barclay","given":"Jenni","non-dropping-particle":"","parse-names":false,"suffix":""},{"dropping-particle":"","family":"Stone","given":"Jonathan","non-dropping-particle":"","parse-names":false,"suffix":""},{"dropping-particle":"","family":"Robertson","given":"Richard","non-dropping-particle":"","parse-names":false,"suffix":""},{"dropping-particle":"","family":"Cortés","given":"Gloria Patricia","non-dropping-particle":"","parse-names":false,"suffix":""}],"container-title":"International Journal of Disaster Risk Reduction","id":"ITEM-1","issued":{"date-parts":[["2017"]]},"page":"138-151","publisher":"Elsevier Ltd","title":"Risk communication films: Process, product and potential for improving preparedness and behaviour change","type":"article-journal","volume":"23"},"uris":["http://www.mendeley.com/documents/?uuid=0f5f1ccc-9589-4eed-a1d9-c3f921c1cc41"]},{"id":"ITEM-2","itemData":{"DOI":"10.1016/j.proeng.2018.01.032","ISSN":"18777058","abstract":"The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Engineering","id":"ITEM-2","issued":{"date-parts":[["2018"]]},"page":"246-253","publisher":"Elsevier B.V.","title":"Conceptual Framework for Motivating Actions towards Disaster Preparedness Through Risk Communication","type":"article-journal","volume":"212"},"uris":["http://www.mendeley.com/documents/?uuid=01e245d0-867b-47cd-8164-80d2bc1d7862"]},{"id":"ITEM-3","itemData":{"DOI":"10.1016/j.jhydrol.2018.11.007","ISSN":"00221694","abstract":"Flood risk management is gradually shifting from a risk-based approach to an integrated one that, among other elements, considers risk communication (RC) as a means of boosting resilience. Regardless of the above, few scientists have tackled up to now the integration of RC into flood risk management. In this connection, this particular study seeks to check out the potential of a risk dialogue approach (based on an ad hoc RC strategy) to change attitudes and behaviours in relation to flash flood risk. Via a pre-post survey design, we evaluated risk perception and awareness regarding a Civil Protection Plan (CPP) implemented locally (i.e., in the municipality of Navaluenga, central Spain). For this particular objective, a questionnaire survey was created, and 201 adults (representing more than 10% of the population census) were interviewed twice in a one-year period. Before the second survey, an RC strategy was created. The RC strategy comprised briefings, quiz answers, storytelling, a contest of videos and photographs about past floods, and an intergenerational workshop. A t-test for paired sample analyses and a general linear model (GLM) repeated measures ANOVA were applied to identify changes in risk perception and awareness. Our results indicate that the RC strategy did increase flood risk perception in Navaluenga in the long term (lifetime). Also, it increased the level of awareness of the various features that comprise the CPP, enabling people to be more competent in facing a flash flood. Some cognitive biases detected in the perceptual process of human beings may shed some light on the results obtained. The implementation of well-thought-out RC strategies can play a role in improving resilience, particularly in geographic areas such as the Iberian Peninsula, in which climate change scenarios indicate a likely increase in the severity and frequency of flooding.","author":[{"dropping-particle":"","family":"Bodoque","given":"J. M.","non-dropping-particle":"","parse-names":false,"suffix":""},{"dropping-particle":"","family":"Díez-Herrero","given":"A.","non-dropping-particle":"","parse-names":false,"suffix":""},{"dropping-particle":"","family":"Amerigo","given":"M.","non-dropping-particle":"","parse-names":false,"suffix":""},{"dropping-particle":"","family":"García","given":"J. A.","non-dropping-particle":"","parse-names":false,"suffix":""},{"dropping-particle":"","family":"Olcina","given":"J.","non-dropping-particle":"","parse-names":false,"suffix":""}],"container-title":"Journal of Hydrology","id":"ITEM-3","issued":{"date-parts":[["2019"]]},"page":"769-779","publisher":"Elsevier","title":"Enhancing flash flood risk perception and awareness of mitigation actions through risk communication: A pre-post survey design","type":"article-journal","volume":"568"},"uris":["http://www.mendeley.com/documents/?uuid=035f4ef7-201a-47c7-8e7a-0cc5c28eb0f7"]}],"mendeley":{"formattedCitation":"(Bodoque et al., 2019; Abunyewah, Gajendran, &amp; Maund, 2018; Hicks et al., 2017)","plainTextFormattedCitation":"(Bodoque et al., 2019; Abunyewah, Gajendran, &amp; Maund, 2018; Hicks et al., 2017)","previouslyFormattedCitation":"(Bodoque et al., 2019; Abunyewah, Gajendran, &amp; Maund, 2018; Hicks et al., 2017)"},"properties":{"noteIndex":0},"schema":"https://github.com/citation-style-language/schema/raw/master/csl-citation.json"}</w:instrText>
      </w:r>
      <w:r>
        <w:rPr>
          <w:rFonts w:cs="Calibri"/>
        </w:rPr>
        <w:fldChar w:fldCharType="separate"/>
      </w:r>
      <w:r>
        <w:rPr>
          <w:rFonts w:cs="Calibri"/>
          <w:noProof/>
        </w:rPr>
        <w:t>(Bodoque et al., 2019; Abunyewah, Gajendran, &amp; Maund, 2018; Hicks et al., 2017)</w:t>
      </w:r>
      <w:r>
        <w:rPr>
          <w:rFonts w:cs="Calibri"/>
        </w:rPr>
        <w:fldChar w:fldCharType="end"/>
      </w:r>
      <w:r>
        <w:rPr>
          <w:rFonts w:cs="Calibri"/>
        </w:rPr>
        <w:t xml:space="preserve">. This approach can divide communities into specific users of the communication, such as individuals, communities, organisations, governments, and news media </w:t>
      </w:r>
      <w:r>
        <w:fldChar w:fldCharType="begin" w:fldLock="1"/>
      </w:r>
      <w:r w:rsidR="00E07E4D">
        <w:rPr>
          <w:rFonts w:cs="Calibri"/>
        </w:rPr>
        <w:instrText>ADDIN CSL_CITATION {"citationItems":[{"id":"ITEM-1","itemData":{"DOI":"10.1111/disa.12092","ISBN":"0361-3666","ISSN":"0361-3666","PMID":"25243593","abstract":"A comprehensive review of online, official, and scientific literature was carried out in 2012-13 to develop a framework of disaster social media. This framework can be used to facilitate the creation of disaster social media tools, the formulation of disaster social media implementation processes, and the scientific study of disaster social media effects. Disaster social media users in the framework include communities, government, individuals, organisations, and media outlets. Fifteen distinct disaster social media uses were identified, ranging from preparing and receiving disaster preparedness information and warnings and signalling and detecting disasters prior to an event to (re)connecting community members following a disaster. The framework illustrates that a variety of entities may utilise and produce disaster social media content. Consequently, disaster social media use can be conceptualised as occurring at a number of levels, even within the same disaster. Suggestions are provided on how the proposed framework can inform future disaster social media development and research.","author":[{"dropping-particle":"","family":"Houston","given":"J B","non-dropping-particle":"","parse-names":false,"suffix":""},{"dropping-particle":"","family":"Hawthorne","given":"J","non-dropping-particle":"","parse-names":false,"suffix":""},{"dropping-particle":"","family":"Perreault","given":"M F","non-dropping-particle":"","parse-names":false,"suffix":""},{"dropping-particle":"","family":"Park","given":"E H","non-dropping-particle":"","parse-names":false,"suffix":""},{"dropping-particle":"","family":"Hode","given":"M G","non-dropping-particle":"","parse-names":false,"suffix":""},{"dropping-particle":"","family":"Halliwell","given":"M R","non-dropping-particle":"","parse-names":false,"suffix":""},{"dropping-particle":"","family":"McGowen","given":"S E T","non-dropping-particle":"","parse-names":false,"suffix":""},{"dropping-particle":"","family":"Davis","given":"R","non-dropping-particle":"","parse-names":false,"suffix":""},{"dropping-particle":"","family":"Vaid","given":"S","non-dropping-particle":"","parse-names":false,"suffix":""},{"dropping-particle":"","family":"McElderry","given":"J a","non-dropping-particle":"","parse-names":false,"suffix":""},{"dropping-particle":"","family":"Griffith","given":"S a","non-dropping-particle":"","parse-names":false,"suffix":""}],"container-title":"Disasters","id":"ITEM-1","issue":"1","issued":{"date-parts":[["2014"]]},"page":"1-22","title":"Social media and disasters: a functional framework for social media use in disaster planning, response, and research","type":"article-journal","volume":"39"},"uris":["http://www.mendeley.com/documents/?uuid=5c25cc81-f505-46f0-b50e-8b74da34d4da"]}],"mendeley":{"formattedCitation":"(Houston et al., 2014)","manualFormatting":"(Houston et al., 2014)","plainTextFormattedCitation":"(Houston et al., 2014)","previouslyFormattedCitation":"(Houston et al., 2014)"},"properties":{"noteIndex":0},"schema":"https://github.com/citation-style-language/schema/raw/master/csl-citation.json"}</w:instrText>
      </w:r>
      <w:r>
        <w:rPr>
          <w:rFonts w:cs="Calibri"/>
        </w:rPr>
        <w:fldChar w:fldCharType="separate"/>
      </w:r>
      <w:r>
        <w:rPr>
          <w:rFonts w:cs="Calibri"/>
          <w:noProof/>
        </w:rPr>
        <w:t>(Houston et al., 2014)</w:t>
      </w:r>
      <w:r>
        <w:rPr>
          <w:rFonts w:cs="Calibri"/>
        </w:rPr>
        <w:fldChar w:fldCharType="end"/>
      </w:r>
      <w:r>
        <w:rPr>
          <w:rFonts w:cs="Calibri"/>
        </w:rPr>
        <w:t>.</w:t>
      </w:r>
    </w:p>
    <w:p w14:paraId="11F228D1" w14:textId="77777777" w:rsidR="00787F73" w:rsidRDefault="00787F73" w:rsidP="00866155">
      <w:pPr>
        <w:contextualSpacing/>
        <w:rPr>
          <w:rFonts w:cs="Calibri"/>
        </w:rPr>
      </w:pPr>
    </w:p>
    <w:p w14:paraId="12149B6B" w14:textId="7B2A4BAF" w:rsidR="00787F73" w:rsidRDefault="00742FB7" w:rsidP="00866155">
      <w:pPr>
        <w:contextualSpacing/>
      </w:pPr>
      <w:r>
        <w:rPr>
          <w:rFonts w:cs="Calibri"/>
        </w:rPr>
        <w:t xml:space="preserve">However, audiences like communities, are not </w:t>
      </w:r>
      <w:r w:rsidR="0040407A" w:rsidRPr="0040407A">
        <w:rPr>
          <w:rFonts w:cs="Calibri"/>
        </w:rPr>
        <w:t>homogeneous</w:t>
      </w:r>
      <w:r>
        <w:rPr>
          <w:rFonts w:cs="Calibri"/>
        </w:rPr>
        <w:t xml:space="preserve">. Using an intersectional approach, one can understand that each intersection of a person’s identity shapes and impacts their experiences and interpretations of events and society. This has been seen within the disaster management literature with personal characteristics influencing how they experience disasters, and can include demographics such as: culture </w:t>
      </w:r>
      <w:r>
        <w:fldChar w:fldCharType="begin" w:fldLock="1"/>
      </w:r>
      <w:r>
        <w:rPr>
          <w:rFonts w:cs="Calibri"/>
        </w:rPr>
        <w:instrText>ADDIN CSL_CITATION {"citationItems":[{"id":"ITEM-1","itemData":{"DOI":"10.1080/15358590903402200","ISBN":"1535859090340","author":[{"dropping-particle":"","family":"Sellnow","given":"Tim","non-dropping-particle":"","parse-names":false,"suffix":""},{"dropping-particle":"","family":"Sellnow","given":"Deanna","non-dropping-particle":"","parse-names":false,"suffix":""}],"container-title":"The Review of Communication","id":"ITEM-1","issue":"2","issued":{"date-parts":[["2010"]]},"page":"112-126","title":"The Instructional Dynamic of Risk and Crisis Communication: Distinguishing Instructional Messages from Dialogue","type":"article-journal","volume":"10"},"uris":["http://www.mendeley.com/documents/?uuid=1f43dade-4825-4b23-9f47-5994f8fc2ae0"]}],"mendeley":{"formattedCitation":"(Sellnow &amp; Sellnow, 2010)","plainTextFormattedCitation":"(Sellnow &amp; Sellnow, 2010)","previouslyFormattedCitation":"(Sellnow &amp; Sellnow, 2010)"},"properties":{"noteIndex":0},"schema":"https://github.com/citation-style-language/schema/raw/master/csl-citation.json"}</w:instrText>
      </w:r>
      <w:r>
        <w:rPr>
          <w:rFonts w:cs="Calibri"/>
        </w:rPr>
        <w:fldChar w:fldCharType="separate"/>
      </w:r>
      <w:r>
        <w:rPr>
          <w:rFonts w:cs="Calibri"/>
          <w:noProof/>
        </w:rPr>
        <w:t>(Sellnow &amp; Sellnow, 2010)</w:t>
      </w:r>
      <w:r>
        <w:rPr>
          <w:rFonts w:cs="Calibri"/>
        </w:rPr>
        <w:fldChar w:fldCharType="end"/>
      </w:r>
      <w:r>
        <w:rPr>
          <w:rFonts w:cs="Calibri"/>
        </w:rPr>
        <w:t xml:space="preserve">; age </w:t>
      </w:r>
      <w:r>
        <w:fldChar w:fldCharType="begin" w:fldLock="1"/>
      </w:r>
      <w:r>
        <w:rPr>
          <w:rFonts w:cs="Calibri"/>
        </w:rPr>
        <w:instrText>ADDIN CSL_CITATION {"citationItems":[{"id":"ITEM-1","itemData":{"DOI":"10.1080/20008198.2018.1425577","ISSN":"20008066","abstract":"Background: Millions of children are affected by disasters every year. Children need not be passive victims, however, but instead may contribute to disaster risk reduction activities. Objective: This paper provides a theoretical foundation for children’s involvement in disaster risk reduction activities. Method: The paper reviews and analyses the literature on children’s participation, on their developmental capacity to participate, and on disaster risk reduction activities involving children. Results: Participation yields numerous potential benefits for children, including enhanced personal development and skills, self-efficacy, and interpersonal relationships, and for communities through improved social connections and networks and disaster preparedness. Conclusions: Children are resources to be cultivated and mobilized for disaster preparedness, response, recovery, and resilience. Attention is needed to identify approaches to appropriately enlist, engage, and involve children in disaster risk reduction activities; to promote these efforts; and to evaluate these approaches.","author":[{"dropping-particle":"","family":"Pfefferbaum","given":"Betty","non-dropping-particle":"","parse-names":false,"suffix":""},{"dropping-particle":"","family":"Pfefferbaum","given":"Rose L.","non-dropping-particle":"","parse-names":false,"suffix":""},{"dropping-particle":"","family":"Horn","given":"Richard L.","non-dropping-particle":"Van","parse-names":false,"suffix":""}],"container-title":"European Journal of Psychotraumatology","id":"ITEM-1","issue":"S2","issued":{"date-parts":[["2018"]]},"publisher":"Taylor &amp; Francis","title":"Involving children in disaster risk reduction: the importance of participation","type":"article-journal","volume":"9"},"uris":["http://www.mendeley.com/documents/?uuid=57a03b69-eab3-498d-a8cc-6f486a5659e0"]}],"mendeley":{"formattedCitation":"(Pfefferbaum, Pfefferbaum, &amp; Van Horn, 2018)","plainTextFormattedCitation":"(Pfefferbaum, Pfefferbaum, &amp; Van Horn, 2018)","previouslyFormattedCitation":"(Pfefferbaum, Pfefferbaum, &amp; Van Horn, 2018)"},"properties":{"noteIndex":0},"schema":"https://github.com/citation-style-language/schema/raw/master/csl-citation.json"}</w:instrText>
      </w:r>
      <w:r>
        <w:rPr>
          <w:rFonts w:cs="Calibri"/>
        </w:rPr>
        <w:fldChar w:fldCharType="separate"/>
      </w:r>
      <w:r>
        <w:rPr>
          <w:rFonts w:cs="Calibri"/>
          <w:noProof/>
        </w:rPr>
        <w:t>(Pfefferbaum, Pfefferbaum, &amp; Van Horn, 2018)</w:t>
      </w:r>
      <w:r>
        <w:rPr>
          <w:rFonts w:cs="Calibri"/>
        </w:rPr>
        <w:fldChar w:fldCharType="end"/>
      </w:r>
      <w:r>
        <w:rPr>
          <w:rFonts w:cs="Calibri"/>
        </w:rPr>
        <w:t xml:space="preserve">; the language they speak </w:t>
      </w:r>
      <w:r>
        <w:fldChar w:fldCharType="begin" w:fldLock="1"/>
      </w:r>
      <w:r>
        <w:rPr>
          <w:rFonts w:cs="Calibri"/>
        </w:rPr>
        <w:instrText>ADDIN CSL_CITATION {"citationItems":[{"id":"ITEM-1","itemData":{"DOI":"10.1175/WCAS-D-13-00028.1","author":[{"dropping-particle":"","family":"Ripberger","given":"Joseph T.","non-dropping-particle":"","parse-names":false,"suffix":""},{"dropping-particle":"","family":"Jenkins-Smith","given":"Hank C.","non-dropping-particle":"","parse-names":false,"suffix":""},{"dropping-particle":"","family":"Silva","given":"Carol L.","non-dropping-particle":"","parse-names":false,"suffix":""},{"dropping-particle":"","family":"Carlson","given":"Deven E.","non-dropping-particle":"","parse-names":false,"suffix":""},{"dropping-particle":"","family":"Henderson","given":"Matthew","non-dropping-particle":"","parse-names":false,"suffix":""}],"container-title":"Weather, Climate, and Society","id":"ITEM-1","issue":"4","issued":{"date-parts":[["2014"]]},"page":"520-530","title":"Social Media and Severe Weather: Do Tweets Provide a Valid Indicator of Public Attention to Severe Weather Risk Communication?","type":"article-journal","volume":"6"},"uris":["http://www.mendeley.com/documents/?uuid=f5d26f9d-b985-4f38-b98f-abf14a62f51d"]}],"mendeley":{"formattedCitation":"(Ripberger et al., 2014)","plainTextFormattedCitation":"(Ripberger et al., 2014)","previouslyFormattedCitation":"(Ripberger et al., 2014)"},"properties":{"noteIndex":0},"schema":"https://github.com/citation-style-language/schema/raw/master/csl-citation.json"}</w:instrText>
      </w:r>
      <w:r>
        <w:rPr>
          <w:rFonts w:cs="Calibri"/>
        </w:rPr>
        <w:fldChar w:fldCharType="separate"/>
      </w:r>
      <w:r>
        <w:rPr>
          <w:rFonts w:cs="Calibri"/>
          <w:noProof/>
        </w:rPr>
        <w:t>(Ripberger et al., 2014)</w:t>
      </w:r>
      <w:r>
        <w:rPr>
          <w:rFonts w:cs="Calibri"/>
        </w:rPr>
        <w:fldChar w:fldCharType="end"/>
      </w:r>
      <w:r>
        <w:rPr>
          <w:rFonts w:cs="Calibri"/>
        </w:rPr>
        <w:t xml:space="preserve">; gender; and race </w:t>
      </w:r>
      <w:r>
        <w:fldChar w:fldCharType="begin" w:fldLock="1"/>
      </w:r>
      <w:r>
        <w:rPr>
          <w:rFonts w:cs="Calibri"/>
        </w:rPr>
        <w:instrText>ADDIN CSL_CITATION {"citationItems":[{"id":"ITEM-1","itemData":{"DOI":"10.1080/00909882.2018.1544718","ISSN":"14795752","abstract":"The Citizen Disaster Communication Assessment (CDCA) measures individual disaster communication activities that are intended to help communities cope across all phases of a disaster. Using the CDCA, this study examined associations among citizen disaster communication, neighborhood belonging, and community resilience using three different samples representing different disaster phases (Pre-event, Event, Post-event). Results indicate that more citizen disaster communication was associated with stronger perceptions of neighborhood belonging and community resilience at the Event and Post-event phases. In terms of specific citizen disaster communication processes that proved important, communication to correct disaster rumors and share stories was associated with greater feelings of belonging. Communication intended to confirm disaster information and tell stories was associated with stronger community resilience perceptions. Overall, results (a) confirm that citizen disaster communication is an important part of the disaster response and recovery ecosystem and (b) offer evidence of concurrent validity for the CDCA.","author":[{"dropping-particle":"","family":"Spialek","given":"Matthew L.","non-dropping-particle":"","parse-names":false,"suffix":""},{"dropping-particle":"","family":"Houston","given":"J. Brian","non-dropping-particle":"","parse-names":false,"suffix":""}],"container-title":"Journal of Applied Communication Research","id":"ITEM-1","issue":"1","issued":{"date-parts":[["2019"]]},"page":"1-23","publisher":"Taylor &amp; Francis","title":"The influence of citizen disaster communication on perceptions of neighborhood belonging and community resilience","type":"article-journal","volume":"47"},"uris":["http://www.mendeley.com/documents/?uuid=11f75a32-373b-460a-babe-f7b38e61611c"]}],"mendeley":{"formattedCitation":"(Spialek &amp; Houston, 2019)","plainTextFormattedCitation":"(Spialek &amp; Houston, 2019)","previouslyFormattedCitation":"(Spialek &amp; Houston, 2019)"},"properties":{"noteIndex":0},"schema":"https://github.com/citation-style-language/schema/raw/master/csl-citation.json"}</w:instrText>
      </w:r>
      <w:r>
        <w:rPr>
          <w:rFonts w:cs="Calibri"/>
        </w:rPr>
        <w:fldChar w:fldCharType="separate"/>
      </w:r>
      <w:r>
        <w:rPr>
          <w:rFonts w:cs="Calibri"/>
          <w:noProof/>
        </w:rPr>
        <w:t>(Spialek &amp; Houston, 2019)</w:t>
      </w:r>
      <w:r>
        <w:rPr>
          <w:rFonts w:cs="Calibri"/>
        </w:rPr>
        <w:fldChar w:fldCharType="end"/>
      </w:r>
      <w:r>
        <w:rPr>
          <w:rFonts w:cs="Calibri"/>
        </w:rPr>
        <w:t xml:space="preserve">. For example, a study based on flooding within communities in Texas (US) highlighted that women and white members of the community reported higher rates of belonging and community resilience </w:t>
      </w:r>
      <w:r>
        <w:fldChar w:fldCharType="begin" w:fldLock="1"/>
      </w:r>
      <w:r>
        <w:rPr>
          <w:rFonts w:cs="Calibri"/>
        </w:rPr>
        <w:instrText>ADDIN CSL_CITATION {"citationItems":[{"id":"ITEM-1","itemData":{"DOI":"10.1080/00909882.2018.1544718","ISSN":"14795752","abstract":"The Citizen Disaster Communication Assessment (CDCA) measures individual disaster communication activities that are intended to help communities cope across all phases of a disaster. Using the CDCA, this study examined associations among citizen disaster communication, neighborhood belonging, and community resilience using three different samples representing different disaster phases (Pre-event, Event, Post-event). Results indicate that more citizen disaster communication was associated with stronger perceptions of neighborhood belonging and community resilience at the Event and Post-event phases. In terms of specific citizen disaster communication processes that proved important, communication to correct disaster rumors and share stories was associated with greater feelings of belonging. Communication intended to confirm disaster information and tell stories was associated with stronger community resilience perceptions. Overall, results (a) confirm that citizen disaster communication is an important part of the disaster response and recovery ecosystem and (b) offer evidence of concurrent validity for the CDCA.","author":[{"dropping-particle":"","family":"Spialek","given":"Matthew L.","non-dropping-particle":"","parse-names":false,"suffix":""},{"dropping-particle":"","family":"Houston","given":"J. Brian","non-dropping-particle":"","parse-names":false,"suffix":""}],"container-title":"Journal of Applied Communication Research","id":"ITEM-1","issue":"1","issued":{"date-parts":[["2019"]]},"page":"1-23","publisher":"Taylor &amp; Francis","title":"The influence of citizen disaster communication on perceptions of neighborhood belonging and community resilience","type":"article-journal","volume":"47"},"uris":["http://www.mendeley.com/documents/?uuid=11f75a32-373b-460a-babe-f7b38e61611c"]}],"mendeley":{"formattedCitation":"(Spialek &amp; Houston, 2019)","plainTextFormattedCitation":"(Spialek &amp; Houston, 2019)","previouslyFormattedCitation":"(Spialek &amp; Houston, 2019)"},"properties":{"noteIndex":0},"schema":"https://github.com/citation-style-language/schema/raw/master/csl-citation.json"}</w:instrText>
      </w:r>
      <w:r>
        <w:rPr>
          <w:rFonts w:cs="Calibri"/>
        </w:rPr>
        <w:fldChar w:fldCharType="separate"/>
      </w:r>
      <w:r>
        <w:rPr>
          <w:rFonts w:cs="Calibri"/>
          <w:noProof/>
        </w:rPr>
        <w:t>(Spialek &amp; Houston, 2019)</w:t>
      </w:r>
      <w:r>
        <w:rPr>
          <w:rFonts w:cs="Calibri"/>
        </w:rPr>
        <w:fldChar w:fldCharType="end"/>
      </w:r>
      <w:r>
        <w:rPr>
          <w:rFonts w:cs="Calibri"/>
        </w:rPr>
        <w:t xml:space="preserve">; this shows that within communities there is not one experience but many, and it also highlights the need for risk communication research and community disaster resilience networks to have an intersectional understanding and to use an interpretive approach. </w:t>
      </w:r>
      <w:r w:rsidR="001962AA">
        <w:rPr>
          <w:rFonts w:cs="Calibri"/>
        </w:rPr>
        <w:t>For instance</w:t>
      </w:r>
      <w:r w:rsidR="00AB0C26">
        <w:rPr>
          <w:rFonts w:cs="Calibri"/>
        </w:rPr>
        <w:t>,</w:t>
      </w:r>
      <w:r w:rsidR="001962AA">
        <w:rPr>
          <w:rFonts w:cs="Calibri"/>
        </w:rPr>
        <w:t xml:space="preserve"> the research notes that risk</w:t>
      </w:r>
      <w:r w:rsidR="00AB0C26">
        <w:rPr>
          <w:rFonts w:cs="Calibri"/>
        </w:rPr>
        <w:t>,</w:t>
      </w:r>
      <w:r w:rsidR="001962AA">
        <w:rPr>
          <w:rFonts w:cs="Calibri"/>
        </w:rPr>
        <w:t xml:space="preserve"> and therefore risk </w:t>
      </w:r>
      <w:r w:rsidR="001962AA">
        <w:rPr>
          <w:rFonts w:cs="Calibri"/>
        </w:rPr>
        <w:lastRenderedPageBreak/>
        <w:t>communication</w:t>
      </w:r>
      <w:r w:rsidR="00AB0C26">
        <w:rPr>
          <w:rFonts w:cs="Calibri"/>
        </w:rPr>
        <w:t>,</w:t>
      </w:r>
      <w:r w:rsidR="001962AA">
        <w:rPr>
          <w:rFonts w:cs="Calibri"/>
        </w:rPr>
        <w:t xml:space="preserve"> can be experienced and perceived in different ways, dependant on socio-demographic factors</w:t>
      </w:r>
      <w:r w:rsidR="00263E5E">
        <w:rPr>
          <w:rFonts w:cs="Calibri"/>
        </w:rPr>
        <w:t xml:space="preserve"> such as</w:t>
      </w:r>
      <w:r w:rsidR="001962AA">
        <w:rPr>
          <w:rFonts w:cs="Calibri"/>
        </w:rPr>
        <w:t xml:space="preserve"> gender, race and age </w:t>
      </w:r>
      <w:r w:rsidR="001962AA">
        <w:rPr>
          <w:rFonts w:cs="Calibri"/>
        </w:rPr>
        <w:fldChar w:fldCharType="begin" w:fldLock="1"/>
      </w:r>
      <w:r w:rsidR="00263E5E">
        <w:rPr>
          <w:rFonts w:cs="Calibri"/>
        </w:rPr>
        <w:instrText>ADDIN CSL_CITATION {"citationItems":[{"id":"ITEM-1","itemData":{"DOI":"10.1080/13669870802261595.Emotion","ISBN":"6176321972","ISSN":"15378276","PMID":"1000000221","author":[{"dropping-particle":"","family":"Finucane","given":"Melissa L.","non-dropping-particle":"","parse-names":false,"suffix":""}],"container-title":"Journal of Risk Research","id":"ITEM-1","issue":"8","issued":{"date-parts":[["2013"]]},"page":"983–997","title":"Emotion, Affect, and Risk Communication with Older Adults: Challenges and Opportunities","type":"article-journal","volume":"11"},"uris":["http://www.mendeley.com/documents/?uuid=ff52d704-4051-488b-971b-8a7f5e8d4bcd"]},{"id":"ITEM-2","itemData":{"DOI":"10.1111/risa.13615","ISSN":"15396924","PMID":"33084114","abstract":"The 40th Anniversary of the Society for Risk Analysis presents an apt time to step back and review the field of risk communication. In this review, we first evaluate recent debates over the field's current state and future directions. Our takeaway is that efforts to settle on a single, generic version of what constitutes risk communication will be less productive than an open-minded exploration of the multiple forms that comprise today's vibrant interdisciplinary field. We then review a selection of prominent cognitive, cultural, and social risk communication scholarship appearing in the published literature since 2010. Studies on trust in risk communication messengers continued to figure prominently, while new research directions emerged on the opportunities and critical challenges of enhancing transparency and using social media. Research on message attributes explored how conceptual insights particularly relating to framing, affective and emotional responses, and uncertainty might be operationalized to improve message effectiveness. Studies consistently demonstrated the importance of evaluation and how varying single attributes alone is unlikely to achieve desired results. Research on risk communication audiences advanced on risk perception and multiway engagement with notable interest in personal factors such as gender, race, age, and political orientation. We conclude by arguing that the field's interdisciplinary tradition should be further nurtured to drive the next evolutionary phase of risk communication research.","author":[{"dropping-particle":"","family":"Balog-Way","given":"Dominic","non-dropping-particle":"","parse-names":false,"suffix":""},{"dropping-particle":"","family":"McComas","given":"Katherine","non-dropping-particle":"","parse-names":false,"suffix":""},{"dropping-particle":"","family":"Besley","given":"John","non-dropping-particle":"","parse-names":false,"suffix":""}],"container-title":"Risk Analysis","id":"ITEM-2","issue":"S1","issued":{"date-parts":[["2020"]]},"page":"2240-2262","title":"The Evolving Field of Risk Communication","type":"article-journal","volume":"40"},"uris":["http://www.mendeley.com/documents/?uuid=1796e57c-9fe4-4c34-adce-fecec63e9466"]}],"mendeley":{"formattedCitation":"(Balog-Way, McComas, &amp; Besley, 2020; Finucane, 2013)","plainTextFormattedCitation":"(Balog-Way, McComas, &amp; Besley, 2020; Finucane, 2013)","previouslyFormattedCitation":"(Balog-Way, McComas, &amp; Besley, 2020; Finucane, 2013)"},"properties":{"noteIndex":0},"schema":"https://github.com/citation-style-language/schema/raw/master/csl-citation.json"}</w:instrText>
      </w:r>
      <w:r w:rsidR="001962AA">
        <w:rPr>
          <w:rFonts w:cs="Calibri"/>
        </w:rPr>
        <w:fldChar w:fldCharType="separate"/>
      </w:r>
      <w:r w:rsidR="001962AA" w:rsidRPr="001962AA">
        <w:rPr>
          <w:rFonts w:cs="Calibri"/>
          <w:noProof/>
        </w:rPr>
        <w:t>(Balog-Way, McComas, &amp; Besley, 2020; Finucane, 2013)</w:t>
      </w:r>
      <w:r w:rsidR="001962AA">
        <w:rPr>
          <w:rFonts w:cs="Calibri"/>
        </w:rPr>
        <w:fldChar w:fldCharType="end"/>
      </w:r>
      <w:r w:rsidR="001962AA">
        <w:rPr>
          <w:rFonts w:cs="Calibri"/>
        </w:rPr>
        <w:t>.</w:t>
      </w:r>
      <w:r w:rsidR="00263E5E">
        <w:rPr>
          <w:rFonts w:cs="Calibri"/>
        </w:rPr>
        <w:t xml:space="preserve"> This touches upon the research field of risk perception, and the literature around the cultural cognition of risk </w:t>
      </w:r>
      <w:r w:rsidR="00263E5E">
        <w:rPr>
          <w:rFonts w:cs="Calibri"/>
        </w:rPr>
        <w:fldChar w:fldCharType="begin" w:fldLock="1"/>
      </w:r>
      <w:r w:rsidR="00F47FBA">
        <w:rPr>
          <w:rFonts w:cs="Calibri"/>
        </w:rPr>
        <w:instrText>ADDIN CSL_CITATION {"citationItems":[{"id":"ITEM-1","itemData":{"DOI":"10.1080/13669877.2010.511246","ISSN":"13669877","abstract":"Why do members of the public disagree - sharply and persistently - about facts on which expert scientists largely agree? We designed a study to test a distinctive explanation: the cultural cognition of scientific consensus. The 'cultural cognition of risk' refers to the tendency of individuals to form risk perceptions that are congenial to their values. The study presents both correlational and experimental evidence confirming that cultural cognition shapes individuals' beliefs about the existence of scientific consensus, and the process by which they form such beliefs, relating to climate change, the disposal of nuclear wastes, and the effect of permitting concealed possession of handguns. The implications of this dynamic for science communication and public policy-making are discussed. © 2011 Taylor &amp; Francis.","author":[{"dropping-particle":"","family":"Kahan","given":"Dan M.","non-dropping-particle":"","parse-names":false,"suffix":""},{"dropping-particle":"","family":"Jenkins-Smith","given":"Hank","non-dropping-particle":"","parse-names":false,"suffix":""},{"dropping-particle":"","family":"Braman","given":"Donald","non-dropping-particle":"","parse-names":false,"suffix":""}],"container-title":"Journal of Risk Research","id":"ITEM-1","issue":"2","issued":{"date-parts":[["2011"]]},"page":"147-174","title":"Cultural cognition of scientific consensus","type":"article-journal","volume":"14"},"uris":["http://www.mendeley.com/documents/?uuid=b2c6675b-5af4-4cd5-bc76-c3a93b6a035d"]},{"id":"ITEM-2","itemData":{"DOI":"10.1111/risa.13615","ISSN":"15396924","PMID":"33084114","abstract":"The 40th Anniversary of the Society for Risk Analysis presents an apt time to step back and review the field of risk communication. In this review, we first evaluate recent debates over the field's current state and future directions. Our takeaway is that efforts to settle on a single, generic version of what constitutes risk communication will be less productive than an open-minded exploration of the multiple forms that comprise today's vibrant interdisciplinary field. We then review a selection of prominent cognitive, cultural, and social risk communication scholarship appearing in the published literature since 2010. Studies on trust in risk communication messengers continued to figure prominently, while new research directions emerged on the opportunities and critical challenges of enhancing transparency and using social media. Research on message attributes explored how conceptual insights particularly relating to framing, affective and emotional responses, and uncertainty might be operationalized to improve message effectiveness. Studies consistently demonstrated the importance of evaluation and how varying single attributes alone is unlikely to achieve desired results. Research on risk communication audiences advanced on risk perception and multiway engagement with notable interest in personal factors such as gender, race, age, and political orientation. We conclude by arguing that the field's interdisciplinary tradition should be further nurtured to drive the next evolutionary phase of risk communication research.","author":[{"dropping-particle":"","family":"Balog-Way","given":"Dominic","non-dropping-particle":"","parse-names":false,"suffix":""},{"dropping-particle":"","family":"McComas","given":"Katherine","non-dropping-particle":"","parse-names":false,"suffix":""},{"dropping-particle":"","family":"Besley","given":"John","non-dropping-particle":"","parse-names":false,"suffix":""}],"container-title":"Risk Analysis","id":"ITEM-2","issue":"S1","issued":{"date-parts":[["2020"]]},"page":"2240-2262","title":"The Evolving Field of Risk Communication","type":"article-journal","volume":"40"},"uris":["http://www.mendeley.com/documents/?uuid=1796e57c-9fe4-4c34-adce-fecec63e9466"]}],"mendeley":{"formattedCitation":"(Balog-Way, McComas, &amp; Besley, 2020; Kahan, Jenkins-Smith, &amp; Braman, 2011)","plainTextFormattedCitation":"(Balog-Way, McComas, &amp; Besley, 2020; Kahan, Jenkins-Smith, &amp; Braman, 2011)","previouslyFormattedCitation":"(Balog-Way, McComas, &amp; Besley, 2020; Kahan, Jenkins-Smith, &amp; Braman, 2011)"},"properties":{"noteIndex":0},"schema":"https://github.com/citation-style-language/schema/raw/master/csl-citation.json"}</w:instrText>
      </w:r>
      <w:r w:rsidR="00263E5E">
        <w:rPr>
          <w:rFonts w:cs="Calibri"/>
        </w:rPr>
        <w:fldChar w:fldCharType="separate"/>
      </w:r>
      <w:r w:rsidR="00263E5E" w:rsidRPr="00263E5E">
        <w:rPr>
          <w:rFonts w:cs="Calibri"/>
          <w:noProof/>
        </w:rPr>
        <w:t>(Balog-Way, McComas, &amp; Besley, 2020; Kahan, Jenkins-Smith, &amp; Braman, 2011)</w:t>
      </w:r>
      <w:r w:rsidR="00263E5E">
        <w:rPr>
          <w:rFonts w:cs="Calibri"/>
        </w:rPr>
        <w:fldChar w:fldCharType="end"/>
      </w:r>
      <w:r w:rsidR="00263E5E">
        <w:rPr>
          <w:rFonts w:cs="Calibri"/>
        </w:rPr>
        <w:t>.</w:t>
      </w:r>
      <w:r w:rsidR="00E061FF">
        <w:rPr>
          <w:rFonts w:cs="Calibri"/>
        </w:rPr>
        <w:t xml:space="preserve"> This highlights the variation in individual </w:t>
      </w:r>
      <w:r w:rsidR="0097658D">
        <w:rPr>
          <w:rFonts w:cs="Calibri"/>
        </w:rPr>
        <w:t xml:space="preserve">perception </w:t>
      </w:r>
      <w:r w:rsidR="00E061FF">
        <w:rPr>
          <w:rFonts w:cs="Calibri"/>
        </w:rPr>
        <w:t>and understanding of risk</w:t>
      </w:r>
      <w:r w:rsidR="0097658D">
        <w:rPr>
          <w:rFonts w:cs="Calibri"/>
        </w:rPr>
        <w:t>,</w:t>
      </w:r>
      <w:r w:rsidR="00DE22DE">
        <w:rPr>
          <w:rFonts w:cs="Calibri"/>
        </w:rPr>
        <w:t xml:space="preserve"> and t</w:t>
      </w:r>
      <w:r>
        <w:rPr>
          <w:rFonts w:cs="Calibri"/>
        </w:rPr>
        <w:t>he need to understand the community at risk</w:t>
      </w:r>
      <w:r w:rsidR="00DE22DE">
        <w:rPr>
          <w:rFonts w:cs="Calibri"/>
        </w:rPr>
        <w:t>. This</w:t>
      </w:r>
      <w:r>
        <w:rPr>
          <w:rFonts w:cs="Calibri"/>
        </w:rPr>
        <w:t xml:space="preserve"> informed the design of RQ3, </w:t>
      </w:r>
      <w:r>
        <w:rPr>
          <w:rFonts w:cs="Calibri"/>
          <w:i/>
          <w:iCs/>
        </w:rPr>
        <w:t xml:space="preserve">who is engaging with SYFR’s content on social media and what implications are there for community resilience? </w:t>
      </w:r>
      <w:r>
        <w:rPr>
          <w:rFonts w:cs="Calibri"/>
        </w:rPr>
        <w:t xml:space="preserve">This research question focused on two communities in South Yorkshire to gain an understanding of their experiences of disasters and wider community resilience (discussed in chapter 6). </w:t>
      </w:r>
    </w:p>
    <w:p w14:paraId="3B9B01E8" w14:textId="77777777" w:rsidR="00787F73" w:rsidRDefault="00787F73" w:rsidP="00866155">
      <w:pPr>
        <w:contextualSpacing/>
        <w:rPr>
          <w:rFonts w:cs="Calibri"/>
        </w:rPr>
      </w:pPr>
    </w:p>
    <w:p w14:paraId="44A4F74D" w14:textId="77777777" w:rsidR="00787F73" w:rsidRDefault="00742FB7" w:rsidP="00866155">
      <w:pPr>
        <w:contextualSpacing/>
      </w:pPr>
      <w:r>
        <w:rPr>
          <w:rFonts w:cs="Calibri"/>
        </w:rPr>
        <w:t>Understanding the audience is one element of risk communication; there also needs to be a focus on the methods with which the communication is delivered. Within this research, the focus is on social media and how it can be used to promote and develop community disaster resilience.</w:t>
      </w:r>
    </w:p>
    <w:p w14:paraId="07B00C88" w14:textId="77777777" w:rsidR="00787F73" w:rsidRDefault="00787F73" w:rsidP="00866155">
      <w:pPr>
        <w:contextualSpacing/>
        <w:rPr>
          <w:rFonts w:cs="Calibri"/>
        </w:rPr>
      </w:pPr>
    </w:p>
    <w:p w14:paraId="07DD82CB" w14:textId="77777777" w:rsidR="00787F73" w:rsidRDefault="00742FB7" w:rsidP="00866155">
      <w:pPr>
        <w:pStyle w:val="Heading5"/>
        <w:spacing w:line="360" w:lineRule="auto"/>
      </w:pPr>
      <w:bookmarkStart w:id="219" w:name="_Toc139645581"/>
      <w:bookmarkStart w:id="220" w:name="_Hlk67053080"/>
      <w:bookmarkStart w:id="221" w:name="_Toc67579754"/>
      <w:bookmarkStart w:id="222" w:name="_Hlk139295769"/>
      <w:bookmarkStart w:id="223" w:name="_Hlk145691298"/>
      <w:bookmarkStart w:id="224" w:name="_Toc93410815"/>
      <w:bookmarkStart w:id="225" w:name="_Toc139636627"/>
      <w:bookmarkStart w:id="226" w:name="_Toc98148315"/>
      <w:r>
        <w:rPr>
          <w:rFonts w:ascii="Calibri" w:hAnsi="Calibri" w:cs="Calibri"/>
        </w:rPr>
        <w:t>Risk communications and the use of social media</w:t>
      </w:r>
      <w:bookmarkEnd w:id="219"/>
      <w:bookmarkEnd w:id="220"/>
      <w:bookmarkEnd w:id="221"/>
      <w:bookmarkEnd w:id="222"/>
      <w:bookmarkEnd w:id="223"/>
      <w:bookmarkEnd w:id="224"/>
      <w:bookmarkEnd w:id="225"/>
      <w:bookmarkEnd w:id="226"/>
    </w:p>
    <w:p w14:paraId="57EF60DD" w14:textId="2CFE616B" w:rsidR="00787F73" w:rsidRDefault="00742FB7" w:rsidP="00866155">
      <w:pPr>
        <w:contextualSpacing/>
      </w:pPr>
      <w:r>
        <w:rPr>
          <w:rFonts w:cs="Calibri"/>
        </w:rPr>
        <w:t xml:space="preserve">Since the creation of social media platforms such as Facebook and Twitter, there has been a move by organisations, including those within the disaster management arenas, to utilise the platforms for risk reduction messaging. Social media has been </w:t>
      </w:r>
      <w:bookmarkStart w:id="227" w:name="_Hlk94887546"/>
      <w:r>
        <w:rPr>
          <w:rFonts w:cs="Calibri"/>
        </w:rPr>
        <w:t xml:space="preserve">widely adopted into the disaster management arena (during disaster response) due to its low cost, </w:t>
      </w:r>
      <w:bookmarkStart w:id="228" w:name="_Hlk94887714"/>
      <w:r>
        <w:rPr>
          <w:rFonts w:cs="Calibri"/>
        </w:rPr>
        <w:t xml:space="preserve">ease of use, scalability, speed and removal of geographical boundaries </w:t>
      </w:r>
      <w:r>
        <w:fldChar w:fldCharType="begin" w:fldLock="1"/>
      </w:r>
      <w:r w:rsidR="00974B75">
        <w:rPr>
          <w:rFonts w:cs="Calibri"/>
        </w:rPr>
        <w:instrText>ADDIN CSL_CITATION {"citationItems":[{"id":"ITEM-1","itemData":{"DOI":"10.1111/disa.12092","ISBN":"0361-3666","ISSN":"0361-3666","PMID":"25243593","abstract":"A comprehensive review of online, official, and scientific literature was carried out in 2012-13 to develop a framework of disaster social media. This framework can be used to facilitate the creation of disaster social media tools, the formulation of disaster social media implementation processes, and the scientific study of disaster social media effects. Disaster social media users in the framework include communities, government, individuals, organisations, and media outlets. Fifteen distinct disaster social media uses were identified, ranging from preparing and receiving disaster preparedness information and warnings and signalling and detecting disasters prior to an event to (re)connecting community members following a disaster. The framework illustrates that a variety of entities may utilise and produce disaster social media content. Consequently, disaster social media use can be conceptualised as occurring at a number of levels, even within the same disaster. Suggestions are provided on how the proposed framework can inform future disaster social media development and research.","author":[{"dropping-particle":"","family":"Houston","given":"J B","non-dropping-particle":"","parse-names":false,"suffix":""},{"dropping-particle":"","family":"Hawthorne","given":"J","non-dropping-particle":"","parse-names":false,"suffix":""},{"dropping-particle":"","family":"Perreault","given":"M F","non-dropping-particle":"","parse-names":false,"suffix":""},{"dropping-particle":"","family":"Park","given":"E H","non-dropping-particle":"","parse-names":false,"suffix":""},{"dropping-particle":"","family":"Hode","given":"M G","non-dropping-particle":"","parse-names":false,"suffix":""},{"dropping-particle":"","family":"Halliwell","given":"M R","non-dropping-particle":"","parse-names":false,"suffix":""},{"dropping-particle":"","family":"McGowen","given":"S E T","non-dropping-particle":"","parse-names":false,"suffix":""},{"dropping-particle":"","family":"Davis","given":"R","non-dropping-particle":"","parse-names":false,"suffix":""},{"dropping-particle":"","family":"Vaid","given":"S","non-dropping-particle":"","parse-names":false,"suffix":""},{"dropping-particle":"","family":"McElderry","given":"J a","non-dropping-particle":"","parse-names":false,"suffix":""},{"dropping-particle":"","family":"Griffith","given":"S a","non-dropping-particle":"","parse-names":false,"suffix":""}],"container-title":"Disasters","id":"ITEM-1","issue":"1","issued":{"date-parts":[["2014"]]},"page":"1-22","title":"Social media and disasters: a functional framework for social media use in disaster planning, response, and research","type":"article-journal","volume":"39"},"uris":["http://www.mendeley.com/documents/?uuid=5c25cc81-f505-46f0-b50e-8b74da34d4da"]},{"id":"ITEM-2","itemData":{"DOI":"10.1080/01292986.2021.2007274","ISSN":"17420911","abstract":"Social media have become widely used platforms for risk communication. Nevertheless, as this paper identifies there are potential challenges associated with the use social media, i.e. trust and credibility, misinformation, and digital inequality. This study uses three case studies to analyze the Indonesian government’s messaging strategies on social media for disaster risk communication, while navigating these challenges. Thematic content analysis of Indonesian emergency units’ social media posts during disaster events and of in-depth interviews with the personnel of the government agencies reveal the problematic aspects of the unidirectional top-down pattern of social media disaster risk communication. The messages mainly convey information about situations related to the disasters and government activities in local communities during disasters. Government agencies did not see social media as an appropriate channel for local communities most likely to be impacted or that such communities are shaped by culturally embedded beliefs and who might have limited accesses to the technology. This study suggests that patterns of social media use for disaster risk communication can differ across cultures. The collectivist culture of Indonesian communities has led to the two-step flow of communication model that proposes embracing culture and social capital to build trust, credibility, and overcome digital inequalities.","author":[{"dropping-particle":"","family":"Yudarwati","given":"Gregoria A.","non-dropping-particle":"","parse-names":false,"suffix":""},{"dropping-particle":"","family":"Putranto","given":"Ignatius A.","non-dropping-particle":"","parse-names":false,"suffix":""},{"dropping-particle":"","family":"Delmo","given":"Kate M.","non-dropping-particle":"","parse-names":false,"suffix":""}],"container-title":"Asian Journal of Communication","id":"ITEM-2","issue":"1","issued":{"date-parts":[["2022"]]},"page":"1-20","title":"Examining the Indonesian government’s social media use for disaster risk communication","type":"article-journal","volume":"32"},"uris":["http://www.mendeley.com/documents/?uuid=bdbad111-07a8-4bc0-870b-e36bc2073b13"]},{"id":"ITEM-3","itemData":{"DOI":"10.20965/jdr.2023.p0034","ISSN":"18838030","abstract":"The widespread application of social media in the field of crisis management has been adopted globally. In recent years, the role of social media in emergencies has grown, especially during the coronavirus disease 2019 (COVID-19) pandemic. This study explores the different roles played by social media in the government, the media, and the public during the pandemic through the key nodes of information dissemination at each developmental stage of crisis risk communication. The results indicate that in a government-led environment, in which social media is the link and the public is the core, attention must be directed towards the key role of social media as a “whistleblower” during the incubation period of a crisis event. Moreover, a new gatekeeping mechanism that integrates the public, the media, and the government should be formed to improve emergency management during crises.","author":[{"dropping-particle":"","family":"Feng","given":"Changchun","non-dropping-particle":"","parse-names":false,"suffix":""},{"dropping-particle":"","family":"Umaier","given":"Kabilijiang","non-dropping-particle":"","parse-names":false,"suffix":""}],"container-title":"Journal of Disaster Research","id":"ITEM-3","issue":"1","issued":{"date-parts":[["2023"]]},"page":"34-39","title":"Risk Communication During the COVID-19 Pandemic in the Era of Social Media","type":"article-journal","volume":"18"},"uris":["http://www.mendeley.com/documents/?uuid=e5657c23-55bc-4cac-bba3-ce398b98376e"]}],"mendeley":{"formattedCitation":"(Feng &amp; Umaier, 2023; Yudarwati, Putranto, &amp; Delmo, 2022; Houston et al., 2014)","plainTextFormattedCitation":"(Feng &amp; Umaier, 2023; Yudarwati, Putranto, &amp; Delmo, 2022; Houston et al., 2014)","previouslyFormattedCitation":"(Feng &amp; Umaier, 2023; Yudarwati, Putranto, &amp; Delmo, 2022; Houston et al., 2014)"},"properties":{"noteIndex":0},"schema":"https://github.com/citation-style-language/schema/raw/master/csl-citation.json"}</w:instrText>
      </w:r>
      <w:r>
        <w:rPr>
          <w:rFonts w:cs="Calibri"/>
        </w:rPr>
        <w:fldChar w:fldCharType="separate"/>
      </w:r>
      <w:r w:rsidR="00974B75" w:rsidRPr="00974B75">
        <w:rPr>
          <w:rFonts w:cs="Calibri"/>
          <w:noProof/>
        </w:rPr>
        <w:t>(Feng &amp; Umaier, 2023; Yudarwati, Putranto, &amp; Delmo, 2022; Houston et al., 2014)</w:t>
      </w:r>
      <w:r>
        <w:rPr>
          <w:rFonts w:cs="Calibri"/>
        </w:rPr>
        <w:fldChar w:fldCharType="end"/>
      </w:r>
      <w:r>
        <w:rPr>
          <w:rFonts w:cs="Calibri"/>
        </w:rPr>
        <w:t xml:space="preserve">, and its ability to compile information,  monitoring risk, and engaging in a dialogue with community members </w:t>
      </w:r>
      <w:r>
        <w:fldChar w:fldCharType="begin" w:fldLock="1"/>
      </w:r>
      <w:r w:rsidR="00974B75">
        <w:rPr>
          <w:rFonts w:cs="Calibri"/>
        </w:rPr>
        <w:instrText>ADDIN CSL_CITATION {"citationItems":[{"id":"ITEM-1","itemData":{"DOI":"10.1016/j.ijdrr.2016.11.014","ISSN":"22124209","abstract":"The use of social media applications by citizens, public authorities, and humanitarian organisations generates vast quantities of data. Research predominantly focuses on the use of social media and associated analysis tools during the short-term response phase of a disaster. As such, the use of social media analysis tools to harness social media data for preparedness purposes is currently unclear. This research uses a combination of semi-structured interviews with 20 Red Cross Red Crescent and humanitarian actors, an online survey, two workshops and desk-based research to examine the opportunities and barriers faced by humanitarian actors in using social media analysis tools to analyse social media data for disaster preparedness. Whilst social media analysis tools provide humanitarian actors with an opportunity to understand the effectiveness of their preparedness communication on social media, to monitor risks and disasters, and to build community preparedness networks, this study identified a limited use of social media analysis tools by research participants. This (non) use of social media analysis tools was influenced by the interaction between seven categories of barriers relating to the user of the tool or the tool itself: language, culture, value, financial, human resources, technology, and data. In discussing these barriers, the authors highlight the key role that context plays in determining the significance of each barrier on the selection and use of social media analysis tools for preparedness.","author":[{"dropping-particle":"","family":"Anson","given":"Susan","non-dropping-particle":"","parse-names":false,"suffix":""},{"dropping-particle":"","family":"Watson","given":"Hayley","non-dropping-particle":"","parse-names":false,"suffix":""},{"dropping-particle":"","family":"Wadhwa","given":"Kush","non-dropping-particle":"","parse-names":false,"suffix":""},{"dropping-particle":"","family":"Metz","given":"Karin","non-dropping-particle":"","parse-names":false,"suffix":""}],"container-title":"International Journal of Disaster Risk Reduction","id":"ITEM-1","issued":{"date-parts":[["2017"]]},"page":"131-139","publisher":"Elsevier Ltd","title":"Analysing social media data for disaster preparedness: Understanding the opportunities and barriers faced by humanitarian actors","type":"article-journal","volume":"21"},"uris":["http://www.mendeley.com/documents/?uuid=7c91a9ee-7c4a-421b-a2c6-6d5e6dd6dd52"]},{"id":"ITEM-2","itemData":{"DOI":"10.1080/13669877.2014.961517","ISSN":"1366-9877","author":[{"dropping-particle":"","family":"Regan","given":"Áine","non-dropping-particle":"","parse-names":false,"suffix":""},{"dropping-particle":"","family":"Raats","given":"Monique","non-dropping-particle":"","parse-names":false,"suffix":""},{"dropping-particle":"","family":"Shan","given":"Liran Christine","non-dropping-particle":"","parse-names":false,"suffix":""},{"dropping-particle":"","family":"Wall","given":"Patrick G","non-dropping-particle":"","parse-names":false,"suffix":""},{"dropping-particle":"","family":"McConnon","given":"Aine","non-dropping-particle":"","parse-names":false,"suffix":""}],"container-title":"Journal of Risk Research","id":"ITEM-2","issue":"1","issued":{"date-parts":[["2016"]]},"page":"119-132","publisher":"Routledge","title":"Risk communication and social media during food safety crises : a study of stakeholders ’ opinions in Ireland","type":"article-journal","volume":"19"},"uris":["http://www.mendeley.com/documents/?uuid=93b71440-a063-4fcd-a9e7-146cc5654f5e"]},{"id":"ITEM-3","itemData":{"DOI":"10.5055/jem.2015.0242","author":[{"dropping-particle":"","family":"Wukich","given":"Clayton","non-dropping-particle":"","parse-names":false,"suffix":""}],"container-title":"Journal of emergency management","id":"ITEM-3","issue":"4","issued":{"date-parts":[["2017"]]},"page":"281 - 294","title":"Social media use in emergency management","type":"article-journal","volume":"13"},"uris":["http://www.mendeley.com/documents/?uuid=c7506da6-b306-440b-8b3a-c4135f5921ea"]},{"id":"ITEM-4","itemData":{"DOI":"10.1111/disa.12092","ISBN":"0361-3666","ISSN":"0361-3666","PMID":"25243593","abstract":"A comprehensive review of online, official, and scientific literature was carried out in 2012-13 to develop a framework of disaster social media. This framework can be used to facilitate the creation of disaster social media tools, the formulation of disaster social media implementation processes, and the scientific study of disaster social media effects. Disaster social media users in the framework include communities, government, individuals, organisations, and media outlets. Fifteen distinct disaster social media uses were identified, ranging from preparing and receiving disaster preparedness information and warnings and signalling and detecting disasters prior to an event to (re)connecting community members following a disaster. The framework illustrates that a variety of entities may utilise and produce disaster social media content. Consequently, disaster social media use can be conceptualised as occurring at a number of levels, even within the same disaster. Suggestions are provided on how the proposed framework can inform future disaster social media development and research.","author":[{"dropping-particle":"","family":"Houston","given":"J B","non-dropping-particle":"","parse-names":false,"suffix":""},{"dropping-particle":"","family":"Hawthorne","given":"J","non-dropping-particle":"","parse-names":false,"suffix":""},{"dropping-particle":"","family":"Perreault","given":"M F","non-dropping-particle":"","parse-names":false,"suffix":""},{"dropping-particle":"","family":"Park","given":"E H","non-dropping-particle":"","parse-names":false,"suffix":""},{"dropping-particle":"","family":"Hode","given":"M G","non-dropping-particle":"","parse-names":false,"suffix":""},{"dropping-particle":"","family":"Halliwell","given":"M R","non-dropping-particle":"","parse-names":false,"suffix":""},{"dropping-particle":"","family":"McGowen","given":"S E T","non-dropping-particle":"","parse-names":false,"suffix":""},{"dropping-particle":"","family":"Davis","given":"R","non-dropping-particle":"","parse-names":false,"suffix":""},{"dropping-particle":"","family":"Vaid","given":"S","non-dropping-particle":"","parse-names":false,"suffix":""},{"dropping-particle":"","family":"McElderry","given":"J a","non-dropping-particle":"","parse-names":false,"suffix":""},{"dropping-particle":"","family":"Griffith","given":"S a","non-dropping-particle":"","parse-names":false,"suffix":""}],"container-title":"Disasters","id":"ITEM-4","issue":"1","issued":{"date-parts":[["2014"]]},"page":"1-22","title":"Social media and disasters: a functional framework for social media use in disaster planning, response, and research","type":"article-journal","volume":"39"},"uris":["http://www.mendeley.com/documents/?uuid=5c25cc81-f505-46f0-b50e-8b74da34d4da"]}],"mendeley":{"formattedCitation":"(Anson et al., 2017; Wukich, 2017; Regan et al., 2016; Houston et al., 2014)","plainTextFormattedCitation":"(Anson et al., 2017; Wukich, 2017; Regan et al., 2016; Houston et al., 2014)","previouslyFormattedCitation":"(Anson et al., 2017; Wukich, 2017; Regan et al., 2016; Houston et al., 2014)"},"properties":{"noteIndex":0},"schema":"https://github.com/citation-style-language/schema/raw/master/csl-citation.json"}</w:instrText>
      </w:r>
      <w:r>
        <w:rPr>
          <w:rFonts w:cs="Calibri"/>
        </w:rPr>
        <w:fldChar w:fldCharType="separate"/>
      </w:r>
      <w:r w:rsidR="00974B75" w:rsidRPr="00974B75">
        <w:rPr>
          <w:rFonts w:cs="Calibri"/>
          <w:noProof/>
        </w:rPr>
        <w:t>(Anson et al., 2017; Wukich, 2017; Regan et al., 2016; Houston et al., 2014)</w:t>
      </w:r>
      <w:r>
        <w:rPr>
          <w:rFonts w:cs="Calibri"/>
        </w:rPr>
        <w:fldChar w:fldCharType="end"/>
      </w:r>
      <w:bookmarkEnd w:id="228"/>
      <w:r w:rsidR="00AB0C26">
        <w:rPr>
          <w:rFonts w:cs="Calibri"/>
        </w:rPr>
        <w:t>.</w:t>
      </w:r>
      <w:r>
        <w:rPr>
          <w:rFonts w:cs="Calibri"/>
        </w:rPr>
        <w:t xml:space="preserve"> </w:t>
      </w:r>
      <w:r w:rsidR="00AB0C26">
        <w:rPr>
          <w:rFonts w:cs="Calibri"/>
        </w:rPr>
        <w:t>H</w:t>
      </w:r>
      <w:r>
        <w:rPr>
          <w:rFonts w:cs="Calibri"/>
        </w:rPr>
        <w:t xml:space="preserve">owever, the dialogic potential has not been widely achieved in practice with risk communication </w:t>
      </w:r>
      <w:r>
        <w:fldChar w:fldCharType="begin" w:fldLock="1"/>
      </w:r>
      <w:r>
        <w:rPr>
          <w:rFonts w:cs="Calibri"/>
        </w:rPr>
        <w:instrText>ADDIN CSL_CITATION {"citationItems":[{"id":"ITEM-1","itemData":{"DOI":"10.1108/ITP-05-2021-0363","ISSN":"09593845","abstract":"Purpose: Despite the huge potential of social media, its functionality and impact for enhanced risk communication remain unclear. Drawing on dialogic theory by integrating both “speak from power” and “speak to power” measurements, the article aims to propose a systematic framework to address this issue. Design/methodology/approach: The impact of social media on risk communication is measured by the correlation between “speak from power” and “speak to power” levels, where the former primarily spoke to two facets of the risk communication process – rapidness and attentiveness, and the latter was benchmarked against popularity and commitment. The framework was empirically validated with data relating to coronavirus disease (COVID-19) risk communication in 25,024 selected posts on 17 official provincial Weibo accounts in China. Findings: The analysis results suggest the relationship between the “speak from power” and “speak to power” is mixed rather than causality, which confirms that neither the outcome-centric nor the process-centric method alone can render a full picture of government–public interconnectivity. Besides, the proposed interconnectivity matrix reveals that two provinces have evidenced the formation of government–public mutuality, which provides empirical evidence that dialogic relationships could exist in social media during risk communication. Originality/value: The authors' study proposed a prototype framework that underlines the need that the impact of social media on risk communication should and must be assessed through a combination of process and outcome or interconnectivity. The authors further divide the impact of social media on risk communication into dialogue enabler, “speak from power” booster, “speak to power” channel and mass media alternative.","author":[{"dropping-particle":"","family":"Zhu","given":"Ruilin","non-dropping-particle":"","parse-names":false,"suffix":""},{"dropping-particle":"","family":"Song","given":"Yanqing","non-dropping-particle":"","parse-names":false,"suffix":""},{"dropping-particle":"","family":"He","given":"Shuang","non-dropping-particle":"","parse-names":false,"suffix":""},{"dropping-particle":"","family":"Hu","given":"Xuan","non-dropping-particle":"","parse-names":false,"suffix":""},{"dropping-particle":"","family":"Hu","given":"Wangsu","non-dropping-particle":"","parse-names":false,"suffix":""},{"dropping-particle":"","family":"Liu","given":"Bingsheng","non-dropping-particle":"","parse-names":false,"suffix":""}],"container-title":"Information Technology and People","id":"ITEM-1","issue":"7","issued":{"date-parts":[["2022"]]},"page":"2518-2540","title":"Toward dialogue through a holistic measuring framework – the impact of social media on risk communication in the COVID-19","type":"article-journal","volume":"35"},"uris":["http://www.mendeley.com/documents/?uuid=0a67c08d-e86f-4697-a72d-997e6e8a75ba"]}],"mendeley":{"formattedCitation":"(Zhu et al., 2022)","plainTextFormattedCitation":"(Zhu et al., 2022)","previouslyFormattedCitation":"(Zhu et al., 2022)"},"properties":{"noteIndex":0},"schema":"https://github.com/citation-style-language/schema/raw/master/csl-citation.json"}</w:instrText>
      </w:r>
      <w:r>
        <w:rPr>
          <w:rFonts w:cs="Calibri"/>
        </w:rPr>
        <w:fldChar w:fldCharType="separate"/>
      </w:r>
      <w:r>
        <w:rPr>
          <w:rFonts w:cs="Calibri"/>
          <w:noProof/>
        </w:rPr>
        <w:t>(Zhu et al., 2022)</w:t>
      </w:r>
      <w:r>
        <w:rPr>
          <w:rFonts w:cs="Calibri"/>
        </w:rPr>
        <w:fldChar w:fldCharType="end"/>
      </w:r>
      <w:r>
        <w:rPr>
          <w:rFonts w:cs="Calibri"/>
        </w:rPr>
        <w:t xml:space="preserve"> with the majority of risk communication taking a broadcasting approach, such as directing people to vaccination sites during an influenza outbreak </w:t>
      </w:r>
      <w:r>
        <w:fldChar w:fldCharType="begin" w:fldLock="1"/>
      </w:r>
      <w:r>
        <w:rPr>
          <w:rFonts w:cs="Calibri"/>
        </w:rPr>
        <w:instrText>ADDIN CSL_CITATION {"citationItems":[{"id":"ITEM-1","itemData":{"DOI":"10.1177/0894439317721985","ISSN":"15528286","abstract":"© The Author(s) 2017. While emerging technologies such as social media have demonstrated value for crisis communications, significant question remains regarding how these tools can be most effectively leveraged to facilitate the flow of valid information under crisis conditions. In an effort to address these issues, this article examines the use of Twitter during the 2015–2016 Zika virus outbreak in the United States. Particular attention is paid to network structures within the Zika conversation and how different actors and communities contribute to the flow of information throughout the broader Twitter community. Public-facing organizations can benefit from a deeper understanding of the nature and structure of spontaneously occurring communities on social media as well as the types of content that they create and circulate. As such, these findings have significant implications for the development of effective social media strategies during natural disasters and public health emergencies. In particular, this analysis identifies several predominant themes communicated through Zika-related tweets as well as a number of distinct communities and influential actors. The findings suggest that respected political actors, public institutions, as well as those with valid scientific credentials can help to facilitate the flow of accurate and vital information across disparate communities.","author":[{"dropping-particle":"","family":"Hagen","given":"Loni","non-dropping-particle":"","parse-names":false,"suffix":""},{"dropping-particle":"","family":"Keller","given":"Thomas","non-dropping-particle":"","parse-names":false,"suffix":""},{"dropping-particle":"","family":"Neely","given":"Stephen","non-dropping-particle":"","parse-names":false,"suffix":""},{"dropping-particle":"","family":"DePaula","given":"Nic","non-dropping-particle":"","parse-names":false,"suffix":""},{"dropping-particle":"","family":"Robert-Cooperman","given":"Claudia","non-dropping-particle":"","parse-names":false,"suffix":""}],"container-title":"Social Science Computer Review","id":"ITEM-1","issue":"5","issued":{"date-parts":[["2018"]]},"page":"523-541","title":"Crisis Communications in the Age of Social Media: A Network Analysis of Zika-Related Tweets","type":"article-journal","volume":"36"},"uris":["http://www.mendeley.com/documents/?uuid=ee190255-6115-4f33-a816-3d19d3c3e85b"]}],"mendeley":{"formattedCitation":"(Hagen et al., 2018)","plainTextFormattedCitation":"(Hagen et al., 2018)","previouslyFormattedCitation":"(Hagen et al., 2018)"},"properties":{"noteIndex":0},"schema":"https://github.com/citation-style-language/schema/raw/master/csl-citation.json"}</w:instrText>
      </w:r>
      <w:r>
        <w:rPr>
          <w:rFonts w:cs="Calibri"/>
        </w:rPr>
        <w:fldChar w:fldCharType="separate"/>
      </w:r>
      <w:r>
        <w:rPr>
          <w:rFonts w:cs="Calibri"/>
          <w:noProof/>
        </w:rPr>
        <w:t>(Hagen et al., 2018)</w:t>
      </w:r>
      <w:r>
        <w:rPr>
          <w:rFonts w:cs="Calibri"/>
        </w:rPr>
        <w:fldChar w:fldCharType="end"/>
      </w:r>
      <w:r>
        <w:rPr>
          <w:rFonts w:cs="Calibri"/>
        </w:rPr>
        <w:t>.</w:t>
      </w:r>
    </w:p>
    <w:bookmarkEnd w:id="227"/>
    <w:p w14:paraId="1563E431" w14:textId="77777777" w:rsidR="00787F73" w:rsidRDefault="00787F73" w:rsidP="00866155">
      <w:pPr>
        <w:contextualSpacing/>
        <w:rPr>
          <w:rFonts w:cs="Calibri"/>
        </w:rPr>
      </w:pPr>
    </w:p>
    <w:p w14:paraId="3435E07A" w14:textId="3F3A9FE0" w:rsidR="00787F73" w:rsidRDefault="00C84401" w:rsidP="00866155">
      <w:pPr>
        <w:contextualSpacing/>
      </w:pPr>
      <w:r>
        <w:rPr>
          <w:rFonts w:cs="Calibri"/>
        </w:rPr>
        <w:t>While</w:t>
      </w:r>
      <w:r w:rsidR="00742FB7">
        <w:rPr>
          <w:rFonts w:cs="Calibri"/>
        </w:rPr>
        <w:t xml:space="preserve"> there are clear benefits to using social media, there are also challenges, such as trust and credibility of sources, misinformation, digital inequality </w:t>
      </w:r>
      <w:r w:rsidR="00742FB7">
        <w:fldChar w:fldCharType="begin" w:fldLock="1"/>
      </w:r>
      <w:r w:rsidR="00742FB7">
        <w:rPr>
          <w:rFonts w:cs="Calibri"/>
        </w:rPr>
        <w:instrText>ADDIN CSL_CITATION {"citationItems":[{"id":"ITEM-1","itemData":{"DOI":"10.1080/01292986.2021.2007274","ISSN":"17420911","abstract":"Social media have become widely used platforms for risk communication. Nevertheless, as this paper identifies there are potential challenges associated with the use social media, i.e. trust and credibility, misinformation, and digital inequality. This study uses three case studies to analyze the Indonesian government’s messaging strategies on social media for disaster risk communication, while navigating these challenges. Thematic content analysis of Indonesian emergency units’ social media posts during disaster events and of in-depth interviews with the personnel of the government agencies reveal the problematic aspects of the unidirectional top-down pattern of social media disaster risk communication. The messages mainly convey information about situations related to the disasters and government activities in local communities during disasters. Government agencies did not see social media as an appropriate channel for local communities most likely to be impacted or that such communities are shaped by culturally embedded beliefs and who might have limited accesses to the technology. This study suggests that patterns of social media use for disaster risk communication can differ across cultures. The collectivist culture of Indonesian communities has led to the two-step flow of communication model that proposes embracing culture and social capital to build trust, credibility, and overcome digital inequalities.","author":[{"dropping-particle":"","family":"Yudarwati","given":"Gregoria A.","non-dropping-particle":"","parse-names":false,"suffix":""},{"dropping-particle":"","family":"Putranto","given":"Ignatius A.","non-dropping-particle":"","parse-names":false,"suffix":""},{"dropping-particle":"","family":"Delmo","given":"Kate M.","non-dropping-particle":"","parse-names":false,"suffix":""}],"container-title":"Asian Journal of Communication","id":"ITEM-1","issue":"1","issued":{"date-parts":[["2022"]]},"page":"1-20","title":"Examining the Indonesian government’s social media use for disaster risk communication","type":"article-journal","volume":"32"},"uris":["http://www.mendeley.com/documents/?uuid=bdbad111-07a8-4bc0-870b-e36bc2073b13"]}],"mendeley":{"formattedCitation":"(Yudarwati, Putranto, &amp; Delmo, 2022)","plainTextFormattedCitation":"(Yudarwati, Putranto, &amp; Delmo, 2022)","previouslyFormattedCitation":"(Yudarwati, Putranto, &amp; Delmo, 2022)"},"properties":{"noteIndex":0},"schema":"https://github.com/citation-style-language/schema/raw/master/csl-citation.json"}</w:instrText>
      </w:r>
      <w:r w:rsidR="00742FB7">
        <w:rPr>
          <w:rFonts w:cs="Calibri"/>
        </w:rPr>
        <w:fldChar w:fldCharType="separate"/>
      </w:r>
      <w:r w:rsidR="00742FB7">
        <w:rPr>
          <w:rFonts w:cs="Calibri"/>
          <w:noProof/>
        </w:rPr>
        <w:t xml:space="preserve">(Yudarwati, Putranto, &amp; Delmo, </w:t>
      </w:r>
      <w:r w:rsidR="00742FB7">
        <w:rPr>
          <w:rFonts w:cs="Calibri"/>
          <w:noProof/>
        </w:rPr>
        <w:lastRenderedPageBreak/>
        <w:t>2022)</w:t>
      </w:r>
      <w:r w:rsidR="00742FB7">
        <w:rPr>
          <w:rFonts w:cs="Calibri"/>
        </w:rPr>
        <w:fldChar w:fldCharType="end"/>
      </w:r>
      <w:r w:rsidR="00742FB7">
        <w:rPr>
          <w:rFonts w:cs="Calibri"/>
        </w:rPr>
        <w:t xml:space="preserve">, and the assumption that metrics provide evidence of engagement. Research based on social media sometimes assumes that tweets and retweets can be a sign that communities and individuals are engaging in the conversation </w:t>
      </w:r>
      <w:r w:rsidR="00742FB7">
        <w:fldChar w:fldCharType="begin" w:fldLock="1"/>
      </w:r>
      <w:r w:rsidR="00742FB7">
        <w:rPr>
          <w:rFonts w:cs="Calibri"/>
        </w:rPr>
        <w:instrText>ADDIN CSL_CITATION {"citationItems":[{"id":"ITEM-1","itemData":{"DOI":"10.1175/WCAS-D-13-00028.1","author":[{"dropping-particle":"","family":"Ripberger","given":"Joseph T.","non-dropping-particle":"","parse-names":false,"suffix":""},{"dropping-particle":"","family":"Jenkins-Smith","given":"Hank C.","non-dropping-particle":"","parse-names":false,"suffix":""},{"dropping-particle":"","family":"Silva","given":"Carol L.","non-dropping-particle":"","parse-names":false,"suffix":""},{"dropping-particle":"","family":"Carlson","given":"Deven E.","non-dropping-particle":"","parse-names":false,"suffix":""},{"dropping-particle":"","family":"Henderson","given":"Matthew","non-dropping-particle":"","parse-names":false,"suffix":""}],"container-title":"Weather, Climate, and Society","id":"ITEM-1","issue":"4","issued":{"date-parts":[["2014"]]},"page":"520-530","title":"Social Media and Severe Weather: Do Tweets Provide a Valid Indicator of Public Attention to Severe Weather Risk Communication?","type":"article-journal","volume":"6"},"uris":["http://www.mendeley.com/documents/?uuid=f5d26f9d-b985-4f38-b98f-abf14a62f51d"]}],"mendeley":{"formattedCitation":"(Ripberger et al., 2014)","plainTextFormattedCitation":"(Ripberger et al., 2014)","previouslyFormattedCitation":"(Ripberger et al., 2014)"},"properties":{"noteIndex":0},"schema":"https://github.com/citation-style-language/schema/raw/master/csl-citation.json"}</w:instrText>
      </w:r>
      <w:r w:rsidR="00742FB7">
        <w:rPr>
          <w:rFonts w:cs="Calibri"/>
        </w:rPr>
        <w:fldChar w:fldCharType="separate"/>
      </w:r>
      <w:r w:rsidR="00742FB7">
        <w:rPr>
          <w:rFonts w:cs="Calibri"/>
          <w:noProof/>
        </w:rPr>
        <w:t>(Ripberger et al., 2014)</w:t>
      </w:r>
      <w:r w:rsidR="00742FB7">
        <w:rPr>
          <w:rFonts w:cs="Calibri"/>
        </w:rPr>
        <w:fldChar w:fldCharType="end"/>
      </w:r>
      <w:r w:rsidR="00AB0C26">
        <w:rPr>
          <w:rFonts w:cs="Calibri"/>
        </w:rPr>
        <w:t>.</w:t>
      </w:r>
      <w:r w:rsidR="00742FB7">
        <w:rPr>
          <w:rFonts w:cs="Calibri"/>
        </w:rPr>
        <w:t xml:space="preserve"> </w:t>
      </w:r>
      <w:r w:rsidR="00AB0C26">
        <w:rPr>
          <w:rFonts w:cs="Calibri"/>
        </w:rPr>
        <w:t>H</w:t>
      </w:r>
      <w:r w:rsidR="00742FB7">
        <w:rPr>
          <w:rFonts w:cs="Calibri"/>
        </w:rPr>
        <w:t>owever, this may not be the case as is discussed in greater detail in section 2.5.</w:t>
      </w:r>
    </w:p>
    <w:p w14:paraId="11F17666" w14:textId="77777777" w:rsidR="00787F73" w:rsidRDefault="00787F73" w:rsidP="00866155">
      <w:pPr>
        <w:contextualSpacing/>
        <w:rPr>
          <w:rFonts w:cs="Calibri"/>
        </w:rPr>
      </w:pPr>
    </w:p>
    <w:p w14:paraId="7757E4DE" w14:textId="47142599" w:rsidR="00787F73" w:rsidRDefault="00C84401" w:rsidP="00866155">
      <w:pPr>
        <w:contextualSpacing/>
      </w:pPr>
      <w:r>
        <w:rPr>
          <w:rFonts w:cs="Calibri"/>
        </w:rPr>
        <w:t>While</w:t>
      </w:r>
      <w:r w:rsidR="00742FB7">
        <w:rPr>
          <w:rFonts w:cs="Calibri"/>
        </w:rPr>
        <w:t xml:space="preserve"> there are some reports of dialogic communication on social media (see </w:t>
      </w:r>
      <w:r w:rsidR="00742FB7">
        <w:fldChar w:fldCharType="begin" w:fldLock="1"/>
      </w:r>
      <w:r w:rsidR="00974B75">
        <w:rPr>
          <w:rFonts w:cs="Calibri"/>
        </w:rPr>
        <w:instrText>ADDIN CSL_CITATION {"citationItems":[{"id":"ITEM-1","itemData":{"DOI":"10.1016/j.chb.2019.106183","ISSN":"07475632","abstract":"This study examined how both nonprofit and for-profit organizations use Twitter, a social media platform, to establish a dialogic relationship with their publics. Specifically, the study performed a content analysis of 6678 tweets, identifying the dialogic principles in organizations' Twitter pages and examining public engagement with these organizations. The study found that organizations, both nonprofit and for-profit, most closely followed the usefulness of information principle. Nonprofit organizations focused more on the principles of usefulness of information and the conservation of visitors, while for-profit organizations emphasized the dialogic loop principle. Organizations’ dialogic communication significantly influenced their public engagement, a conclusion that helps expand dialogic theory. The theoretical and practical implications of the study were also discussed.","author":[{"dropping-particle":"","family":"Wang","given":"Yuan","non-dropping-particle":"","parse-names":false,"suffix":""},{"dropping-particle":"","family":"Yang","given":"Yiyi","non-dropping-particle":"","parse-names":false,"suffix":""}],"container-title":"Computers in Human Behavior","id":"ITEM-1","issued":{"date-parts":[["2020"]]},"page":"1 - 8","title":"Dialogic communication on social media: How organizations use Twitter to build dialogic relationships with their publics","type":"article-journal","volume":"104"},"uris":["http://www.mendeley.com/documents/?uuid=49c12e8e-a7e2-4c39-9bec-ae7025275a8d"]}],"mendeley":{"formattedCitation":"(Wang &amp; Yang, 2020)","manualFormatting":"Wang &amp; Yang (2020)","plainTextFormattedCitation":"(Wang &amp; Yang, 2020)","previouslyFormattedCitation":"(Wang &amp; Yang, 2020)"},"properties":{"noteIndex":0},"schema":"https://github.com/citation-style-language/schema/raw/master/csl-citation.json"}</w:instrText>
      </w:r>
      <w:r w:rsidR="00742FB7">
        <w:rPr>
          <w:rFonts w:cs="Calibri"/>
        </w:rPr>
        <w:fldChar w:fldCharType="separate"/>
      </w:r>
      <w:r w:rsidR="00742FB7">
        <w:rPr>
          <w:rFonts w:cs="Calibri"/>
          <w:noProof/>
        </w:rPr>
        <w:t>Wang &amp; Yang (2020)</w:t>
      </w:r>
      <w:r w:rsidR="00742FB7">
        <w:rPr>
          <w:rFonts w:cs="Calibri"/>
        </w:rPr>
        <w:fldChar w:fldCharType="end"/>
      </w:r>
      <w:r w:rsidR="00742FB7">
        <w:rPr>
          <w:rFonts w:cs="Calibri"/>
        </w:rPr>
        <w:t xml:space="preserve">, little is known about risk communication stakeholders and their willingness to develop and use social media for a two-way conversation, rather than the simple broadcasting approach </w:t>
      </w:r>
      <w:r w:rsidR="00742FB7">
        <w:fldChar w:fldCharType="begin" w:fldLock="1"/>
      </w:r>
      <w:r w:rsidR="00742FB7">
        <w:rPr>
          <w:rFonts w:cs="Calibri"/>
        </w:rPr>
        <w:instrText>ADDIN CSL_CITATION {"citationItems":[{"id":"ITEM-1","itemData":{"DOI":"10.1080/13669877.2014.961517","ISSN":"1366-9877","author":[{"dropping-particle":"","family":"Regan","given":"Áine","non-dropping-particle":"","parse-names":false,"suffix":""},{"dropping-particle":"","family":"Raats","given":"Monique","non-dropping-particle":"","parse-names":false,"suffix":""},{"dropping-particle":"","family":"Shan","given":"Liran Christine","non-dropping-particle":"","parse-names":false,"suffix":""},{"dropping-particle":"","family":"Wall","given":"Patrick G","non-dropping-particle":"","parse-names":false,"suffix":""},{"dropping-particle":"","family":"McConnon","given":"Aine","non-dropping-particle":"","parse-names":false,"suffix":""}],"container-title":"Journal of Risk Research","id":"ITEM-1","issue":"1","issued":{"date-parts":[["2016"]]},"page":"119-132","publisher":"Routledge","title":"Risk communication and social media during food safety crises : a study of stakeholders ’ opinions in Ireland","type":"article-journal","volume":"19"},"uris":["http://www.mendeley.com/documents/?uuid=93b71440-a063-4fcd-a9e7-146cc5654f5e"]},{"id":"ITEM-2","itemData":{"DOI":"10.1080/01292986.2021.2007274","ISSN":"17420911","abstract":"Social media have become widely used platforms for risk communication. Nevertheless, as this paper identifies there are potential challenges associated with the use social media, i.e. trust and credibility, misinformation, and digital inequality. This study uses three case studies to analyze the Indonesian government’s messaging strategies on social media for disaster risk communication, while navigating these challenges. Thematic content analysis of Indonesian emergency units’ social media posts during disaster events and of in-depth interviews with the personnel of the government agencies reveal the problematic aspects of the unidirectional top-down pattern of social media disaster risk communication. The messages mainly convey information about situations related to the disasters and government activities in local communities during disasters. Government agencies did not see social media as an appropriate channel for local communities most likely to be impacted or that such communities are shaped by culturally embedded beliefs and who might have limited accesses to the technology. This study suggests that patterns of social media use for disaster risk communication can differ across cultures. The collectivist culture of Indonesian communities has led to the two-step flow of communication model that proposes embracing culture and social capital to build trust, credibility, and overcome digital inequalities.","author":[{"dropping-particle":"","family":"Yudarwati","given":"Gregoria A.","non-dropping-particle":"","parse-names":false,"suffix":""},{"dropping-particle":"","family":"Putranto","given":"Ignatius A.","non-dropping-particle":"","parse-names":false,"suffix":""},{"dropping-particle":"","family":"Delmo","given":"Kate M.","non-dropping-particle":"","parse-names":false,"suffix":""}],"container-title":"Asian Journal of Communication","id":"ITEM-2","issue":"1","issued":{"date-parts":[["2022"]]},"page":"1-20","title":"Examining the Indonesian government’s social media use for disaster risk communication","type":"article-journal","volume":"32"},"uris":["http://www.mendeley.com/documents/?uuid=bdbad111-07a8-4bc0-870b-e36bc2073b13"]},{"id":"ITEM-3","itemData":{"DOI":"10.20965/jdr.2023.p0034","ISSN":"18838030","abstract":"The widespread application of social media in the field of crisis management has been adopted globally. In recent years, the role of social media in emergencies has grown, especially during the coronavirus disease 2019 (COVID-19) pandemic. This study explores the different roles played by social media in the government, the media, and the public during the pandemic through the key nodes of information dissemination at each developmental stage of crisis risk communication. The results indicate that in a government-led environment, in which social media is the link and the public is the core, attention must be directed towards the key role of social media as a “whistleblower” during the incubation period of a crisis event. Moreover, a new gatekeeping mechanism that integrates the public, the media, and the government should be formed to improve emergency management during crises.","author":[{"dropping-particle":"","family":"Feng","given":"Changchun","non-dropping-particle":"","parse-names":false,"suffix":""},{"dropping-particle":"","family":"Umaier","given":"Kabilijiang","non-dropping-particle":"","parse-names":false,"suffix":""}],"container-title":"Journal of Disaster Research","id":"ITEM-3","issue":"1","issued":{"date-parts":[["2023"]]},"page":"34-39","title":"Risk Communication During the COVID-19 Pandemic in the Era of Social Media","type":"article-journal","volume":"18"},"uris":["http://www.mendeley.com/documents/?uuid=e5657c23-55bc-4cac-bba3-ce398b98376e"]}],"mendeley":{"formattedCitation":"(Feng &amp; Umaier, 2023; Yudarwati, Putranto, &amp; Delmo, 2022; Regan et al., 2016)","plainTextFormattedCitation":"(Feng &amp; Umaier, 2023; Yudarwati, Putranto, &amp; Delmo, 2022; Regan et al., 2016)","previouslyFormattedCitation":"(Feng &amp; Umaier, 2023; Yudarwati, Putranto, &amp; Delmo, 2022; Regan et al., 2016)"},"properties":{"noteIndex":0},"schema":"https://github.com/citation-style-language/schema/raw/master/csl-citation.json"}</w:instrText>
      </w:r>
      <w:r w:rsidR="00742FB7">
        <w:rPr>
          <w:rFonts w:cs="Calibri"/>
        </w:rPr>
        <w:fldChar w:fldCharType="separate"/>
      </w:r>
      <w:r w:rsidR="00742FB7">
        <w:rPr>
          <w:rFonts w:cs="Calibri"/>
          <w:noProof/>
        </w:rPr>
        <w:t>(Feng &amp; Umaier, 2023; Yudarwati, Putranto, &amp; Delmo, 2022; Regan et al., 2016)</w:t>
      </w:r>
      <w:r w:rsidR="00742FB7">
        <w:rPr>
          <w:rFonts w:cs="Calibri"/>
        </w:rPr>
        <w:fldChar w:fldCharType="end"/>
      </w:r>
      <w:r w:rsidR="00742FB7">
        <w:rPr>
          <w:rFonts w:cs="Calibri"/>
        </w:rPr>
        <w:t xml:space="preserve">. Organisations often still rely on the one-way method </w:t>
      </w:r>
      <w:r w:rsidR="00742FB7">
        <w:fldChar w:fldCharType="begin" w:fldLock="1"/>
      </w:r>
      <w:r w:rsidR="00974B75">
        <w:rPr>
          <w:rFonts w:cs="Calibri"/>
        </w:rPr>
        <w:instrText>ADDIN CSL_CITATION {"citationItems":[{"id":"ITEM-1","itemData":{"DOI":"10.2202/1944-2866.1130","author":[{"dropping-particle":"","family":"Crump","given":"Jeremy","non-dropping-particle":"","parse-names":false,"suffix":""}],"container-title":"Policy and Internet","id":"ITEM-1","issue":"4","issued":{"date-parts":[["2011"]]},"page":"1 - 29","title":"What Are the Police Doing on Twitter? Social Media, the Police and the Public","type":"article-journal","volume":"3"},"uris":["http://www.mendeley.com/documents/?uuid=93b9b90c-c4cb-49b6-8cb2-534bbcb93a38"]},{"id":"ITEM-2","itemData":{"DOI":"10.2196/publichealth.6313","ISSN":"2369-2960","abstract":"Background: Social media public health campaigns have the advantage of tailored messaging at low cost and large reach, but little is known about what would determine their feasibility as tools for inducing attitude and behavior change. Objective: The aim of this study was to test the feasibility of designing, implementing, and evaluating a social media–enabled intervention for skin cancer prevention. Methods: A quasi-experimental feasibility study used social media (Twitter) to disseminate different message “frames” related to care in the sun and cancer prevention. Phase 1 utilized the Northern Ireland cancer charity’s Twitter platform (May 1 to July 14, 2015). Following a 2-week “washout” period, Phase 2 commenced (August 1 to September 30, 2015) using a bespoke Twitter platform. Phase 2 also included a Thunderclap, whereby users allowed their social media accounts to automatically post a bespoke message on their behalf. Message frames were categorized into 5 broad categories: humor, shock or disgust, informative, personal stories, and opportunistic. Seed users with a notable following were contacted to be “influencers” in retweeting campaign content. A pre- and postintervention Web-based survey recorded skin cancer prevention knowledge and attitudes in Northern Ireland (population 1.8 million). Results: There were a total of 417,678 tweet impressions, 11,213 engagements, and 1211 retweets related to our campaign. Shocking messages generated the greatest impressions (shock, n=2369; informative, n=2258; humorous, n=1458; story, n=1680), whereas humorous messages generated greater engagement (humorous, n=148; shock, n=147; story, n=117; informative, n=100) and greater engagement rates compared with story tweets. Informative messages, resulted in the greatest number of shares (informative, n=17; humorous, n=10; shock, n=9; story, n=7). The study findings included improved knowledge of skin cancer severity in a pre- and postintervention Web-based survey, with greater awareness that skin cancer is the most common form of cancer (preintervention: 28.4% [95/335] vs postintervention: 39.3% [168/428] answered “True”) and that melanoma is most serious (49.1% [165/336] vs 55.5% [238/429]). The results also show improved attitudes toward ultraviolet (UV) exposure and skin cancer with a reduction in agreement that respondents “like to tan” (60.5% [202/334] vs 55.6% [238/428]).","author":[{"dropping-particle":"","family":"Gough","given":"Aisling","non-dropping-particle":"","parse-names":false,"suffix":""},{"dropping-particle":"","family":"Hunter","given":"Ruth F.","non-dropping-particle":"","parse-names":false,"suffix":""},{"dropping-particle":"","family":"Ajao","given":"Oluwaseun","non-dropping-particle":"","parse-names":false,"suffix":""},{"dropping-particle":"","family":"Jurek","given":"Anna","non-dropping-particle":"","parse-names":false,"suffix":""},{"dropping-particle":"","family":"McKeown","given":"Gary","non-dropping-particle":"","parse-names":false,"suffix":""},{"dropping-particle":"","family":"Hong","given":"Jun","non-dropping-particle":"","parse-names":false,"suffix":""},{"dropping-particle":"","family":"Barrett","given":"Eimear","non-dropping-particle":"","parse-names":false,"suffix":""},{"dropping-particle":"","family":"Ferguson","given":"Marbeth","non-dropping-particle":"","parse-names":false,"suffix":""},{"dropping-particle":"","family":"McElwee","given":"Gerry","non-dropping-particle":"","parse-names":false,"suffix":""},{"dropping-particle":"","family":"McCarthy","given":"Miriam","non-dropping-particle":"","parse-names":false,"suffix":""},{"dropping-particle":"","family":"Kee","given":"Frank","non-dropping-particle":"","parse-names":false,"suffix":""}],"container-title":"JMIR Public Health Surveillance","id":"ITEM-2","issue":"1","issued":{"date-parts":[["2017"]]},"page":"1-17","title":"Tweet for behavior change: Using social media for the dissemination of public health messages","type":"article-journal","volume":"3"},"uris":["http://www.mendeley.com/documents/?uuid=69906f6f-a21b-4963-9734-a5b16e66f747"]}],"mendeley":{"formattedCitation":"(Gough et al., 2017; Crump, 2011)","plainTextFormattedCitation":"(Gough et al., 2017; Crump, 2011)","previouslyFormattedCitation":"(Gough et al., 2017; Crump, 2011)"},"properties":{"noteIndex":0},"schema":"https://github.com/citation-style-language/schema/raw/master/csl-citation.json"}</w:instrText>
      </w:r>
      <w:r w:rsidR="00742FB7">
        <w:rPr>
          <w:rFonts w:cs="Calibri"/>
        </w:rPr>
        <w:fldChar w:fldCharType="separate"/>
      </w:r>
      <w:r w:rsidR="00742FB7">
        <w:rPr>
          <w:rFonts w:cs="Calibri"/>
          <w:noProof/>
        </w:rPr>
        <w:t>(Gough et al., 2017; Crump, 2011)</w:t>
      </w:r>
      <w:r w:rsidR="00742FB7">
        <w:rPr>
          <w:rFonts w:cs="Calibri"/>
        </w:rPr>
        <w:fldChar w:fldCharType="end"/>
      </w:r>
      <w:r w:rsidR="00742FB7">
        <w:rPr>
          <w:rFonts w:cs="Calibri"/>
        </w:rPr>
        <w:t xml:space="preserve">, which may be due to the time it takes to create meaningful engagement online, and the resulting costs involved. </w:t>
      </w:r>
    </w:p>
    <w:p w14:paraId="01F4133C" w14:textId="77777777" w:rsidR="00787F73" w:rsidRDefault="00787F73" w:rsidP="00866155">
      <w:pPr>
        <w:contextualSpacing/>
        <w:rPr>
          <w:rFonts w:cs="Calibri"/>
        </w:rPr>
      </w:pPr>
    </w:p>
    <w:p w14:paraId="0B929E92" w14:textId="77777777" w:rsidR="00787F73" w:rsidRDefault="00742FB7" w:rsidP="00866155">
      <w:pPr>
        <w:contextualSpacing/>
        <w:rPr>
          <w:rFonts w:cs="Calibri"/>
        </w:rPr>
      </w:pPr>
      <w:r>
        <w:rPr>
          <w:rFonts w:cs="Calibri"/>
        </w:rPr>
        <w:t xml:space="preserve">This focus on using social media with a broadcasting approach can also be viewed as an institutional logic (or a social media logic, see </w:t>
      </w:r>
      <w:r>
        <w:fldChar w:fldCharType="begin" w:fldLock="1"/>
      </w:r>
      <w:r>
        <w:rPr>
          <w:rFonts w:cs="Calibri"/>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2013)","manualFormatting":"Van Dijck &amp; Poell, 2013, discussed in section 2.5.1)","plainTextFormattedCitation":"(van Dijck &amp; Poell, 2013)","previouslyFormattedCitation":"(van Dijck &amp; Poell, 2013)"},"properties":{"noteIndex":0},"schema":"https://github.com/citation-style-language/schema/raw/master/csl-citation.json"}</w:instrText>
      </w:r>
      <w:r>
        <w:rPr>
          <w:rFonts w:cs="Calibri"/>
        </w:rPr>
        <w:fldChar w:fldCharType="separate"/>
      </w:r>
      <w:r>
        <w:rPr>
          <w:rFonts w:cs="Calibri"/>
          <w:noProof/>
        </w:rPr>
        <w:t>Van Dijck &amp; Poell, 2013, discussed in section 2.5.1)</w:t>
      </w:r>
      <w:r>
        <w:rPr>
          <w:rFonts w:cs="Calibri"/>
        </w:rPr>
        <w:fldChar w:fldCharType="end"/>
      </w:r>
      <w:r>
        <w:rPr>
          <w:rFonts w:cs="Calibri"/>
        </w:rPr>
        <w:t xml:space="preserve">, showcasing the internal cultures of organisations or communities, resulting in organisations having stricter communication strategies </w:t>
      </w:r>
      <w:r>
        <w:fldChar w:fldCharType="begin" w:fldLock="1"/>
      </w:r>
      <w:r>
        <w:rPr>
          <w:rFonts w:cs="Calibri"/>
        </w:rPr>
        <w:instrText>ADDIN CSL_CITATION {"citationItems":[{"id":"ITEM-1","itemData":{"author":[{"dropping-particle":"","family":"Ding","given":"Huiling","non-dropping-particle":"","parse-names":false,"suffix":""},{"dropping-particle":"","family":"Zhang","given":"Jingwen","non-dropping-particle":"","parse-names":false,"suffix":""}],"container-title":"China Media Research","id":"ITEM-1","issue":"4","issued":{"date-parts":[["2010"]]},"page":"80-92","title":"Social Media and Participatory Risk Communication during the H1N1 Flu Epidemic: A Comparative Study of the United States and China","type":"article-journal","volume":"6"},"uris":["http://www.mendeley.com/documents/?uuid=086b5aaf-3f91-4473-8170-62e6245d7aa5"]},{"id":"ITEM-2","itemData":{"DOI":"10.1080/01292986.2021.2007274","ISSN":"17420911","abstract":"Social media have become widely used platforms for risk communication. Nevertheless, as this paper identifies there are potential challenges associated with the use social media, i.e. trust and credibility, misinformation, and digital inequality. This study uses three case studies to analyze the Indonesian government’s messaging strategies on social media for disaster risk communication, while navigating these challenges. Thematic content analysis of Indonesian emergency units’ social media posts during disaster events and of in-depth interviews with the personnel of the government agencies reveal the problematic aspects of the unidirectional top-down pattern of social media disaster risk communication. The messages mainly convey information about situations related to the disasters and government activities in local communities during disasters. Government agencies did not see social media as an appropriate channel for local communities most likely to be impacted or that such communities are shaped by culturally embedded beliefs and who might have limited accesses to the technology. This study suggests that patterns of social media use for disaster risk communication can differ across cultures. The collectivist culture of Indonesian communities has led to the two-step flow of communication model that proposes embracing culture and social capital to build trust, credibility, and overcome digital inequalities.","author":[{"dropping-particle":"","family":"Yudarwati","given":"Gregoria A.","non-dropping-particle":"","parse-names":false,"suffix":""},{"dropping-particle":"","family":"Putranto","given":"Ignatius A.","non-dropping-particle":"","parse-names":false,"suffix":""},{"dropping-particle":"","family":"Delmo","given":"Kate M.","non-dropping-particle":"","parse-names":false,"suffix":""}],"container-title":"Asian Journal of Communication","id":"ITEM-2","issue":"1","issued":{"date-parts":[["2022"]]},"page":"1-20","title":"Examining the Indonesian government’s social media use for disaster risk communication","type":"article-journal","volume":"32"},"uris":["http://www.mendeley.com/documents/?uuid=bdbad111-07a8-4bc0-870b-e36bc2073b13"]}],"mendeley":{"formattedCitation":"(Yudarwati, Putranto, &amp; Delmo, 2022; Ding &amp; Zhang, 2010)","plainTextFormattedCitation":"(Yudarwati, Putranto, &amp; Delmo, 2022; Ding &amp; Zhang, 2010)","previouslyFormattedCitation":"(Yudarwati, Putranto, &amp; Delmo, 2022; Ding &amp; Zhang, 2010)"},"properties":{"noteIndex":0},"schema":"https://github.com/citation-style-language/schema/raw/master/csl-citation.json"}</w:instrText>
      </w:r>
      <w:r>
        <w:rPr>
          <w:rFonts w:cs="Calibri"/>
        </w:rPr>
        <w:fldChar w:fldCharType="separate"/>
      </w:r>
      <w:r>
        <w:rPr>
          <w:rFonts w:cs="Calibri"/>
          <w:noProof/>
        </w:rPr>
        <w:t>(Yudarwati, Putranto, &amp; Delmo, 2022; Ding &amp; Zhang, 2010)</w:t>
      </w:r>
      <w:r>
        <w:rPr>
          <w:rFonts w:cs="Calibri"/>
        </w:rPr>
        <w:fldChar w:fldCharType="end"/>
      </w:r>
      <w:r>
        <w:rPr>
          <w:rFonts w:cs="Calibri"/>
        </w:rPr>
        <w:t xml:space="preserve">. This can be a challenge to individuals working within risk communications, as they may be influenced by institutions to act in certain ways online. Risk communication can be done via various methods, one of which is via campaigns which link to the public information campaign literatures. </w:t>
      </w:r>
      <w:bookmarkStart w:id="229" w:name="_Toc62815584"/>
      <w:bookmarkStart w:id="230" w:name="_Toc67579756"/>
      <w:bookmarkStart w:id="231" w:name="_Toc93335986"/>
      <w:bookmarkStart w:id="232" w:name="_Toc98148317"/>
      <w:bookmarkStart w:id="233" w:name="_Toc62660745"/>
      <w:bookmarkStart w:id="234" w:name="_Toc93410817"/>
    </w:p>
    <w:p w14:paraId="12D9FC3E" w14:textId="77777777" w:rsidR="00BB4AF2" w:rsidRDefault="00BB4AF2" w:rsidP="00866155">
      <w:pPr>
        <w:contextualSpacing/>
      </w:pPr>
    </w:p>
    <w:p w14:paraId="4FAE9FA5" w14:textId="77777777" w:rsidR="00787F73" w:rsidRDefault="00742FB7" w:rsidP="00866155">
      <w:pPr>
        <w:pStyle w:val="Heading3"/>
      </w:pPr>
      <w:bookmarkStart w:id="235" w:name="_Hlk145349115"/>
      <w:bookmarkStart w:id="236" w:name="_Toc138687421"/>
      <w:bookmarkStart w:id="237" w:name="_Toc139636628"/>
      <w:bookmarkStart w:id="238" w:name="_Toc158823548"/>
      <w:bookmarkStart w:id="239" w:name="_Toc139645582"/>
      <w:bookmarkStart w:id="240" w:name="_Toc153554307"/>
      <w:bookmarkStart w:id="241" w:name="_Toc193367188"/>
      <w:bookmarkEnd w:id="235"/>
      <w:r>
        <w:rPr>
          <w:rFonts w:ascii="Calibri" w:hAnsi="Calibri" w:cs="Calibri"/>
        </w:rPr>
        <w:t>2.2.3: Public information campaign literature</w:t>
      </w:r>
      <w:bookmarkEnd w:id="229"/>
      <w:bookmarkEnd w:id="230"/>
      <w:bookmarkEnd w:id="231"/>
      <w:bookmarkEnd w:id="232"/>
      <w:bookmarkEnd w:id="233"/>
      <w:bookmarkEnd w:id="234"/>
      <w:bookmarkEnd w:id="236"/>
      <w:bookmarkEnd w:id="237"/>
      <w:bookmarkEnd w:id="238"/>
      <w:bookmarkEnd w:id="239"/>
      <w:bookmarkEnd w:id="240"/>
      <w:bookmarkEnd w:id="241"/>
    </w:p>
    <w:p w14:paraId="792F5252" w14:textId="77777777" w:rsidR="00787F73" w:rsidRDefault="00742FB7" w:rsidP="00866155">
      <w:pPr>
        <w:pStyle w:val="Heading4"/>
        <w:spacing w:line="360" w:lineRule="auto"/>
      </w:pPr>
      <w:bookmarkStart w:id="242" w:name="_Hlk1453491151"/>
      <w:bookmarkStart w:id="243" w:name="_Toc98148318"/>
      <w:bookmarkStart w:id="244" w:name="_Toc62660746"/>
      <w:bookmarkStart w:id="245" w:name="_Toc139645583"/>
      <w:bookmarkStart w:id="246" w:name="_Toc67579757"/>
      <w:bookmarkStart w:id="247" w:name="_Toc93410818"/>
      <w:bookmarkStart w:id="248" w:name="_Toc139636629"/>
      <w:bookmarkEnd w:id="242"/>
      <w:r>
        <w:rPr>
          <w:rFonts w:ascii="Calibri" w:hAnsi="Calibri" w:cs="Calibri"/>
        </w:rPr>
        <w:t>What are public information campaigns?</w:t>
      </w:r>
      <w:bookmarkEnd w:id="243"/>
      <w:bookmarkEnd w:id="244"/>
      <w:bookmarkEnd w:id="245"/>
      <w:bookmarkEnd w:id="246"/>
      <w:bookmarkEnd w:id="247"/>
      <w:bookmarkEnd w:id="248"/>
    </w:p>
    <w:p w14:paraId="2775FFFD" w14:textId="51BC7886" w:rsidR="00787F73" w:rsidRDefault="002223DD" w:rsidP="00866155">
      <w:pPr>
        <w:contextualSpacing/>
      </w:pPr>
      <w:r>
        <w:rPr>
          <w:rFonts w:cs="Calibri"/>
        </w:rPr>
        <w:t>T</w:t>
      </w:r>
      <w:r w:rsidR="00742FB7">
        <w:rPr>
          <w:rFonts w:cs="Calibri"/>
        </w:rPr>
        <w:t xml:space="preserve">he Public Information Campaign (PIC) literature focuses on how disaster risk reduction practitioners can influence the values, beliefs and attitudes of the general public </w:t>
      </w:r>
      <w:r w:rsidR="00742FB7">
        <w:fldChar w:fldCharType="begin" w:fldLock="1"/>
      </w:r>
      <w:r w:rsidR="00742FB7">
        <w:rPr>
          <w:rFonts w:cs="Calibri"/>
        </w:rPr>
        <w:instrText>ADDIN CSL_CITATION {"citationItems":[{"id":"ITEM-1","itemData":{"author":[{"dropping-particle":"","family":"Weiss","given":"Janet A","non-dropping-particle":"","parse-names":false,"suffix":""},{"dropping-particle":"","family":"Tschirhart","given":"Mary","non-dropping-particle":"","parse-names":false,"suffix":""}],"container-title":"Journal of Policy Analysis and Management","id":"ITEM-1","issue":"1","issued":{"date-parts":[["1994"]]},"page":"82-119","title":"Public Information Campaigns as Policy Instruments","type":"article-journal","volume":"13"},"uris":["http://www.mendeley.com/documents/?uuid=5566b246-3eba-49bf-918c-dcd9923b65a2"]},{"id":"ITEM-2","itemData":{"DOI":"10.1017/S1474747215000098","ISBN":"1474747215000","ISSN":"14753022","abstract":"Government authorities use resources on information campaigns in order to inform citizens about relevant policy changes. The motivation is usually that individuals sometimes are ill-informed about the public policies relevant for their choices. In a survey experiment where the treatment group was provided with public information material on the social security system, we assess the short- and medium-term knowledge effects. We show that the short run effects of the information on knowledge disappear completely within 4 months. The findings illustrate the limits of public information campaigns to improve knowledge about relevant policy reforms.","author":[{"dropping-particle":"","family":"Finseraas","given":"Henning","non-dropping-particle":"","parse-names":false,"suffix":""},{"dropping-particle":"","family":"Jakobsson","given":"Niklas","non-dropping-particle":"","parse-names":false,"suffix":""},{"dropping-particle":"","family":"Svensson","given":"Mikael","non-dropping-particle":"","parse-names":false,"suffix":""}],"container-title":"Journal of Pension Economics and Finance","id":"ITEM-2","issue":"1","issued":{"date-parts":[["2017"]]},"page":"108-117","title":"Do knowledge gains from public information campaigns persist over time? Results from a survey experiment on the Norwegian pension reform","type":"article-journal","volume":"16"},"uris":["http://www.mendeley.com/documents/?uuid=d9dbed88-c694-49dd-a174-2531c9ca6d3f"]}],"mendeley":{"formattedCitation":"(Finseraas, Jakobsson, &amp; Svensson, 2017; Weiss &amp; Tschirhart, 1994)","plainTextFormattedCitation":"(Finseraas, Jakobsson, &amp; Svensson, 2017; Weiss &amp; Tschirhart, 1994)","previouslyFormattedCitation":"(Finseraas, Jakobsson, &amp; Svensson, 2017; Weiss &amp; Tschirhart, 1994)"},"properties":{"noteIndex":0},"schema":"https://github.com/citation-style-language/schema/raw/master/csl-citation.json"}</w:instrText>
      </w:r>
      <w:r w:rsidR="00742FB7">
        <w:rPr>
          <w:rFonts w:cs="Calibri"/>
        </w:rPr>
        <w:fldChar w:fldCharType="separate"/>
      </w:r>
      <w:r w:rsidR="00742FB7">
        <w:rPr>
          <w:rFonts w:cs="Calibri"/>
          <w:noProof/>
        </w:rPr>
        <w:t>(Finseraas, Jakobsson, &amp; Svensson, 2017; Weiss &amp; Tschirhart, 1994)</w:t>
      </w:r>
      <w:r w:rsidR="00742FB7">
        <w:rPr>
          <w:rFonts w:cs="Calibri"/>
        </w:rPr>
        <w:fldChar w:fldCharType="end"/>
      </w:r>
      <w:r w:rsidR="00742FB7">
        <w:rPr>
          <w:rFonts w:cs="Calibri"/>
        </w:rPr>
        <w:t xml:space="preserve">. This is often attempted through informing the public on a variety of issues, such as policy changes, health campaigns, disaster prevention, as well as changing perceptions and discourse on challenging topics </w:t>
      </w:r>
      <w:r w:rsidR="00742FB7">
        <w:fldChar w:fldCharType="begin" w:fldLock="1"/>
      </w:r>
      <w:r w:rsidR="00742FB7">
        <w:rPr>
          <w:rFonts w:cs="Calibri"/>
        </w:rPr>
        <w:instrText>ADDIN CSL_CITATION {"citationItems":[{"id":"ITEM-1","itemData":{"DOI":"10.1017/S1474747215000098","ISBN":"1474747215000","ISSN":"14753022","abstract":"Government authorities use resources on information campaigns in order to inform citizens about relevant policy changes. The motivation is usually that individuals sometimes are ill-informed about the public policies relevant for their choices. In a survey experiment where the treatment group was provided with public information material on the social security system, we assess the short- and medium-term knowledge effects. We show that the short run effects of the information on knowledge disappear completely within 4 months. The findings illustrate the limits of public information campaigns to improve knowledge about relevant policy reforms.","author":[{"dropping-particle":"","family":"Finseraas","given":"Henning","non-dropping-particle":"","parse-names":false,"suffix":""},{"dropping-particle":"","family":"Jakobsson","given":"Niklas","non-dropping-particle":"","parse-names":false,"suffix":""},{"dropping-particle":"","family":"Svensson","given":"Mikael","non-dropping-particle":"","parse-names":false,"suffix":""}],"container-title":"Journal of Pension Economics and Finance","id":"ITEM-1","issue":"1","issued":{"date-parts":[["2017"]]},"page":"108-117","title":"Do knowledge gains from public information campaigns persist over time? Results from a survey experiment on the Norwegian pension reform","type":"article-journal","volume":"16"},"uris":["http://www.mendeley.com/documents/?uuid=d9dbed88-c694-49dd-a174-2531c9ca6d3f"]},{"id":"ITEM-2","itemData":{"author":[{"dropping-particle":"","family":"Weiss","given":"Janet A","non-dropping-particle":"","parse-names":false,"suffix":""},{"dropping-particle":"","family":"Tschirhart","given":"Mary","non-dropping-particle":"","parse-names":false,"suffix":""}],"container-title":"Journal of Policy Analysis and Management","id":"ITEM-2","issue":"1","issued":{"date-parts":[["1994"]]},"page":"82-119","title":"Public Information Campaigns as Policy Instruments","type":"article-journal","volume":"13"},"uris":["http://www.mendeley.com/documents/?uuid=5566b246-3eba-49bf-918c-dcd9923b65a2"]},{"id":"ITEM-3","itemData":{"DOI":"10.1177/02673231221101865","ISBN":"0267323122110","ISSN":"14603705","abstract":"Online platforms can help public information campaigns reach target audiences who are unlikely to engage with content distributed via traditional media. This paper adds to this emergent literature, as the first study of the Ending the Harm campaign, which is designed to change public discourse about paramilitary-style attacks in Northern Ireland. Campaign effects were explored through interviews (N = 7) conducted with key stakeholders, as well as the results of a quantitative survey of residents (N = 805) in areas most affected by these attacks. Results indicate that exposure to the ETH advertisements correlated with a belief that PSAs were unjustified. Platforms like Snapchat helped the campaign reach younger demographics (16–34 years old). Nevertheless, it was unclear whether self-reported changes in attitude toward PSAs would lead to sustained behavioral changes.","author":[{"dropping-particle":"","family":"Reilly","given":"Paul","non-dropping-particle":"","parse-names":false,"suffix":""},{"dropping-particle":"","family":"Gordon","given":"Faith","non-dropping-particle":"","parse-names":false,"suffix":""}],"container-title":"European Journal of Communication","id":"ITEM-3","issue":"1","issued":{"date-parts":[["2023"]]},"page":"3-21","title":"Can social media help end the harm? Public information campaigns, online platforms, and paramilitary-style attacks in a deeply divided society","type":"article-journal","volume":"38"},"uris":["http://www.mendeley.com/documents/?uuid=3ec5ff30-ed2f-4827-9a69-15ac53ecac0f"]}],"mendeley":{"formattedCitation":"(Reilly &amp; Gordon, 2023; Finseraas, Jakobsson, &amp; Svensson, 2017; Weiss &amp; Tschirhart, 1994)","plainTextFormattedCitation":"(Reilly &amp; Gordon, 2023; Finseraas, Jakobsson, &amp; Svensson, 2017; Weiss &amp; Tschirhart, 1994)","previouslyFormattedCitation":"(Reilly &amp; Gordon, 2023; Finseraas, Jakobsson, &amp; Svensson, 2017; Weiss &amp; Tschirhart, 1994)"},"properties":{"noteIndex":0},"schema":"https://github.com/citation-style-language/schema/raw/master/csl-citation.json"}</w:instrText>
      </w:r>
      <w:r w:rsidR="00742FB7">
        <w:rPr>
          <w:rFonts w:cs="Calibri"/>
        </w:rPr>
        <w:fldChar w:fldCharType="separate"/>
      </w:r>
      <w:r w:rsidR="00742FB7">
        <w:rPr>
          <w:rFonts w:cs="Calibri"/>
          <w:noProof/>
        </w:rPr>
        <w:t>(Reilly &amp; Gordon, 2023; Finseraas, Jakobsson, &amp; Svensson, 2017; Weiss &amp; Tschirhart, 1994)</w:t>
      </w:r>
      <w:r w:rsidR="00742FB7">
        <w:rPr>
          <w:rFonts w:cs="Calibri"/>
        </w:rPr>
        <w:fldChar w:fldCharType="end"/>
      </w:r>
      <w:r w:rsidR="00742FB7">
        <w:rPr>
          <w:rFonts w:cs="Calibri"/>
        </w:rPr>
        <w:t xml:space="preserve">, </w:t>
      </w:r>
      <w:r w:rsidR="00742FB7">
        <w:rPr>
          <w:rFonts w:cs="Calibri"/>
        </w:rPr>
        <w:lastRenderedPageBreak/>
        <w:t xml:space="preserve">which suggests that the public information campaign literature is working within the </w:t>
      </w:r>
      <w:r w:rsidR="00912954">
        <w:rPr>
          <w:rFonts w:cs="Calibri"/>
        </w:rPr>
        <w:t>D</w:t>
      </w:r>
      <w:r w:rsidR="004F7B90">
        <w:rPr>
          <w:rFonts w:cs="Calibri"/>
        </w:rPr>
        <w:t xml:space="preserve">eficit </w:t>
      </w:r>
      <w:r w:rsidR="00912954">
        <w:rPr>
          <w:rFonts w:cs="Calibri"/>
        </w:rPr>
        <w:t>M</w:t>
      </w:r>
      <w:r w:rsidR="004F7B90">
        <w:rPr>
          <w:rFonts w:cs="Calibri"/>
        </w:rPr>
        <w:t>odel</w:t>
      </w:r>
      <w:r w:rsidR="00742FB7">
        <w:rPr>
          <w:rFonts w:cs="Calibri"/>
        </w:rPr>
        <w:t xml:space="preserve">. </w:t>
      </w:r>
    </w:p>
    <w:p w14:paraId="74EA4B79" w14:textId="77777777" w:rsidR="00787F73" w:rsidRDefault="00787F73" w:rsidP="00866155">
      <w:pPr>
        <w:contextualSpacing/>
        <w:rPr>
          <w:rFonts w:cs="Calibri"/>
        </w:rPr>
      </w:pPr>
    </w:p>
    <w:p w14:paraId="5B5E547F" w14:textId="77777777" w:rsidR="00787F73" w:rsidRDefault="00742FB7" w:rsidP="00866155">
      <w:pPr>
        <w:contextualSpacing/>
      </w:pPr>
      <w:r>
        <w:rPr>
          <w:rFonts w:cs="Calibri"/>
        </w:rPr>
        <w:t xml:space="preserve">This project evaluated SYFR’s use of social media for their communications, including their prevention campaign messaging and how this can be used to develop community disaster resilience (discussed in chapter 4). There is very little research on the use of PICs within the UK FRS sector, therefore this </w:t>
      </w:r>
      <w:r w:rsidR="009727AC">
        <w:rPr>
          <w:rFonts w:cs="Calibri"/>
        </w:rPr>
        <w:t>is</w:t>
      </w:r>
      <w:r>
        <w:rPr>
          <w:rFonts w:cs="Calibri"/>
        </w:rPr>
        <w:t xml:space="preserve"> a contribution to the literature. This research aimed to explore the effectiveness of PICs, and the benefits and challenges of using social media. To do this, there needs to be a critical analysis of PICs and whether they are effective. </w:t>
      </w:r>
    </w:p>
    <w:p w14:paraId="4CDC6992" w14:textId="77777777" w:rsidR="00787F73" w:rsidRDefault="00787F73" w:rsidP="00866155">
      <w:pPr>
        <w:spacing w:after="160"/>
        <w:rPr>
          <w:rFonts w:cs="Calibri"/>
        </w:rPr>
      </w:pPr>
    </w:p>
    <w:p w14:paraId="3ECAF349" w14:textId="77777777" w:rsidR="00787F73" w:rsidRDefault="00742FB7" w:rsidP="00866155">
      <w:pPr>
        <w:pStyle w:val="Heading4"/>
        <w:spacing w:line="360" w:lineRule="auto"/>
      </w:pPr>
      <w:bookmarkStart w:id="249" w:name="_Toc98148319"/>
      <w:bookmarkStart w:id="250" w:name="_Toc93410819"/>
      <w:bookmarkStart w:id="251" w:name="_Toc67579758"/>
      <w:bookmarkStart w:id="252" w:name="_Toc139645584"/>
      <w:bookmarkStart w:id="253" w:name="_Toc139636630"/>
      <w:r>
        <w:rPr>
          <w:rFonts w:ascii="Calibri" w:hAnsi="Calibri" w:cs="Calibri"/>
        </w:rPr>
        <w:t>Are PICs effective?</w:t>
      </w:r>
      <w:bookmarkEnd w:id="249"/>
      <w:bookmarkEnd w:id="250"/>
      <w:bookmarkEnd w:id="251"/>
      <w:bookmarkEnd w:id="252"/>
      <w:bookmarkEnd w:id="253"/>
    </w:p>
    <w:p w14:paraId="0AE40AEB" w14:textId="3B046088" w:rsidR="00787F73" w:rsidRDefault="00742FB7" w:rsidP="00866155">
      <w:pPr>
        <w:contextualSpacing/>
        <w:rPr>
          <w:rFonts w:cs="Calibri"/>
        </w:rPr>
      </w:pPr>
      <w:r>
        <w:rPr>
          <w:rFonts w:cs="Calibri"/>
        </w:rPr>
        <w:t xml:space="preserve">To evaluate whether PICs work, one can examine the </w:t>
      </w:r>
      <w:r>
        <w:rPr>
          <w:rFonts w:cs="Calibri"/>
          <w:i/>
          <w:iCs/>
        </w:rPr>
        <w:t>effects</w:t>
      </w:r>
      <w:r>
        <w:rPr>
          <w:rFonts w:cs="Calibri"/>
        </w:rPr>
        <w:t xml:space="preserve"> and </w:t>
      </w:r>
      <w:r>
        <w:rPr>
          <w:rFonts w:cs="Calibri"/>
          <w:i/>
          <w:iCs/>
        </w:rPr>
        <w:t xml:space="preserve">effectiveness </w:t>
      </w:r>
      <w:r>
        <w:rPr>
          <w:rFonts w:cs="Calibri"/>
        </w:rPr>
        <w:t>of the campaigns. This initially requires an understanding of those creating the PICs, such as the practitioners or disaster risk reduction agencies</w:t>
      </w:r>
      <w:r w:rsidR="0097658D">
        <w:rPr>
          <w:rFonts w:cs="Calibri"/>
        </w:rPr>
        <w:t>:</w:t>
      </w:r>
      <w:r>
        <w:rPr>
          <w:rFonts w:cs="Calibri"/>
        </w:rPr>
        <w:t xml:space="preserve"> </w:t>
      </w:r>
      <w:r w:rsidR="00F767FF">
        <w:rPr>
          <w:rFonts w:cs="Calibri"/>
        </w:rPr>
        <w:t>w</w:t>
      </w:r>
      <w:r>
        <w:rPr>
          <w:rFonts w:cs="Calibri"/>
        </w:rPr>
        <w:t>hat they are trying to alert or inform individuals and communities about</w:t>
      </w:r>
      <w:r w:rsidR="0097658D">
        <w:rPr>
          <w:rFonts w:cs="Calibri"/>
        </w:rPr>
        <w:t xml:space="preserve">; </w:t>
      </w:r>
      <w:r>
        <w:rPr>
          <w:rFonts w:cs="Calibri"/>
        </w:rPr>
        <w:t xml:space="preserve">and whether the outcome is what the creators intended the campaign to achieve </w:t>
      </w:r>
      <w:r>
        <w:fldChar w:fldCharType="begin" w:fldLock="1"/>
      </w:r>
      <w:r w:rsidR="00974B75">
        <w:rPr>
          <w:rFonts w:cs="Calibri"/>
        </w:rPr>
        <w:instrText>ADDIN CSL_CITATION {"citationItems":[{"id":"ITEM-1","itemData":{"ISBN":"9781412987707","author":[{"dropping-particle":"","family":"Salmon","given":"Charles T.","non-dropping-particle":"","parse-names":false,"suffix":""},{"dropping-particle":"","family":"Murray-Johnson","given":"Lisa","non-dropping-particle":"","parse-names":false,"suffix":""}],"chapter-number":"7","container-title":"Public Communication Campaigns","edition":"Fourth","editor":[{"dropping-particle":"","family":"Rice","given":"Ronald E","non-dropping-particle":"","parse-names":false,"suffix":""},{"dropping-particle":"","family":"Atkin","given":"Charles K","non-dropping-particle":"","parse-names":false,"suffix":""}],"id":"ITEM-1","issued":{"date-parts":[["2013"]]},"page":"184 - 208","publisher":"SAGE","publisher-place":"Thousand Oaks","title":"Communication Campaign Effectiveness and Effects: Some Critical Distinctions","type":"chapter"},"uris":["http://www.mendeley.com/documents/?uuid=404fba21-913d-4d80-bea4-684fb90c3a69"]}],"mendeley":{"formattedCitation":"(Salmon &amp; Murray-Johnson, 2013)","plainTextFormattedCitation":"(Salmon &amp; Murray-Johnson, 2013)","previouslyFormattedCitation":"(Salmon &amp; Murray-Johnson, 2013)"},"properties":{"noteIndex":0},"schema":"https://github.com/citation-style-language/schema/raw/master/csl-citation.json"}</w:instrText>
      </w:r>
      <w:r>
        <w:rPr>
          <w:rFonts w:cs="Calibri"/>
        </w:rPr>
        <w:fldChar w:fldCharType="separate"/>
      </w:r>
      <w:r>
        <w:rPr>
          <w:rFonts w:cs="Calibri"/>
          <w:noProof/>
        </w:rPr>
        <w:t>(Salmon &amp; Murray-Johnson, 2013)</w:t>
      </w:r>
      <w:r>
        <w:rPr>
          <w:rFonts w:cs="Calibri"/>
        </w:rPr>
        <w:fldChar w:fldCharType="end"/>
      </w:r>
      <w:r>
        <w:rPr>
          <w:rFonts w:cs="Calibri"/>
        </w:rPr>
        <w:t>. This, therefore, requires trust in the agency that is sharing the information</w:t>
      </w:r>
      <w:r>
        <w:rPr>
          <w:rFonts w:cs="Calibri"/>
          <w:lang w:eastAsia="en-US"/>
        </w:rPr>
        <w:t xml:space="preserve"> </w:t>
      </w:r>
      <w:r>
        <w:fldChar w:fldCharType="begin" w:fldLock="1"/>
      </w:r>
      <w:r>
        <w:rPr>
          <w:rFonts w:cs="Calibri"/>
          <w:lang w:eastAsia="en-US"/>
        </w:rPr>
        <w:instrText>ADDIN CSL_CITATION {"citationItems":[{"id":"ITEM-1","itemData":{"DOI":"10.1111/gove.12645","ISSN":"14680491","abstract":"While information campaigns have been widely recognized as a pillar of public health crisis management and heightened by the current COVID-19 pandemic, an insufficient number of studies have investigated the impact of information disclosure on influencing citizen cooperation crucial for emergency management. Focusing on generic information disclosure practices during the recovery period from January 19, 2020, to February 29, 2020, in China and by employing a difference-in-difference method, this study finds that information disclosure significantly enhanced citizen coproduction as measured by aggregated search queries of COVID-19-related information, and earlier disclosure yielded greater effect more quickly. Moreover, government capacity and citizens' trust in government at the local level significantly moderate the positive impact of information disclosure. This study uncovers the novel relationship between information disclosure and citizen coproduction during emergencies in the Chinese context.","author":[{"dropping-particle":"","family":"Wu","given":"Yiping","non-dropping-particle":"","parse-names":false,"suffix":""},{"dropping-particle":"","family":"Xiao","given":"Hanyu","non-dropping-particle":"","parse-names":false,"suffix":""},{"dropping-particle":"","family":"Yang","given":"Fang","non-dropping-particle":"","parse-names":false,"suffix":""}],"container-title":"Governance","id":"ITEM-1","issue":"4","issued":{"date-parts":[["2022"]]},"page":"1005-1027","title":"Government information disclosure and citizen coproduction during COVID-19 in China","type":"article-journal","volume":"35"},"uris":["http://www.mendeley.com/documents/?uuid=23abe183-22b0-432d-ae37-147088b539b7"]}],"mendeley":{"formattedCitation":"(Wu, Xiao, &amp; Yang, 2022)","manualFormatting":"(Wu et al., 2022)","plainTextFormattedCitation":"(Wu, Xiao, &amp; Yang, 2022)","previouslyFormattedCitation":"(Wu, Xiao, &amp; Yang, 2022)"},"properties":{"noteIndex":0},"schema":"https://github.com/citation-style-language/schema/raw/master/csl-citation.json"}</w:instrText>
      </w:r>
      <w:r>
        <w:rPr>
          <w:rFonts w:cs="Calibri"/>
          <w:lang w:eastAsia="en-US"/>
        </w:rPr>
        <w:fldChar w:fldCharType="separate"/>
      </w:r>
      <w:r>
        <w:rPr>
          <w:rFonts w:cs="Calibri"/>
          <w:noProof/>
          <w:lang w:eastAsia="en-US"/>
        </w:rPr>
        <w:t>(Wu et al., 2022)</w:t>
      </w:r>
      <w:r>
        <w:rPr>
          <w:rFonts w:cs="Calibri"/>
          <w:lang w:eastAsia="en-US"/>
        </w:rPr>
        <w:fldChar w:fldCharType="end"/>
      </w:r>
      <w:r>
        <w:rPr>
          <w:rFonts w:cs="Calibri"/>
          <w:lang w:eastAsia="en-US"/>
        </w:rPr>
        <w:t xml:space="preserve">.  Examining PICs and the intentions and aims of the campaign suggests there may be institutional drivers influencing the creators’ choices. </w:t>
      </w:r>
      <w:r>
        <w:rPr>
          <w:rFonts w:cs="Calibri"/>
        </w:rPr>
        <w:t>Therefore, this PhD focused on SYFR and their aims for their campaigns and attempted to uncover the institutional logics that are driving the messaging</w:t>
      </w:r>
      <w:r w:rsidR="00D46592">
        <w:rPr>
          <w:rFonts w:cs="Calibri"/>
        </w:rPr>
        <w:t xml:space="preserve">. This </w:t>
      </w:r>
      <w:r w:rsidR="009727AC">
        <w:rPr>
          <w:rFonts w:cs="Calibri"/>
        </w:rPr>
        <w:t>is</w:t>
      </w:r>
      <w:r>
        <w:rPr>
          <w:rFonts w:cs="Calibri"/>
        </w:rPr>
        <w:t xml:space="preserve"> examined in RQ1 which focuses on SYFR’s communication strategy for building community disaster resilience. </w:t>
      </w:r>
    </w:p>
    <w:p w14:paraId="69839337" w14:textId="77777777" w:rsidR="00BB4AF2" w:rsidRDefault="00BB4AF2" w:rsidP="00866155">
      <w:pPr>
        <w:contextualSpacing/>
      </w:pPr>
    </w:p>
    <w:p w14:paraId="77B38782" w14:textId="77777777" w:rsidR="00787F73" w:rsidRDefault="00742FB7" w:rsidP="00866155">
      <w:pPr>
        <w:contextualSpacing/>
      </w:pPr>
      <w:r>
        <w:rPr>
          <w:rFonts w:cs="Calibri"/>
        </w:rPr>
        <w:t xml:space="preserve">When evaluating a PIC, there are various factors that can be discussed, including scale, temporality, and the metric used to measure the </w:t>
      </w:r>
      <w:r>
        <w:rPr>
          <w:rFonts w:cs="Calibri"/>
          <w:i/>
          <w:iCs/>
        </w:rPr>
        <w:t xml:space="preserve">effectiveness </w:t>
      </w:r>
      <w:r>
        <w:fldChar w:fldCharType="begin" w:fldLock="1"/>
      </w:r>
      <w:r w:rsidR="00974B75">
        <w:rPr>
          <w:rFonts w:cs="Calibri"/>
          <w:i/>
          <w:iCs/>
        </w:rPr>
        <w:instrText>ADDIN CSL_CITATION {"citationItems":[{"id":"ITEM-1","itemData":{"ISBN":"9781412987707","author":[{"dropping-particle":"","family":"Salmon","given":"Charles T.","non-dropping-particle":"","parse-names":false,"suffix":""},{"dropping-particle":"","family":"Murray-Johnson","given":"Lisa","non-dropping-particle":"","parse-names":false,"suffix":""}],"chapter-number":"7","container-title":"Public Communication Campaigns","edition":"Fourth","editor":[{"dropping-particle":"","family":"Rice","given":"Ronald E","non-dropping-particle":"","parse-names":false,"suffix":""},{"dropping-particle":"","family":"Atkin","given":"Charles K","non-dropping-particle":"","parse-names":false,"suffix":""}],"id":"ITEM-1","issued":{"date-parts":[["2013"]]},"page":"184 - 208","publisher":"SAGE","publisher-place":"Thousand Oaks","title":"Communication Campaign Effectiveness and Effects: Some Critical Distinctions","type":"chapter"},"uris":["http://www.mendeley.com/documents/?uuid=404fba21-913d-4d80-bea4-684fb90c3a69"]},{"id":"ITEM-2","itemData":{"author":[{"dropping-particle":"","family":"Weiss","given":"Janet A","non-dropping-particle":"","parse-names":false,"suffix":""},{"dropping-particle":"","family":"Tschirhart","given":"Mary","non-dropping-particle":"","parse-names":false,"suffix":""}],"container-title":"Journal of Policy Analysis and Management","id":"ITEM-2","issue":"1","issued":{"date-parts":[["1994"]]},"page":"82-119","title":"Public Information Campaigns as Policy Instruments","type":"article-journal","volume":"13"},"uris":["http://www.mendeley.com/documents/?uuid=5566b246-3eba-49bf-918c-dcd9923b65a2"]}],"mendeley":{"formattedCitation":"(Salmon &amp; Murray-Johnson, 2013; Weiss &amp; Tschirhart, 1994)","plainTextFormattedCitation":"(Salmon &amp; Murray-Johnson, 2013; Weiss &amp; Tschirhart, 1994)","previouslyFormattedCitation":"(Salmon &amp; Murray-Johnson, 2013; Weiss &amp; Tschirhart, 1994)"},"properties":{"noteIndex":0},"schema":"https://github.com/citation-style-language/schema/raw/master/csl-citation.json"}</w:instrText>
      </w:r>
      <w:r>
        <w:rPr>
          <w:rFonts w:cs="Calibri"/>
          <w:i/>
          <w:iCs/>
        </w:rPr>
        <w:fldChar w:fldCharType="separate"/>
      </w:r>
      <w:r>
        <w:rPr>
          <w:rFonts w:cs="Calibri"/>
          <w:iCs/>
          <w:noProof/>
        </w:rPr>
        <w:t>(Salmon &amp; Murray-Johnson, 2013; Weiss &amp; Tschirhart, 1994)</w:t>
      </w:r>
      <w:r>
        <w:rPr>
          <w:rFonts w:cs="Calibri"/>
          <w:i/>
          <w:iCs/>
        </w:rPr>
        <w:fldChar w:fldCharType="end"/>
      </w:r>
      <w:r>
        <w:rPr>
          <w:rFonts w:cs="Calibri"/>
          <w:i/>
          <w:iCs/>
        </w:rPr>
        <w:t>.</w:t>
      </w:r>
    </w:p>
    <w:p w14:paraId="3D6280F6" w14:textId="77777777" w:rsidR="00787F73" w:rsidRDefault="00787F73" w:rsidP="00866155">
      <w:pPr>
        <w:contextualSpacing/>
        <w:rPr>
          <w:rFonts w:cs="Calibri"/>
        </w:rPr>
      </w:pPr>
    </w:p>
    <w:p w14:paraId="06FA253A" w14:textId="77777777" w:rsidR="00787F73" w:rsidRDefault="00742FB7" w:rsidP="00866155">
      <w:pPr>
        <w:pStyle w:val="Heading5"/>
        <w:spacing w:line="360" w:lineRule="auto"/>
      </w:pPr>
      <w:bookmarkStart w:id="254" w:name="_Toc98148320"/>
      <w:bookmarkStart w:id="255" w:name="_Toc139645585"/>
      <w:bookmarkStart w:id="256" w:name="_Toc93410820"/>
      <w:bookmarkStart w:id="257" w:name="_Toc67579759"/>
      <w:bookmarkStart w:id="258" w:name="_Toc139636631"/>
      <w:r>
        <w:rPr>
          <w:rFonts w:ascii="Calibri" w:hAnsi="Calibri" w:cs="Calibri"/>
        </w:rPr>
        <w:t>The Scale of Public Information Campaigns</w:t>
      </w:r>
      <w:bookmarkEnd w:id="254"/>
      <w:bookmarkEnd w:id="255"/>
      <w:bookmarkEnd w:id="256"/>
      <w:bookmarkEnd w:id="257"/>
      <w:bookmarkEnd w:id="258"/>
    </w:p>
    <w:p w14:paraId="4572DCF7" w14:textId="77777777" w:rsidR="00787F73" w:rsidRDefault="00742FB7" w:rsidP="00866155">
      <w:pPr>
        <w:contextualSpacing/>
      </w:pPr>
      <w:r>
        <w:rPr>
          <w:rFonts w:cs="Calibri"/>
        </w:rPr>
        <w:t xml:space="preserve">Effectiveness can be viewed at various levels: at an individual level, focused on a changed behaviour or attitude; or at a societal level, stimulating political action or wider community projects </w:t>
      </w:r>
      <w:r>
        <w:fldChar w:fldCharType="begin" w:fldLock="1"/>
      </w:r>
      <w:r w:rsidR="00974B75">
        <w:rPr>
          <w:rFonts w:cs="Calibri"/>
        </w:rPr>
        <w:instrText>ADDIN CSL_CITATION {"citationItems":[{"id":"ITEM-1","itemData":{"ISBN":"9781412987707","author":[{"dropping-particle":"","family":"Salmon","given":"Charles T.","non-dropping-particle":"","parse-names":false,"suffix":""},{"dropping-particle":"","family":"Murray-Johnson","given":"Lisa","non-dropping-particle":"","parse-names":false,"suffix":""}],"chapter-number":"7","container-title":"Public Communication Campaigns","edition":"Fourth","editor":[{"dropping-particle":"","family":"Rice","given":"Ronald E","non-dropping-particle":"","parse-names":false,"suffix":""},{"dropping-particle":"","family":"Atkin","given":"Charles K","non-dropping-particle":"","parse-names":false,"suffix":""}],"id":"ITEM-1","issued":{"date-parts":[["2013"]]},"page":"184 - 208","publisher":"SAGE","publisher-place":"Thousand Oaks","title":"Communication Campaign Effectiveness and Effects: Some Critical Distinctions","type":"chapter"},"uris":["http://www.mendeley.com/documents/?uuid=404fba21-913d-4d80-bea4-684fb90c3a69"]}],"mendeley":{"formattedCitation":"(Salmon &amp; Murray-Johnson, 2013)","plainTextFormattedCitation":"(Salmon &amp; Murray-Johnson, 2013)","previouslyFormattedCitation":"(Salmon &amp; Murray-Johnson, 2013)"},"properties":{"noteIndex":0},"schema":"https://github.com/citation-style-language/schema/raw/master/csl-citation.json"}</w:instrText>
      </w:r>
      <w:r>
        <w:rPr>
          <w:rFonts w:cs="Calibri"/>
        </w:rPr>
        <w:fldChar w:fldCharType="separate"/>
      </w:r>
      <w:r>
        <w:rPr>
          <w:rFonts w:cs="Calibri"/>
          <w:noProof/>
        </w:rPr>
        <w:t>(Salmon &amp; Murray-Johnson, 2013)</w:t>
      </w:r>
      <w:r>
        <w:rPr>
          <w:rFonts w:cs="Calibri"/>
        </w:rPr>
        <w:fldChar w:fldCharType="end"/>
      </w:r>
      <w:r>
        <w:rPr>
          <w:rFonts w:cs="Calibri"/>
        </w:rPr>
        <w:t xml:space="preserve">. This is again dependant on the aims of the PIC </w:t>
      </w:r>
      <w:r>
        <w:rPr>
          <w:rFonts w:cs="Calibri"/>
        </w:rPr>
        <w:lastRenderedPageBreak/>
        <w:t xml:space="preserve">practitioner, the audience they are attempting to reach and inform, and how they hope to influence those people </w:t>
      </w:r>
      <w:r>
        <w:fldChar w:fldCharType="begin" w:fldLock="1"/>
      </w:r>
      <w:r>
        <w:rPr>
          <w:rFonts w:cs="Calibri"/>
        </w:rPr>
        <w:instrText>ADDIN CSL_CITATION {"citationItems":[{"id":"ITEM-1","itemData":{"author":[{"dropping-particle":"","family":"Weiss","given":"Janet A","non-dropping-particle":"","parse-names":false,"suffix":""},{"dropping-particle":"","family":"Tschirhart","given":"Mary","non-dropping-particle":"","parse-names":false,"suffix":""}],"container-title":"Journal of Policy Analysis and Management","id":"ITEM-1","issue":"1","issued":{"date-parts":[["1994"]]},"page":"82-119","title":"Public Information Campaigns as Policy Instruments","type":"article-journal","volume":"13"},"uris":["http://www.mendeley.com/documents/?uuid=5566b246-3eba-49bf-918c-dcd9923b65a2"]}],"mendeley":{"formattedCitation":"(Weiss &amp; Tschirhart, 1994)","plainTextFormattedCitation":"(Weiss &amp; Tschirhart, 1994)","previouslyFormattedCitation":"(Weiss &amp; Tschirhart, 1994)"},"properties":{"noteIndex":0},"schema":"https://github.com/citation-style-language/schema/raw/master/csl-citation.json"}</w:instrText>
      </w:r>
      <w:r>
        <w:rPr>
          <w:rFonts w:cs="Calibri"/>
        </w:rPr>
        <w:fldChar w:fldCharType="separate"/>
      </w:r>
      <w:r>
        <w:rPr>
          <w:rFonts w:cs="Calibri"/>
          <w:noProof/>
        </w:rPr>
        <w:t>(Weiss &amp; Tschirhart, 1994)</w:t>
      </w:r>
      <w:r>
        <w:rPr>
          <w:rFonts w:cs="Calibri"/>
        </w:rPr>
        <w:fldChar w:fldCharType="end"/>
      </w:r>
      <w:r>
        <w:rPr>
          <w:rFonts w:cs="Calibri"/>
        </w:rPr>
        <w:t xml:space="preserve">. The scale of the PIC may be due to the institutional logics and drivers which are influencing the organisation. For instance, in the case of SYFR they have an operational focus on South Yorkshire, which initially drives a level of scale for the PIC. This project examined how SYFR uses social media for community disaster resilience, and looked at the aims of SYFR’s communication campaigns, and wider communication processes to assess whether they are targeting individual level or societal level change. </w:t>
      </w:r>
    </w:p>
    <w:p w14:paraId="6293C0BA" w14:textId="77777777" w:rsidR="00787F73" w:rsidRDefault="00787F73" w:rsidP="00866155">
      <w:pPr>
        <w:contextualSpacing/>
        <w:rPr>
          <w:rFonts w:cs="Calibri"/>
        </w:rPr>
      </w:pPr>
    </w:p>
    <w:p w14:paraId="595586F8" w14:textId="31F80990" w:rsidR="00787F73" w:rsidRDefault="00C84401" w:rsidP="00866155">
      <w:pPr>
        <w:contextualSpacing/>
      </w:pPr>
      <w:r>
        <w:rPr>
          <w:rFonts w:cs="Calibri"/>
        </w:rPr>
        <w:t>While</w:t>
      </w:r>
      <w:r w:rsidR="00742FB7">
        <w:rPr>
          <w:rFonts w:cs="Calibri"/>
        </w:rPr>
        <w:t xml:space="preserve"> this project investigated the effectiveness of the SYFR messaging, it can be challenging to ascertain effectiveness when working at a community or county level scale, as these campaigns do not take place in a vacuum. This means that it can be extremely difficult, if not impossible, to link the campaign to any change </w:t>
      </w:r>
      <w:r w:rsidR="00742FB7">
        <w:fldChar w:fldCharType="begin" w:fldLock="1"/>
      </w:r>
      <w:r w:rsidR="00742FB7">
        <w:rPr>
          <w:rFonts w:cs="Calibri"/>
        </w:rPr>
        <w:instrText>ADDIN CSL_CITATION {"citationItems":[{"id":"ITEM-1","itemData":{"author":[{"dropping-particle":"","family":"Weiss","given":"Janet A","non-dropping-particle":"","parse-names":false,"suffix":""},{"dropping-particle":"","family":"Tschirhart","given":"Mary","non-dropping-particle":"","parse-names":false,"suffix":""}],"container-title":"Journal of Policy Analysis and Management","id":"ITEM-1","issue":"1","issued":{"date-parts":[["1994"]]},"page":"82-119","title":"Public Information Campaigns as Policy Instruments","type":"article-journal","volume":"13"},"uris":["http://www.mendeley.com/documents/?uuid=5566b246-3eba-49bf-918c-dcd9923b65a2"]}],"mendeley":{"formattedCitation":"(Weiss &amp; Tschirhart, 1994)","plainTextFormattedCitation":"(Weiss &amp; Tschirhart, 1994)","previouslyFormattedCitation":"(Weiss &amp; Tschirhart, 1994)"},"properties":{"noteIndex":0},"schema":"https://github.com/citation-style-language/schema/raw/master/csl-citation.json"}</w:instrText>
      </w:r>
      <w:r w:rsidR="00742FB7">
        <w:rPr>
          <w:rFonts w:cs="Calibri"/>
        </w:rPr>
        <w:fldChar w:fldCharType="separate"/>
      </w:r>
      <w:r w:rsidR="00742FB7">
        <w:rPr>
          <w:rFonts w:cs="Calibri"/>
          <w:noProof/>
        </w:rPr>
        <w:t>(Weiss &amp; Tschirhart, 1994)</w:t>
      </w:r>
      <w:r w:rsidR="00742FB7">
        <w:rPr>
          <w:rFonts w:cs="Calibri"/>
        </w:rPr>
        <w:fldChar w:fldCharType="end"/>
      </w:r>
      <w:r w:rsidR="00742FB7">
        <w:rPr>
          <w:rFonts w:cs="Calibri"/>
        </w:rPr>
        <w:t>, and this is compounded by the temporality of PICs.</w:t>
      </w:r>
    </w:p>
    <w:p w14:paraId="4127CB69" w14:textId="77777777" w:rsidR="00787F73" w:rsidRDefault="00787F73" w:rsidP="00866155">
      <w:pPr>
        <w:contextualSpacing/>
        <w:rPr>
          <w:rFonts w:cs="Calibri"/>
        </w:rPr>
      </w:pPr>
    </w:p>
    <w:p w14:paraId="2EB34387" w14:textId="77777777" w:rsidR="00787F73" w:rsidRDefault="00742FB7" w:rsidP="00866155">
      <w:pPr>
        <w:pStyle w:val="Heading5"/>
        <w:spacing w:line="360" w:lineRule="auto"/>
      </w:pPr>
      <w:bookmarkStart w:id="259" w:name="_Toc139636632"/>
      <w:bookmarkStart w:id="260" w:name="_Toc139645586"/>
      <w:bookmarkStart w:id="261" w:name="_Toc93410821"/>
      <w:bookmarkStart w:id="262" w:name="_Toc98148321"/>
      <w:bookmarkStart w:id="263" w:name="_Toc67579760"/>
      <w:r>
        <w:rPr>
          <w:rFonts w:ascii="Calibri" w:hAnsi="Calibri" w:cs="Calibri"/>
        </w:rPr>
        <w:t>The Temporality of Effectiveness in Public Information Campaigns</w:t>
      </w:r>
      <w:bookmarkEnd w:id="259"/>
      <w:bookmarkEnd w:id="260"/>
      <w:bookmarkEnd w:id="261"/>
      <w:bookmarkEnd w:id="262"/>
      <w:bookmarkEnd w:id="263"/>
    </w:p>
    <w:p w14:paraId="2E32575A" w14:textId="77777777" w:rsidR="00787F73" w:rsidRDefault="00742FB7" w:rsidP="00866155">
      <w:pPr>
        <w:contextualSpacing/>
      </w:pPr>
      <w:r>
        <w:rPr>
          <w:rFonts w:cs="Calibri"/>
        </w:rPr>
        <w:t xml:space="preserve">The aim of PICs is dependent on the practitioner creating the campaign, however, there is a general consensus that they aim to educate the public on changing policies with the goal to influence and change behaviours </w:t>
      </w:r>
      <w:r>
        <w:fldChar w:fldCharType="begin" w:fldLock="1"/>
      </w:r>
      <w:r>
        <w:rPr>
          <w:rFonts w:cs="Calibri"/>
        </w:rPr>
        <w:instrText>ADDIN CSL_CITATION {"citationItems":[{"id":"ITEM-1","itemData":{"DOI":"10.1017/S1474747215000098","ISBN":"1474747215000","ISSN":"14753022","abstract":"Government authorities use resources on information campaigns in order to inform citizens about relevant policy changes. The motivation is usually that individuals sometimes are ill-informed about the public policies relevant for their choices. In a survey experiment where the treatment group was provided with public information material on the social security system, we assess the short- and medium-term knowledge effects. We show that the short run effects of the information on knowledge disappear completely within 4 months. The findings illustrate the limits of public information campaigns to improve knowledge about relevant policy reforms.","author":[{"dropping-particle":"","family":"Finseraas","given":"Henning","non-dropping-particle":"","parse-names":false,"suffix":""},{"dropping-particle":"","family":"Jakobsson","given":"Niklas","non-dropping-particle":"","parse-names":false,"suffix":""},{"dropping-particle":"","family":"Svensson","given":"Mikael","non-dropping-particle":"","parse-names":false,"suffix":""}],"container-title":"Journal of Pension Economics and Finance","id":"ITEM-1","issue":"1","issued":{"date-parts":[["2017"]]},"page":"108-117","title":"Do knowledge gains from public information campaigns persist over time? Results from a survey experiment on the Norwegian pension reform","type":"article-journal","volume":"16"},"uris":["http://www.mendeley.com/documents/?uuid=d9dbed88-c694-49dd-a174-2531c9ca6d3f"]},{"id":"ITEM-2","itemData":{"DOI":"10.1177/02673231221101865","ISBN":"0267323122110","ISSN":"14603705","abstract":"Online platforms can help public information campaigns reach target audiences who are unlikely to engage with content distributed via traditional media. This paper adds to this emergent literature, as the first study of the Ending the Harm campaign, which is designed to change public discourse about paramilitary-style attacks in Northern Ireland. Campaign effects were explored through interviews (N = 7) conducted with key stakeholders, as well as the results of a quantitative survey of residents (N = 805) in areas most affected by these attacks. Results indicate that exposure to the ETH advertisements correlated with a belief that PSAs were unjustified. Platforms like Snapchat helped the campaign reach younger demographics (16–34 years old). Nevertheless, it was unclear whether self-reported changes in attitude toward PSAs would lead to sustained behavioral changes.","author":[{"dropping-particle":"","family":"Reilly","given":"Paul","non-dropping-particle":"","parse-names":false,"suffix":""},{"dropping-particle":"","family":"Gordon","given":"Faith","non-dropping-particle":"","parse-names":false,"suffix":""}],"container-title":"European Journal of Communication","id":"ITEM-2","issue":"1","issued":{"date-parts":[["2023"]]},"page":"3-21","title":"Can social media help end the harm? Public information campaigns, online platforms, and paramilitary-style attacks in a deeply divided society","type":"article-journal","volume":"38"},"uris":["http://www.mendeley.com/documents/?uuid=3ec5ff30-ed2f-4827-9a69-15ac53ecac0f"]}],"mendeley":{"formattedCitation":"(Reilly &amp; Gordon, 2023; Finseraas, Jakobsson, &amp; Svensson, 2017)","plainTextFormattedCitation":"(Reilly &amp; Gordon, 2023; Finseraas, Jakobsson, &amp; Svensson, 2017)","previouslyFormattedCitation":"(Reilly &amp; Gordon, 2023; Finseraas, Jakobsson, &amp; Svensson, 2017)"},"properties":{"noteIndex":0},"schema":"https://github.com/citation-style-language/schema/raw/master/csl-citation.json"}</w:instrText>
      </w:r>
      <w:r>
        <w:rPr>
          <w:rFonts w:cs="Calibri"/>
        </w:rPr>
        <w:fldChar w:fldCharType="separate"/>
      </w:r>
      <w:r>
        <w:rPr>
          <w:rFonts w:cs="Calibri"/>
          <w:noProof/>
        </w:rPr>
        <w:t>(Reilly &amp; Gordon, 2023; Finseraas, Jakobsson, &amp; Svensson, 2017)</w:t>
      </w:r>
      <w:r>
        <w:rPr>
          <w:rFonts w:cs="Calibri"/>
        </w:rPr>
        <w:fldChar w:fldCharType="end"/>
      </w:r>
      <w:r>
        <w:rPr>
          <w:rFonts w:cs="Calibri"/>
        </w:rPr>
        <w:t xml:space="preserve">, and perhaps change the individual and community logics surrounding the PIC topic. This requires the message to be retained within the individual or community, although the literature suggests that this can be a challenge. </w:t>
      </w:r>
    </w:p>
    <w:p w14:paraId="5C4DF235" w14:textId="77777777" w:rsidR="00787F73" w:rsidRDefault="00787F73" w:rsidP="00866155">
      <w:pPr>
        <w:contextualSpacing/>
        <w:rPr>
          <w:rFonts w:cs="Calibri"/>
        </w:rPr>
      </w:pPr>
    </w:p>
    <w:p w14:paraId="23829FBB" w14:textId="199BC469" w:rsidR="00792736" w:rsidRDefault="00742FB7" w:rsidP="00866155">
      <w:pPr>
        <w:contextualSpacing/>
        <w:rPr>
          <w:rFonts w:cs="Calibri"/>
        </w:rPr>
      </w:pPr>
      <w:r>
        <w:rPr>
          <w:rFonts w:cs="Calibri"/>
        </w:rPr>
        <w:t xml:space="preserve">Research conducted on pension reform in Norway highlighted the temporality in information retention within the community. The study indicated that after receiving an information brochure, community members were able to answer basic questions about the policy reform. This indicates that information campaigns can be beneficial in the short term, however, the research showed that this knowledge was lost four months after the information campaign </w:t>
      </w:r>
      <w:r>
        <w:fldChar w:fldCharType="begin" w:fldLock="1"/>
      </w:r>
      <w:r>
        <w:rPr>
          <w:rFonts w:cs="Calibri"/>
        </w:rPr>
        <w:instrText>ADDIN CSL_CITATION {"citationItems":[{"id":"ITEM-1","itemData":{"DOI":"10.1017/S1474747215000098","ISBN":"1474747215000","ISSN":"14753022","abstract":"Government authorities use resources on information campaigns in order to inform citizens about relevant policy changes. The motivation is usually that individuals sometimes are ill-informed about the public policies relevant for their choices. In a survey experiment where the treatment group was provided with public information material on the social security system, we assess the short- and medium-term knowledge effects. We show that the short run effects of the information on knowledge disappear completely within 4 months. The findings illustrate the limits of public information campaigns to improve knowledge about relevant policy reforms.","author":[{"dropping-particle":"","family":"Finseraas","given":"Henning","non-dropping-particle":"","parse-names":false,"suffix":""},{"dropping-particle":"","family":"Jakobsson","given":"Niklas","non-dropping-particle":"","parse-names":false,"suffix":""},{"dropping-particle":"","family":"Svensson","given":"Mikael","non-dropping-particle":"","parse-names":false,"suffix":""}],"container-title":"Journal of Pension Economics and Finance","id":"ITEM-1","issue":"1","issued":{"date-parts":[["2017"]]},"page":"108-117","title":"Do knowledge gains from public information campaigns persist over time? Results from a survey experiment on the Norwegian pension reform","type":"article-journal","volume":"16"},"uris":["http://www.mendeley.com/documents/?uuid=d9dbed88-c694-49dd-a174-2531c9ca6d3f"]},{"id":"ITEM-2","itemData":{"DOI":"10.1080/13504851.2014.922660","ISSN":"14664291","abstract":"We present the results of a survey experiment where the respondents were randomly assigned the opportunity to read an information brochure regarding recently implemented changes in the Norwegian pension system. We find that those given the opportunity to read the information material are more likely to believe that the reform has made the pension system easier to understand.","author":[{"dropping-particle":"","family":"Finseraas","given":"Henning","non-dropping-particle":"","parse-names":false,"suffix":""},{"dropping-particle":"","family":"Jakobsson","given":"Niklas","non-dropping-particle":"","parse-names":false,"suffix":""}],"container-title":"Applied Economics Letters","id":"ITEM-2","issue":"18","issued":{"date-parts":[["2014"]]},"page":"1266-1268","publisher":"Routledge","title":"Does a simple information intervention change the perception of a reform?","type":"article-journal","volume":"21"},"uris":["http://www.mendeley.com/documents/?uuid=f3c6caf6-44ba-40be-b402-a47314735193"]},{"id":"ITEM-3","itemData":{"DOI":"10.1017/S1474747213000310","ISBN":"1474747213","ISSN":"14753022","abstract":"We present the results of a survey experiment where the treatment group was provided with an information brochure regarding recently implemented changes in the Norwegian pension system, whereas a control group was not. We find that those who received the information are more likely to respond correctly to questions regarding the new pension system. The information effect is larger for those with high education, but only for the most complex aspect of the reform. Despite greater knowledge of the reform in the treatment group, we find no differences between the treatment and control group in their preferences regarding when to retire or whether to combine work and pension uptake. © Cambridge University Press 2013.","author":[{"dropping-particle":"","family":"Finseraas","given":"Henning","non-dropping-particle":"","parse-names":false,"suffix":""},{"dropping-particle":"","family":"Jakobsson","given":"Niklas","non-dropping-particle":"","parse-names":false,"suffix":""}],"container-title":"Journal of Pension Economics and Finance","id":"ITEM-3","issue":"3","issued":{"date-parts":[["2014"]]},"page":"250-271","title":"Does information about the pension system affect knowledge and retirement plans? Evidence from a survey experiment","type":"article-journal","volume":"13"},"uris":["http://www.mendeley.com/documents/?uuid=b09c03fd-4d72-4808-86d5-4cc79adaa5aa"]}],"mendeley":{"formattedCitation":"(Finseraas, Jakobsson, &amp; Svensson, 2017; Finseraas &amp; Jakobsson, 2014b, 2014a)","plainTextFormattedCitation":"(Finseraas, Jakobsson, &amp; Svensson, 2017; Finseraas &amp; Jakobsson, 2014b, 2014a)","previouslyFormattedCitation":"(Finseraas, Jakobsson, &amp; Svensson, 2017; Finseraas &amp; Jakobsson, 2014b, 2014a)"},"properties":{"noteIndex":0},"schema":"https://github.com/citation-style-language/schema/raw/master/csl-citation.json"}</w:instrText>
      </w:r>
      <w:r>
        <w:rPr>
          <w:rFonts w:cs="Calibri"/>
        </w:rPr>
        <w:fldChar w:fldCharType="separate"/>
      </w:r>
      <w:r>
        <w:rPr>
          <w:rFonts w:cs="Calibri"/>
          <w:noProof/>
        </w:rPr>
        <w:t>(Finseraas, Jakobsson, &amp; Svensson, 2017; Finseraas &amp; Jakobsson, 2014b, 2014a)</w:t>
      </w:r>
      <w:r>
        <w:rPr>
          <w:rFonts w:cs="Calibri"/>
        </w:rPr>
        <w:fldChar w:fldCharType="end"/>
      </w:r>
      <w:r w:rsidR="00F767FF">
        <w:rPr>
          <w:rFonts w:cs="Calibri"/>
        </w:rPr>
        <w:t>.</w:t>
      </w:r>
      <w:r>
        <w:rPr>
          <w:rFonts w:cs="Calibri"/>
        </w:rPr>
        <w:t xml:space="preserve"> </w:t>
      </w:r>
      <w:r w:rsidR="00F767FF">
        <w:rPr>
          <w:rFonts w:cs="Calibri"/>
        </w:rPr>
        <w:t xml:space="preserve">This suggests </w:t>
      </w:r>
      <w:r>
        <w:rPr>
          <w:rFonts w:cs="Calibri"/>
        </w:rPr>
        <w:t xml:space="preserve">that PICs can be short lived </w:t>
      </w:r>
      <w:r>
        <w:fldChar w:fldCharType="begin" w:fldLock="1"/>
      </w:r>
      <w:r>
        <w:rPr>
          <w:rFonts w:cs="Calibri"/>
        </w:rPr>
        <w:instrText>ADDIN CSL_CITATION {"citationItems":[{"id":"ITEM-1","itemData":{"DOI":"10.1371/journal.pone.0266242","ISBN":"1111111111","ISSN":"19326203","PMID":"35381026","abstract":"From an out-of-province/state and international post-secondary student perspective, this article (a) explores mass email risk communication facilitation during the COVID-19-triggered campus-wide evictions in Canada and the United States; and (b) develops relative recommendations to improve mass email risk communication strategies for future emergency response. Investigating mass email risk communication-related impacts on students in a tertiary educational context has revealed a significant deficit in emergency response research, practice, and policymaking. Mandatory temporary university and college closures during the COVID-19 first wave provided an opportunity to address this research and practice deficit, as most Canadian and American universities/colleges administered their eviction communication via daily mass email chains. Through a phenomenological lens, this study interviewed twenty out-of-province/state and international students, ten from each country respectively, to examine student eviction experiences associated with intensive mass email risk communication. This research identified four factors linked to mass email risk communication: email chain characteristics, student interpretation, interdepartmental cooperation, and frontline voices. Synthesizing these findings, four evidence-based recommendations were developed: to efficiently convey risk information to students, to understand student perceptions and to inform their behaviors, to enhance interdepartmental cooperation, and to enable mutual dialogue in decision making. These recommendations could assist post-secondary institutions, and other organizations, in strengthening their mass email risk communication strategies and advancing organizational emergency response plans for future extreme events.","author":[{"dropping-particle":"","family":"Wu","given":"Haorui","non-dropping-particle":"","parse-names":false,"suffix":""}],"container-title":"PLoS ONE","id":"ITEM-1","issue":"4","issued":{"date-parts":[["2022"]]},"page":"1-22","title":"Mass email risk communication: Lessons learned from COVID-19-triggered campus-wide evictions in Canada and the United States","type":"article-journal","volume":"17"},"uris":["http://www.mendeley.com/documents/?uuid=6c5c54fa-9dc3-4ba9-a878-bff9adc0ffde"]}],"mendeley":{"formattedCitation":"(Wu, 2022)","plainTextFormattedCitation":"(Wu, 2022)","previouslyFormattedCitation":"(Wu, 2022)"},"properties":{"noteIndex":0},"schema":"https://github.com/citation-style-language/schema/raw/master/csl-citation.json"}</w:instrText>
      </w:r>
      <w:r>
        <w:rPr>
          <w:rFonts w:cs="Calibri"/>
        </w:rPr>
        <w:fldChar w:fldCharType="separate"/>
      </w:r>
      <w:r>
        <w:rPr>
          <w:rFonts w:cs="Calibri"/>
          <w:noProof/>
        </w:rPr>
        <w:t>(Wu, 2022)</w:t>
      </w:r>
      <w:r>
        <w:rPr>
          <w:rFonts w:cs="Calibri"/>
        </w:rPr>
        <w:fldChar w:fldCharType="end"/>
      </w:r>
      <w:r>
        <w:rPr>
          <w:rFonts w:cs="Calibri"/>
        </w:rPr>
        <w:t>. This was also viewed during a stroke awareness campaign in Sweden</w:t>
      </w:r>
      <w:r w:rsidR="00F30217">
        <w:rPr>
          <w:rFonts w:cs="Calibri"/>
        </w:rPr>
        <w:t>.</w:t>
      </w:r>
      <w:r>
        <w:rPr>
          <w:rFonts w:cs="Calibri"/>
        </w:rPr>
        <w:t xml:space="preserve"> </w:t>
      </w:r>
      <w:r w:rsidR="00F30217">
        <w:rPr>
          <w:rFonts w:cs="Calibri"/>
        </w:rPr>
        <w:t>T</w:t>
      </w:r>
      <w:r>
        <w:rPr>
          <w:rFonts w:cs="Calibri"/>
        </w:rPr>
        <w:t xml:space="preserve">he researchers found that prior to the </w:t>
      </w:r>
      <w:r>
        <w:rPr>
          <w:rFonts w:cs="Calibri"/>
        </w:rPr>
        <w:lastRenderedPageBreak/>
        <w:t>intervention</w:t>
      </w:r>
      <w:r w:rsidR="00F30217">
        <w:rPr>
          <w:rFonts w:cs="Calibri"/>
        </w:rPr>
        <w:t>,</w:t>
      </w:r>
      <w:r>
        <w:rPr>
          <w:rFonts w:cs="Calibri"/>
        </w:rPr>
        <w:t xml:space="preserve"> 4% of the study group could recall the key information, during the intervention 23% could recall the information, and 21 months later that had reduced to only 14% </w:t>
      </w:r>
      <w:r>
        <w:fldChar w:fldCharType="begin" w:fldLock="1"/>
      </w:r>
      <w:r>
        <w:rPr>
          <w:rFonts w:cs="Calibri"/>
        </w:rPr>
        <w:instrText>ADDIN CSL_CITATION {"citationItems":[{"id":"ITEM-1","itemData":{"DOI":"10.1111/ane.12777","ISSN":"16000404","PMID":"28560735","abstract":"Background: Time delay from stroke onset to arrival in hospital is an important obstacle to widespread reperfusion therapy. To increase knowledge about stroke, and potentially decrease this delay, a 27-month national public information campaign was carried out in Sweden. Aims: To assess the effects of a national stroke campaign in Sweden. Methods: The variables used to measure campaign effects were knowledge of the AKUT test [a Swedish equivalent of the FAST (Face-Arm-Speech-Time)] test and intent to call 112 (emergency telephone number). Telephone interviews were carried out with 1500 randomly selected people in Sweden at eight points in time: before, three times during, immediately after, and nine, 13 and 21 months after the campaign. Results: Before the campaign, 4% could recall the meaning of some or all keywords in the AKUT test, compared with 23% during and directly after the campaign, and 14% 21 months later. Corresponding figures were 15%, 51%, and 50% for those remembering the term AKUT and 65%, 76%, and 73% for intent to call 112 when observing or experiencing stroke symptoms. During the course of the campaign, improvement of stroke knowledge was similar among men and women, but the absolute level of knowledge for both items was higher for women at all time points. Conclusion: The nationwide campaign substantially increased knowledge about the AKUT test and intention to call 112 when experiencing or observing stroke symptoms, but knowledge declined post-intervention. Repeated public information therefore appears essential to sustain knowledge gains.","author":[{"dropping-particle":"","family":"Nordanstig","given":"A.","non-dropping-particle":"","parse-names":false,"suffix":""},{"dropping-particle":"","family":"Asplund","given":"K.","non-dropping-particle":"","parse-names":false,"suffix":""},{"dropping-particle":"","family":"Norrving","given":"B.","non-dropping-particle":"","parse-names":false,"suffix":""},{"dropping-particle":"","family":"Wahlgren","given":"N.","non-dropping-particle":"","parse-names":false,"suffix":""},{"dropping-particle":"","family":"Wester","given":"P.","non-dropping-particle":"","parse-names":false,"suffix":""},{"dropping-particle":"","family":"Rosengren","given":"L.","non-dropping-particle":"","parse-names":false,"suffix":""}],"container-title":"Acta Neurologica Scandinavica","id":"ITEM-1","issue":"4","issued":{"date-parts":[["2017"]]},"page":"345-351","title":"Impact of the Swedish National Stroke Campaign on stroke awareness","type":"article-journal","volume":"136"},"uris":["http://www.mendeley.com/documents/?uuid=cac01379-1bdf-4006-9f81-42d0bd4d85be"]}],"mendeley":{"formattedCitation":"(Nordanstig et al., 2017)","plainTextFormattedCitation":"(Nordanstig et al., 2017)","previouslyFormattedCitation":"(Nordanstig et al., 2017)"},"properties":{"noteIndex":0},"schema":"https://github.com/citation-style-language/schema/raw/master/csl-citation.json"}</w:instrText>
      </w:r>
      <w:r>
        <w:rPr>
          <w:rFonts w:cs="Calibri"/>
        </w:rPr>
        <w:fldChar w:fldCharType="separate"/>
      </w:r>
      <w:r>
        <w:rPr>
          <w:rFonts w:cs="Calibri"/>
          <w:noProof/>
        </w:rPr>
        <w:t>(Nordanstig et al., 2017)</w:t>
      </w:r>
      <w:r>
        <w:rPr>
          <w:rFonts w:cs="Calibri"/>
        </w:rPr>
        <w:fldChar w:fldCharType="end"/>
      </w:r>
      <w:r>
        <w:rPr>
          <w:rFonts w:cs="Calibri"/>
        </w:rPr>
        <w:t>.</w:t>
      </w:r>
    </w:p>
    <w:p w14:paraId="7377EB39" w14:textId="77777777" w:rsidR="00792736" w:rsidRDefault="00792736" w:rsidP="00866155">
      <w:pPr>
        <w:contextualSpacing/>
        <w:rPr>
          <w:rFonts w:cs="Calibri"/>
        </w:rPr>
      </w:pPr>
    </w:p>
    <w:p w14:paraId="14D15632" w14:textId="07CABCF3" w:rsidR="00792736" w:rsidRDefault="00792736" w:rsidP="00792736">
      <w:pPr>
        <w:contextualSpacing/>
        <w:rPr>
          <w:rFonts w:cs="Calibri"/>
        </w:rPr>
      </w:pPr>
      <w:r>
        <w:rPr>
          <w:rFonts w:cs="Calibri"/>
        </w:rPr>
        <w:t xml:space="preserve">While some PIC campaigns are not effective, there are those which appear to be. A study in Germany focusing on UV exposure and the risks of skin cancer showed a reduction in incidents of sunburn from 25.9% in 1989, to 17.5% in 2002 </w:t>
      </w:r>
      <w:r>
        <w:rPr>
          <w:rFonts w:cs="Calibri"/>
        </w:rPr>
        <w:fldChar w:fldCharType="begin" w:fldLock="1"/>
      </w:r>
      <w:r w:rsidR="001574CD">
        <w:rPr>
          <w:rFonts w:cs="Calibri"/>
        </w:rPr>
        <w:instrText>ADDIN CSL_CITATION {"citationItems":[{"id":"ITEM-1","itemData":{"DOI":"10.1016/j.pbiomolbio.2006.02.023","ISSN":"00796107","PMID":"16595143","abstract":"Skin cancer represents the most common type of cancer in the white population worldwide and the incidence has dramatically increased during the last decades. UV-radiation is believed to be the most important risk factor responsible for this trend. The prominent role of UV-radiation renders skin cancer most suitable for primary prevention, because the main risk factor can easily be avoided by sticking to simple rules for the behaviour in the sun or under artificial UV (e.g. sunbeds). Since UV-exposure cannot and should not be avoided totally especially due to the beneficial health effects of UV-irradiation like Vitamin D3-production, recommendations and information for the public should be as clear and as weighted as possible, through adequate messages, such as: \"Love the sun and protect your skin\". For that purpose the Association of Dermatological Prevention in Germany (ADP) developed the period of life programme (POLP) that defines certain age-specific target groups, with the aim to give well adapted prevention messages to the population during lifetime. Evaluation of primary prevention campaigns in Germany showed that due to continuous intervention programs during the last 16 years changes in the \"sun-behaviour\" of the population have been achieved leading to a reduced but sufficient exposure to solar UV-irradiation. This will then contribute to the aim of decreasing morbidity and mortality of skin cancer. © 2006 Elsevier Ltd. All rights reserved.","author":[{"dropping-particle":"","family":"Breitbart","given":"E. W.","non-dropping-particle":"","parse-names":false,"suffix":""},{"dropping-particle":"","family":"Greinert","given":"R.","non-dropping-particle":"","parse-names":false,"suffix":""},{"dropping-particle":"","family":"Volkmer","given":"B.","non-dropping-particle":"","parse-names":false,"suffix":""}],"container-title":"Progress in Biophysics and Molecular Biology","id":"ITEM-1","issue":"1","issued":{"date-parts":[["2006"]]},"page":"167-172","title":"Effectiveness of information campaigns","type":"article-journal","volume":"92"},"uris":["http://www.mendeley.com/documents/?uuid=b480b947-0584-4616-bd4b-d8596a288407"]}],"mendeley":{"formattedCitation":"(Breitbart, Greinert, &amp; Volkmer, 2006)","plainTextFormattedCitation":"(Breitbart, Greinert, &amp; Volkmer, 2006)","previouslyFormattedCitation":"(Breitbart, Greinert, &amp; Volkmer, 2006)"},"properties":{"noteIndex":0},"schema":"https://github.com/citation-style-language/schema/raw/master/csl-citation.json"}</w:instrText>
      </w:r>
      <w:r>
        <w:rPr>
          <w:rFonts w:cs="Calibri"/>
        </w:rPr>
        <w:fldChar w:fldCharType="separate"/>
      </w:r>
      <w:r w:rsidRPr="00792736">
        <w:rPr>
          <w:rFonts w:cs="Calibri"/>
          <w:noProof/>
        </w:rPr>
        <w:t>(Breitbart, Greinert, &amp; Volkmer, 2006)</w:t>
      </w:r>
      <w:r>
        <w:rPr>
          <w:rFonts w:cs="Calibri"/>
        </w:rPr>
        <w:fldChar w:fldCharType="end"/>
      </w:r>
      <w:r>
        <w:rPr>
          <w:rFonts w:cs="Calibri"/>
        </w:rPr>
        <w:t xml:space="preserve">. The </w:t>
      </w:r>
      <w:r>
        <w:rPr>
          <w:rFonts w:cs="Calibri"/>
          <w:i/>
          <w:iCs/>
        </w:rPr>
        <w:t>Period of Life Programme</w:t>
      </w:r>
      <w:r w:rsidRPr="00A0151B">
        <w:rPr>
          <w:rFonts w:cs="Calibri"/>
        </w:rPr>
        <w:t xml:space="preserve"> (POLP) </w:t>
      </w:r>
      <w:r>
        <w:rPr>
          <w:rFonts w:cs="Calibri"/>
        </w:rPr>
        <w:t xml:space="preserve">aimed to target information to specific age groups, and to adapt prevention messages throughout a lifetime </w:t>
      </w:r>
      <w:r>
        <w:rPr>
          <w:rFonts w:cs="Calibri"/>
        </w:rPr>
        <w:fldChar w:fldCharType="begin" w:fldLock="1"/>
      </w:r>
      <w:r w:rsidR="001574CD">
        <w:rPr>
          <w:rFonts w:cs="Calibri"/>
        </w:rPr>
        <w:instrText>ADDIN CSL_CITATION {"citationItems":[{"id":"ITEM-1","itemData":{"DOI":"10.1016/j.pbiomolbio.2006.02.023","ISSN":"00796107","PMID":"16595143","abstract":"Skin cancer represents the most common type of cancer in the white population worldwide and the incidence has dramatically increased during the last decades. UV-radiation is believed to be the most important risk factor responsible for this trend. The prominent role of UV-radiation renders skin cancer most suitable for primary prevention, because the main risk factor can easily be avoided by sticking to simple rules for the behaviour in the sun or under artificial UV (e.g. sunbeds). Since UV-exposure cannot and should not be avoided totally especially due to the beneficial health effects of UV-irradiation like Vitamin D3-production, recommendations and information for the public should be as clear and as weighted as possible, through adequate messages, such as: \"Love the sun and protect your skin\". For that purpose the Association of Dermatological Prevention in Germany (ADP) developed the period of life programme (POLP) that defines certain age-specific target groups, with the aim to give well adapted prevention messages to the population during lifetime. Evaluation of primary prevention campaigns in Germany showed that due to continuous intervention programs during the last 16 years changes in the \"sun-behaviour\" of the population have been achieved leading to a reduced but sufficient exposure to solar UV-irradiation. This will then contribute to the aim of decreasing morbidity and mortality of skin cancer. © 2006 Elsevier Ltd. All rights reserved.","author":[{"dropping-particle":"","family":"Breitbart","given":"E. W.","non-dropping-particle":"","parse-names":false,"suffix":""},{"dropping-particle":"","family":"Greinert","given":"R.","non-dropping-particle":"","parse-names":false,"suffix":""},{"dropping-particle":"","family":"Volkmer","given":"B.","non-dropping-particle":"","parse-names":false,"suffix":""}],"container-title":"Progress in Biophysics and Molecular Biology","id":"ITEM-1","issue":"1","issued":{"date-parts":[["2006"]]},"page":"167-172","title":"Effectiveness of information campaigns","type":"article-journal","volume":"92"},"uris":["http://www.mendeley.com/documents/?uuid=b480b947-0584-4616-bd4b-d8596a288407"]}],"mendeley":{"formattedCitation":"(Breitbart, Greinert, &amp; Volkmer, 2006)","plainTextFormattedCitation":"(Breitbart, Greinert, &amp; Volkmer, 2006)","previouslyFormattedCitation":"(Breitbart, Greinert, &amp; Volkmer, 2006)"},"properties":{"noteIndex":0},"schema":"https://github.com/citation-style-language/schema/raw/master/csl-citation.json"}</w:instrText>
      </w:r>
      <w:r>
        <w:rPr>
          <w:rFonts w:cs="Calibri"/>
        </w:rPr>
        <w:fldChar w:fldCharType="separate"/>
      </w:r>
      <w:r w:rsidRPr="00792736">
        <w:rPr>
          <w:rFonts w:cs="Calibri"/>
          <w:noProof/>
        </w:rPr>
        <w:t>(Breitbart, Greinert, &amp; Volkmer, 2006)</w:t>
      </w:r>
      <w:r>
        <w:rPr>
          <w:rFonts w:cs="Calibri"/>
        </w:rPr>
        <w:fldChar w:fldCharType="end"/>
      </w:r>
      <w:r>
        <w:rPr>
          <w:rFonts w:cs="Calibri"/>
        </w:rPr>
        <w:t>. While this appears to be a positive change, it is difficult to link it directly to the campaign. This change could have bee</w:t>
      </w:r>
      <w:r w:rsidR="0097658D">
        <w:rPr>
          <w:rFonts w:cs="Calibri"/>
        </w:rPr>
        <w:t>n</w:t>
      </w:r>
      <w:r>
        <w:rPr>
          <w:rFonts w:cs="Calibri"/>
        </w:rPr>
        <w:t xml:space="preserve"> due to a larger cultural and institutional logic change. However, if one considers agency within the institutions</w:t>
      </w:r>
      <w:r w:rsidR="00DC2974">
        <w:rPr>
          <w:rFonts w:cs="Calibri"/>
        </w:rPr>
        <w:t xml:space="preserve"> </w:t>
      </w:r>
      <w:r w:rsidR="00DC2974">
        <w:fldChar w:fldCharType="begin" w:fldLock="1"/>
      </w:r>
      <w:r w:rsidR="00DC2974">
        <w:rPr>
          <w:rFonts w:cs="Calibri"/>
        </w:rPr>
        <w:instrText>ADDIN CSL_CITATION {"citationItems":[{"id":"ITEM-1","itemData":{"DOI":"10.5465/amr.2015.0020","ISBN":"354068297X","ISSN":"03029743","PMID":"127021146","abstract":"In this article I argue that the quest to establish microfoundations for institutional theory is hindered by two assumptions on which it currently rests: that structure simply con-strains and enables action and that agency is mostly associated with reflexivity. I un-pack these two assumptions and propose alternative microfoundations on which (1) structure not only constrains and enables action but also actively orients it toward some possibilities over others, and (2) the pre-reflective dimension of agency is explicitly theorized. It thus becomes possible to bridge long-standing divides within institutional theory, opening up avenues for further developing its microfoundations.","author":[{"dropping-particle":"","family":"Cardinale","given":"Ivano","non-dropping-particle":"","parse-names":false,"suffix":""}],"container-title":"Academy of Management Review","id":"ITEM-1","issue":"1","issued":{"date-parts":[["2018"]]},"page":"132-155","title":"Beyond Constraining and Enabling: Toward New Microfoundations for Institutional Theory","type":"article-journal","volume":"43"},"uris":["http://www.mendeley.com/documents/?uuid=d9c484f7-3075-4731-8304-8986df5d71a1"]},{"id":"ITEM-2","itemData":{"ISBN":"1526415054","author":[{"dropping-particle":"","family":"Greenwood","given":"Royston","non-dropping-particle":"","parse-names":false,"suffix":""},{"dropping-particle":"","family":"Oliver","given":"Christine","non-dropping-particle":"","parse-names":false,"suffix":""},{"dropping-particle":"","family":"Sahlin","given":"Kerstin","non-dropping-particle":"","parse-names":false,"suffix":""},{"dropping-particle":"","family":"Suddaby","given":"Roy","non-dropping-particle":"","parse-names":false,"suffix":""}],"chapter-number":"1","container-title":"The Sage handbook of Organizational Institutionalism","editor":[{"dropping-particle":"","family":"Greenwood","given":"Royston","non-dropping-particle":"","parse-names":false,"suffix":""},{"dropping-particle":"","family":"Oliver","given":"Christine","non-dropping-particle":"","parse-names":false,"suffix":""},{"dropping-particle":"","family":"Lawrence","given":"Thomas B","non-dropping-particle":"","parse-names":false,"suffix":""},{"dropping-particle":"","family":"Meyer","given":"Renate E","non-dropping-particle":"","parse-names":false,"suffix":""}],"id":"ITEM-2","issued":{"date-parts":[["2008"]]},"page":"1 -34","publisher":"Sage","publisher-place":"London","title":"Introduction","type":"chapter"},"uris":["http://www.mendeley.com/documents/?uuid=3fed7a46-7a1f-43ad-aae4-af5880dadba6"]},{"id":"ITEM-3","itemData":{"DOI":"10.1177/1056492609347564","ISSN":"10564926","abstract":"This essay offers a critical summation of the use of neo-institutionalism to study organizations. While institutionalism has succeeded in becoming the dominant theory to study macro-organizational phenomena, there is a danger that the theory has been stretched far beyond its core purpose-to understand how organizational structures and processes acquire meaning and continuity beyond their technical goals. I discuss some possible reasons for this displacement and identify four nascent threads of research that hold strong potential for bringing institutional theory back to its core assumptions and objectives; categories, language, work, and aesthetics. © The Author(s) 2010.","author":[{"dropping-particle":"","family":"Suddaby","given":"Roy","non-dropping-particle":"","parse-names":false,"suffix":""}],"container-title":"Journal of Management Inquiry","id":"ITEM-3","issue":"1","issued":{"date-parts":[["2010"]]},"page":"14-20","title":"Challenges for institutional theory","type":"article-journal","volume":"19"},"uris":["http://www.mendeley.com/documents/?uuid=48d38a20-6474-4586-8ab9-0cdc9bff1589"]},{"id":"ITEM-4","itemData":{"DOI":"10.1111/j.1467-9299.2012.02105.x","ISBN":"00014273","ISSN":"0170-8406","PMID":"18837629","abstract":"Over recent decades, a number of managerial reform initiatives in continental Europe have aimed at moving away from the traditional Weberian model of public administration. Such shifting bases of legitimacy are brought about by changes in the institutional logics in place, which not only provide frames of reference but also social identities and vocabularies of motive for the actors in the field. In this article, we approach the expanding research on public service motivation (PSM) by employing an institutional prism. Based on an executive survey in a continental European context, we examine the assumption that high PSM is associated with the traditional ethos and social identity in the public sector. What we find is that a Weberian legalistic-bureaucratic logic supports neither a high attraction to policy-making nor a high level of compassion. A managerial orientation, on the other hand, entails significantly higher scores on these two dimensions, as well as on overall PSM.","author":[{"dropping-particle":"","family":"Dacin","given":"M Tina","non-dropping-particle":"","parse-names":false,"suffix":""},{"dropping-particle":"","family":"Goodstein","given":"Jerry","non-dropping-particle":"","parse-names":false,"suffix":""},{"dropping-particle":"","family":"Scott","given":"W Richard","non-dropping-particle":"","parse-names":false,"suffix":""}],"container-title":"The Academy of Management Journal","id":"ITEM-4","issue":"1","issued":{"date-parts":[["2002"]]},"page":"45-56","title":"Institutional Theory and Institutional Change: Introduction to the Special Research Forum","type":"article-journal","volume":"45"},"uris":["http://www.mendeley.com/documents/?uuid=ce784237-38a8-4089-a19f-9157aeaf33bb"]},{"id":"ITEM-5","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Practice","id":"ITEM-5","issue":"3","issued":{"date-parts":[["2010"]]},"page":"421-440","title":"Institutional theory and entrepreneurship: Where are we now and where do we need to move in the future?","type":"article-journal","volume":"34"},"uris":["http://www.mendeley.com/documents/?uuid=e36ff41e-f87e-4ac2-ad15-cf1983b501ae"]}],"mendeley":{"formattedCitation":"(Cardinale, 2018; Bruton, Ahlstrom, &amp; Li, 2010; Suddaby, 2010; Greenwood et al., 2008; Dacin, Goodstein, &amp; Scott, 2002)","plainTextFormattedCitation":"(Cardinale, 2018; Bruton, Ahlstrom, &amp; Li, 2010; Suddaby, 2010; Greenwood et al., 2008; Dacin, Goodstein, &amp; Scott, 2002)","previouslyFormattedCitation":"(Cardinale, 2018; Bruton, Ahlstrom, &amp; Li, 2010; Suddaby, 2010; Greenwood et al., 2008; Dacin, Goodstein, &amp; Scott, 2002)"},"properties":{"noteIndex":0},"schema":"https://github.com/citation-style-language/schema/raw/master/csl-citation.json"}</w:instrText>
      </w:r>
      <w:r w:rsidR="00DC2974">
        <w:rPr>
          <w:rFonts w:cs="Calibri"/>
        </w:rPr>
        <w:fldChar w:fldCharType="separate"/>
      </w:r>
      <w:r w:rsidR="00DC2974">
        <w:rPr>
          <w:rFonts w:cs="Calibri"/>
          <w:noProof/>
        </w:rPr>
        <w:t>(Cardinale, 2018; Bruton, Ahlstrom, &amp; Li, 2010; Suddaby, 2010; Greenwood et al., 2008; Dacin, Goodstein, &amp; Scott, 2002)</w:t>
      </w:r>
      <w:r w:rsidR="00DC2974">
        <w:rPr>
          <w:rFonts w:cs="Calibri"/>
        </w:rPr>
        <w:fldChar w:fldCharType="end"/>
      </w:r>
      <w:r>
        <w:rPr>
          <w:rFonts w:cs="Calibri"/>
        </w:rPr>
        <w:t xml:space="preserve">, the promotion of this UV exposure POLP </w:t>
      </w:r>
      <w:r w:rsidR="00E76DB0">
        <w:rPr>
          <w:rFonts w:cs="Calibri"/>
        </w:rPr>
        <w:t>c</w:t>
      </w:r>
      <w:r>
        <w:rPr>
          <w:rFonts w:cs="Calibri"/>
        </w:rPr>
        <w:t xml:space="preserve">ould have contributed to this shifting cultural understanding of UV exposure. </w:t>
      </w:r>
    </w:p>
    <w:p w14:paraId="38E513A1" w14:textId="77777777" w:rsidR="00792736" w:rsidRDefault="00792736" w:rsidP="00792736">
      <w:pPr>
        <w:contextualSpacing/>
        <w:rPr>
          <w:rFonts w:cs="Calibri"/>
        </w:rPr>
      </w:pPr>
    </w:p>
    <w:p w14:paraId="3551C547" w14:textId="70553739" w:rsidR="00787F73" w:rsidRDefault="00742FB7" w:rsidP="00866155">
      <w:pPr>
        <w:contextualSpacing/>
      </w:pPr>
      <w:r>
        <w:rPr>
          <w:rFonts w:cs="Calibri"/>
        </w:rPr>
        <w:t>The</w:t>
      </w:r>
      <w:r w:rsidR="00792736">
        <w:rPr>
          <w:rFonts w:cs="Calibri"/>
        </w:rPr>
        <w:t xml:space="preserve"> studies discussed in this section</w:t>
      </w:r>
      <w:r>
        <w:rPr>
          <w:rFonts w:cs="Calibri"/>
        </w:rPr>
        <w:t xml:space="preserve"> are not in the fire and rescue field, indicating a gap in the literature</w:t>
      </w:r>
      <w:r w:rsidR="001E2DA7">
        <w:rPr>
          <w:rFonts w:cs="Calibri"/>
        </w:rPr>
        <w:t xml:space="preserve"> to examine the use of PICs within FRS. Through examining the use of PICs within SYFR this thesis was able to make a </w:t>
      </w:r>
      <w:r>
        <w:rPr>
          <w:rFonts w:cs="Calibri"/>
        </w:rPr>
        <w:t xml:space="preserve">contribution </w:t>
      </w:r>
      <w:r w:rsidR="001E2DA7">
        <w:rPr>
          <w:rFonts w:cs="Calibri"/>
        </w:rPr>
        <w:t>to the PIC literature</w:t>
      </w:r>
      <w:r>
        <w:rPr>
          <w:rFonts w:cs="Calibri"/>
        </w:rPr>
        <w:t>. The above studies highlight a quantitative and positivist focus on the impacts of communication, and there needs to be greater focus on how PICs can be measured.</w:t>
      </w:r>
    </w:p>
    <w:p w14:paraId="1D0A0F75" w14:textId="77777777" w:rsidR="00787F73" w:rsidRDefault="00787F73" w:rsidP="00866155">
      <w:pPr>
        <w:contextualSpacing/>
        <w:rPr>
          <w:rFonts w:cs="Calibri"/>
        </w:rPr>
      </w:pPr>
    </w:p>
    <w:p w14:paraId="25FFCD1A" w14:textId="77777777" w:rsidR="00787F73" w:rsidRDefault="00742FB7" w:rsidP="00866155">
      <w:pPr>
        <w:pStyle w:val="Heading5"/>
        <w:spacing w:line="360" w:lineRule="auto"/>
      </w:pPr>
      <w:bookmarkStart w:id="264" w:name="_Toc67579761"/>
      <w:bookmarkStart w:id="265" w:name="_Toc139636633"/>
      <w:bookmarkStart w:id="266" w:name="_Toc139645587"/>
      <w:bookmarkStart w:id="267" w:name="_Toc98148322"/>
      <w:bookmarkStart w:id="268" w:name="_Toc93410822"/>
      <w:r>
        <w:rPr>
          <w:rFonts w:ascii="Calibri" w:hAnsi="Calibri" w:cs="Calibri"/>
        </w:rPr>
        <w:t>The measurement of effectiveness</w:t>
      </w:r>
      <w:bookmarkEnd w:id="264"/>
      <w:bookmarkEnd w:id="265"/>
      <w:bookmarkEnd w:id="266"/>
      <w:bookmarkEnd w:id="267"/>
      <w:bookmarkEnd w:id="268"/>
    </w:p>
    <w:p w14:paraId="616C30DD" w14:textId="556CC192" w:rsidR="00787F73" w:rsidRDefault="00742FB7" w:rsidP="00866155">
      <w:pPr>
        <w:contextualSpacing/>
      </w:pPr>
      <w:r>
        <w:rPr>
          <w:rFonts w:cs="Calibri"/>
        </w:rPr>
        <w:t>There are lots of ways to view campaign effectiveness: financially</w:t>
      </w:r>
      <w:r w:rsidR="00F30217">
        <w:rPr>
          <w:rFonts w:cs="Calibri"/>
        </w:rPr>
        <w:t xml:space="preserve">; </w:t>
      </w:r>
      <w:r>
        <w:rPr>
          <w:rFonts w:cs="Calibri"/>
        </w:rPr>
        <w:t>contextually</w:t>
      </w:r>
      <w:r w:rsidR="00F30217">
        <w:rPr>
          <w:rFonts w:cs="Calibri"/>
        </w:rPr>
        <w:t xml:space="preserve">; </w:t>
      </w:r>
      <w:r>
        <w:rPr>
          <w:rFonts w:cs="Calibri"/>
        </w:rPr>
        <w:t>politically</w:t>
      </w:r>
      <w:r w:rsidR="00F30217">
        <w:rPr>
          <w:rFonts w:cs="Calibri"/>
        </w:rPr>
        <w:t xml:space="preserve">; </w:t>
      </w:r>
      <w:r>
        <w:rPr>
          <w:rFonts w:cs="Calibri"/>
        </w:rPr>
        <w:t xml:space="preserve">or ideologically. However, the effectiveness of a campaign depends on what the creators aims are, the campaign’s ability to target the relevant audience with an easy to understand and implement outcome </w:t>
      </w:r>
      <w:r>
        <w:fldChar w:fldCharType="begin" w:fldLock="1"/>
      </w:r>
      <w:r>
        <w:rPr>
          <w:rFonts w:cs="Calibri"/>
        </w:rPr>
        <w:instrText>ADDIN CSL_CITATION {"citationItems":[{"id":"ITEM-1","itemData":{"author":[{"dropping-particle":"","family":"Weiss","given":"Janet A","non-dropping-particle":"","parse-names":false,"suffix":""},{"dropping-particle":"","family":"Tschirhart","given":"Mary","non-dropping-particle":"","parse-names":false,"suffix":""}],"container-title":"Journal of Policy Analysis and Management","id":"ITEM-1","issue":"1","issued":{"date-parts":[["1994"]]},"page":"82-119","title":"Public Information Campaigns as Policy Instruments","type":"article-journal","volume":"13"},"uris":["http://www.mendeley.com/documents/?uuid=5566b246-3eba-49bf-918c-dcd9923b65a2"]},{"id":"ITEM-2","itemData":{"DOI":"10.1080/13876988.2019.1703554","ISSN":"15725448","abstract":"Applying the construal-level theory, this study compares two different recycling campaigns to analyze the effects of the interaction between social distance and message orientation on citizens’ (policy-takers) responses to public information campaign messages. The results of an experimental study show that messages focused on high-level (why-laden) features were more persuasive when the messages were framed in terms of socially distant entities (the planet/Earth), while messages focused on low-level (how-laden) features were more effective when asking participants to make judgments about their proximal entities (their country/local community). Policy implications for designing public information campaigns as a policy tool are discussed.","author":[{"dropping-particle":"","family":"Park","given":"Sun Young","non-dropping-particle":"","parse-names":false,"suffix":""},{"dropping-particle":"","family":"Kim","given":"Eunyi","non-dropping-particle":"","parse-names":false,"suffix":""},{"dropping-particle":"","family":"Moon","given":"M. Jae","non-dropping-particle":"","parse-names":false,"suffix":""}],"container-title":"Journal of Comparative Policy Analysis: Research and Practice","id":"ITEM-2","issue":"6","issued":{"date-parts":[["2020"]]},"page":"579-592","title":"Designing Public Information Campaigns as an Effective Policy Tool: Construal-Level Fit Effects and Evidence from an Experimental Study","type":"article-journal","volume":"22"},"uris":["http://www.mendeley.com/documents/?uuid=ce5dcf5e-5375-4474-a6bd-7d215028c496"]}],"mendeley":{"formattedCitation":"(Park, Kim, &amp; Moon, 2020; Weiss &amp; Tschirhart, 1994)","plainTextFormattedCitation":"(Park, Kim, &amp; Moon, 2020; Weiss &amp; Tschirhart, 1994)","previouslyFormattedCitation":"(Park, Kim, &amp; Moon, 2020; Weiss &amp; Tschirhart, 1994)"},"properties":{"noteIndex":0},"schema":"https://github.com/citation-style-language/schema/raw/master/csl-citation.json"}</w:instrText>
      </w:r>
      <w:r>
        <w:rPr>
          <w:rFonts w:cs="Calibri"/>
        </w:rPr>
        <w:fldChar w:fldCharType="separate"/>
      </w:r>
      <w:r>
        <w:rPr>
          <w:rFonts w:cs="Calibri"/>
          <w:noProof/>
        </w:rPr>
        <w:t>(Park, Kim, &amp; Moon, 2020; Weiss &amp; Tschirhart, 1994)</w:t>
      </w:r>
      <w:r>
        <w:rPr>
          <w:rFonts w:cs="Calibri"/>
        </w:rPr>
        <w:fldChar w:fldCharType="end"/>
      </w:r>
      <w:r>
        <w:rPr>
          <w:rFonts w:cs="Calibri"/>
        </w:rPr>
        <w:t xml:space="preserve">, and often is impacted by the method of communication that is used </w:t>
      </w:r>
      <w:r>
        <w:fldChar w:fldCharType="begin" w:fldLock="1"/>
      </w:r>
      <w:r w:rsidR="00974B75">
        <w:rPr>
          <w:rFonts w:cs="Calibri"/>
        </w:rPr>
        <w:instrText>ADDIN CSL_CITATION {"citationItems":[{"id":"ITEM-1","itemData":{"ISBN":"9781412987707","author":[{"dropping-particle":"","family":"Salmon","given":"Charles T.","non-dropping-particle":"","parse-names":false,"suffix":""},{"dropping-particle":"","family":"Murray-Johnson","given":"Lisa","non-dropping-particle":"","parse-names":false,"suffix":""}],"chapter-number":"7","container-title":"Public Communication Campaigns","edition":"Fourth","editor":[{"dropping-particle":"","family":"Rice","given":"Ronald E","non-dropping-particle":"","parse-names":false,"suffix":""},{"dropping-particle":"","family":"Atkin","given":"Charles K","non-dropping-particle":"","parse-names":false,"suffix":""}],"id":"ITEM-1","issued":{"date-parts":[["2013"]]},"page":"184 - 208","publisher":"SAGE","publisher-place":"Thousand Oaks","title":"Communication Campaign Effectiveness and Effects: Some Critical Distinctions","type":"chapter"},"uris":["http://www.mendeley.com/documents/?uuid=404fba21-913d-4d80-bea4-684fb90c3a69"]}],"mendeley":{"formattedCitation":"(Salmon &amp; Murray-Johnson, 2013)","plainTextFormattedCitation":"(Salmon &amp; Murray-Johnson, 2013)","previouslyFormattedCitation":"(Salmon &amp; Murray-Johnson, 2013)"},"properties":{"noteIndex":0},"schema":"https://github.com/citation-style-language/schema/raw/master/csl-citation.json"}</w:instrText>
      </w:r>
      <w:r>
        <w:rPr>
          <w:rFonts w:cs="Calibri"/>
        </w:rPr>
        <w:fldChar w:fldCharType="separate"/>
      </w:r>
      <w:r>
        <w:rPr>
          <w:rFonts w:cs="Calibri"/>
          <w:noProof/>
        </w:rPr>
        <w:t>(Salmon &amp; Murray-Johnson, 2013)</w:t>
      </w:r>
      <w:r>
        <w:rPr>
          <w:rFonts w:cs="Calibri"/>
        </w:rPr>
        <w:fldChar w:fldCharType="end"/>
      </w:r>
      <w:r>
        <w:rPr>
          <w:rFonts w:cs="Calibri"/>
        </w:rPr>
        <w:t xml:space="preserve">. PICs have tended to involve traditional media, such as radio, tv and billboards, however, there is now a growing popularity of using social media either in conjunction with the traditional media or as a separate approach, which can be viewed as developing a social </w:t>
      </w:r>
      <w:r>
        <w:rPr>
          <w:rFonts w:cs="Calibri"/>
        </w:rPr>
        <w:lastRenderedPageBreak/>
        <w:t xml:space="preserve">media logic </w:t>
      </w:r>
      <w:r>
        <w:fldChar w:fldCharType="begin" w:fldLock="1"/>
      </w:r>
      <w:r>
        <w:rPr>
          <w:rFonts w:cs="Calibri"/>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Pr>
          <w:rFonts w:cs="Calibri"/>
        </w:rPr>
        <w:fldChar w:fldCharType="separate"/>
      </w:r>
      <w:r>
        <w:rPr>
          <w:rFonts w:cs="Calibri"/>
          <w:noProof/>
        </w:rPr>
        <w:t>(van Dijck &amp; Poell, 2013)</w:t>
      </w:r>
      <w:r>
        <w:rPr>
          <w:rFonts w:cs="Calibri"/>
        </w:rPr>
        <w:fldChar w:fldCharType="end"/>
      </w:r>
      <w:r>
        <w:rPr>
          <w:rFonts w:cs="Calibri"/>
        </w:rPr>
        <w:t xml:space="preserve">. Often in order to gauge the campaign effectiveness and the results of online campaigns, organisations use metrics, such as social media likes, follows and shares, and compare these to their aims of the campaign </w:t>
      </w:r>
      <w:r>
        <w:fldChar w:fldCharType="begin" w:fldLock="1"/>
      </w:r>
      <w:r w:rsidR="00974B75">
        <w:rPr>
          <w:rFonts w:cs="Calibri"/>
        </w:rPr>
        <w:instrText>ADDIN CSL_CITATION {"citationItems":[{"id":"ITEM-1","itemData":{"ISBN":"9781412987707","author":[{"dropping-particle":"","family":"Salmon","given":"Charles T.","non-dropping-particle":"","parse-names":false,"suffix":""},{"dropping-particle":"","family":"Murray-Johnson","given":"Lisa","non-dropping-particle":"","parse-names":false,"suffix":""}],"chapter-number":"7","container-title":"Public Communication Campaigns","edition":"Fourth","editor":[{"dropping-particle":"","family":"Rice","given":"Ronald E","non-dropping-particle":"","parse-names":false,"suffix":""},{"dropping-particle":"","family":"Atkin","given":"Charles K","non-dropping-particle":"","parse-names":false,"suffix":""}],"id":"ITEM-1","issued":{"date-parts":[["2013"]]},"page":"184 - 208","publisher":"SAGE","publisher-place":"Thousand Oaks","title":"Communication Campaign Effectiveness and Effects: Some Critical Distinctions","type":"chapter"},"uris":["http://www.mendeley.com/documents/?uuid=404fba21-913d-4d80-bea4-684fb90c3a69"]}],"mendeley":{"formattedCitation":"(Salmon &amp; Murray-Johnson, 2013)","plainTextFormattedCitation":"(Salmon &amp; Murray-Johnson, 2013)","previouslyFormattedCitation":"(Salmon &amp; Murray-Johnson, 2013)"},"properties":{"noteIndex":0},"schema":"https://github.com/citation-style-language/schema/raw/master/csl-citation.json"}</w:instrText>
      </w:r>
      <w:r>
        <w:rPr>
          <w:rFonts w:cs="Calibri"/>
        </w:rPr>
        <w:fldChar w:fldCharType="separate"/>
      </w:r>
      <w:r>
        <w:rPr>
          <w:rFonts w:cs="Calibri"/>
          <w:noProof/>
        </w:rPr>
        <w:t>(Salmon &amp; Murray-Johnson, 2013)</w:t>
      </w:r>
      <w:r>
        <w:rPr>
          <w:rFonts w:cs="Calibri"/>
        </w:rPr>
        <w:fldChar w:fldCharType="end"/>
      </w:r>
      <w:r>
        <w:rPr>
          <w:rFonts w:cs="Calibri"/>
        </w:rPr>
        <w:t xml:space="preserve">; however, there is no way to ascertain if this online engagement has led to real behavioural change </w:t>
      </w:r>
      <w:r>
        <w:fldChar w:fldCharType="begin" w:fldLock="1"/>
      </w:r>
      <w:r>
        <w:rPr>
          <w:rFonts w:cs="Calibri"/>
        </w:rPr>
        <w:instrText>ADDIN CSL_CITATION {"citationItems":[{"id":"ITEM-1","itemData":{"DOI":"10.1080/10410236.2016.1242035","ISSN":"15327027","abstract":"The past decade has witnessed a rapid increase in the use of Social Networking Sites (SNSs) in health communication campaigns seeking to achieve an ambitious range of health-related impacts. This article provides a review of 40 studies and research protocols, with a focus on two key factors that differentiate SNSs from more traditional health communication approaches of the past. The first is the potential dualism between message sender and receiver, in which receivers become receiver-sources who forward and amplify the content and reach of health messages. The second is the potential dualism between message and message impact, in which the act of forwarding and modifying messages by receiver-sources itself becomes a measure of message impact. Each of these dualisms has implications for the design and evaluation of contemporary health communication campaigns. The review concludes with a series of observations and recommendations for future health communication research.","author":[{"dropping-particle":"","family":"Shi","given":"Jingyuan","non-dropping-particle":"","parse-names":false,"suffix":""},{"dropping-particle":"","family":"Poorisat","given":"Thanomwong","non-dropping-particle":"","parse-names":false,"suffix":""},{"dropping-particle":"","family":"Salmon","given":"Charles T.","non-dropping-particle":"","parse-names":false,"suffix":""}],"container-title":"Health Communication","id":"ITEM-1","issue":"1","issued":{"date-parts":[["2018"]]},"page":"49-56","publisher":"Routledge","title":"The Use of Social Networking Sites (SNSs) in Health Communication Campaigns: Review and Recommendations","type":"article-journal","volume":"33"},"uris":["http://www.mendeley.com/documents/?uuid=e3561fe4-28da-4d20-9a8e-4f55319bff65"]},{"id":"ITEM-2","itemData":{"DOI":"10.1371/journal.pone.0162765","ISSN":"19326203","abstract":"Facebook, the most widely used social media platform, has been adopted by public health organisations for health promotion and behaviour change campaigns and activities. However, limited information is available on the most effective and efficient use of Facebook for this purpose. This study sought to identify the features of Facebook posts that are associated with higher user engagement on Australian public health organisations' Facebook pages. We selected 20 eligible pages through a systematic search and coded 360-days of posts for each page. Posts were coded by: post type (e.g., photo, text only etc.), communication technique employed (e.g. testimonial, informative etc.) and use of marketing elements (e.g., branding, use of mascots). A series of negative binomial regressions were used to assess associations between post characteristics and user engagement as measured by the number of likes, shares and comments. Our results showed that video posts attracted the greatest amount of user engagement, although an analysis of a subset of the data suggested this may be a reflection of the Facebook algorithm, which governs what is and is not shown in user newsfeeds and appear to preference videos over other post types. Posts that featured a positive emotional appeal or provided factual information attracted higher levels of user engagement, while conventional marketing elements, such as sponsorships and the use of persons of authority, generally discouraged user engagement, with the exception of posts that included a celebrity or sportsperson. Our results give insight into post content that maximises user engagement and begins to fill the knowledge gap on effective use of Facebook by public health organisations.","author":[{"dropping-particle":"","family":"Kite","given":"James","non-dropping-particle":"","parse-names":false,"suffix":""},{"dropping-particle":"","family":"Foley","given":"Bridget C.","non-dropping-particle":"","parse-names":false,"suffix":""},{"dropping-particle":"","family":"Grunseit","given":"Anne C.","non-dropping-particle":"","parse-names":false,"suffix":""},{"dropping-particle":"","family":"Freeman","given":"Becky","non-dropping-particle":"","parse-names":false,"suffix":""}],"container-title":"PLoS ONE","id":"ITEM-2","issue":"9","issued":{"date-parts":[["2016"]]},"page":"1-16","title":"Please like me: Facebook and public health communication","type":"article-journal","volume":"11"},"uris":["http://www.mendeley.com/documents/?uuid=f74377df-9fe0-4362-a0e9-009cfbcd65bb"]},{"id":"ITEM-3","itemData":{"DOI":"10.2196/publichealth.6313","ISSN":"2369-2960","abstract":"Background: Social media public health campaigns have the advantage of tailored messaging at low cost and large reach, but little is known about what would determine their feasibility as tools for inducing attitude and behavior change. Objective: The aim of this study was to test the feasibility of designing, implementing, and evaluating a social media–enabled intervention for skin cancer prevention. Methods: A quasi-experimental feasibility study used social media (Twitter) to disseminate different message “frames” related to care in the sun and cancer prevention. Phase 1 utilized the Northern Ireland cancer charity’s Twitter platform (May 1 to July 14, 2015). Following a 2-week “washout” period, Phase 2 commenced (August 1 to September 30, 2015) using a bespoke Twitter platform. Phase 2 also included a Thunderclap, whereby users allowed their social media accounts to automatically post a bespoke message on their behalf. Message frames were categorized into 5 broad categories: humor, shock or disgust, informative, personal stories, and opportunistic. Seed users with a notable following were contacted to be “influencers” in retweeting campaign content. A pre- and postintervention Web-based survey recorded skin cancer prevention knowledge and attitudes in Northern Ireland (population 1.8 million). Results: There were a total of 417,678 tweet impressions, 11,213 engagements, and 1211 retweets related to our campaign. Shocking messages generated the greatest impressions (shock, n=2369; informative, n=2258; humorous, n=1458; story, n=1680), whereas humorous messages generated greater engagement (humorous, n=148; shock, n=147; story, n=117; informative, n=100) and greater engagement rates compared with story tweets. Informative messages, resulted in the greatest number of shares (informative, n=17; humorous, n=10; shock, n=9; story, n=7). The study findings included improved knowledge of skin cancer severity in a pre- and postintervention Web-based survey, with greater awareness that skin cancer is the most common form of cancer (preintervention: 28.4% [95/335] vs postintervention: 39.3% [168/428] answered “True”) and that melanoma is most serious (49.1% [165/336] vs 55.5% [238/429]). The results also show improved attitudes toward ultraviolet (UV) exposure and skin cancer with a reduction in agreement that respondents “like to tan” (60.5% [202/334] vs 55.6% [238/428]).","author":[{"dropping-particle":"","family":"Gough","given":"Aisling","non-dropping-particle":"","parse-names":false,"suffix":""},{"dropping-particle":"","family":"Hunter","given":"Ruth F.","non-dropping-particle":"","parse-names":false,"suffix":""},{"dropping-particle":"","family":"Ajao","given":"Oluwaseun","non-dropping-particle":"","parse-names":false,"suffix":""},{"dropping-particle":"","family":"Jurek","given":"Anna","non-dropping-particle":"","parse-names":false,"suffix":""},{"dropping-particle":"","family":"McKeown","given":"Gary","non-dropping-particle":"","parse-names":false,"suffix":""},{"dropping-particle":"","family":"Hong","given":"Jun","non-dropping-particle":"","parse-names":false,"suffix":""},{"dropping-particle":"","family":"Barrett","given":"Eimear","non-dropping-particle":"","parse-names":false,"suffix":""},{"dropping-particle":"","family":"Ferguson","given":"Marbeth","non-dropping-particle":"","parse-names":false,"suffix":""},{"dropping-particle":"","family":"McElwee","given":"Gerry","non-dropping-particle":"","parse-names":false,"suffix":""},{"dropping-particle":"","family":"McCarthy","given":"Miriam","non-dropping-particle":"","parse-names":false,"suffix":""},{"dropping-particle":"","family":"Kee","given":"Frank","non-dropping-particle":"","parse-names":false,"suffix":""}],"container-title":"JMIR Public Health Surveillance","id":"ITEM-3","issue":"1","issued":{"date-parts":[["2017"]]},"page":"1-17","title":"Tweet for behavior change: Using social media for the dissemination of public health messages","type":"article-journal","volume":"3"},"uris":["http://www.mendeley.com/documents/?uuid=69906f6f-a21b-4963-9734-a5b16e66f747"]}],"mendeley":{"formattedCitation":"(Shi, Poorisat, &amp; Salmon, 2018; Gough et al., 2017; Kite et al., 2016)","plainTextFormattedCitation":"(Shi, Poorisat, &amp; Salmon, 2018; Gough et al., 2017; Kite et al., 2016)","previouslyFormattedCitation":"(Shi, Poorisat, &amp; Salmon, 2018; Gough et al., 2017; Kite et al., 2016)"},"properties":{"noteIndex":0},"schema":"https://github.com/citation-style-language/schema/raw/master/csl-citation.json"}</w:instrText>
      </w:r>
      <w:r>
        <w:rPr>
          <w:rFonts w:cs="Calibri"/>
        </w:rPr>
        <w:fldChar w:fldCharType="separate"/>
      </w:r>
      <w:r>
        <w:rPr>
          <w:rFonts w:cs="Calibri"/>
          <w:noProof/>
        </w:rPr>
        <w:t>(Shi, Poorisat, &amp; Salmon, 2018; Gough et al., 2017; Kite et al., 2016)</w:t>
      </w:r>
      <w:r>
        <w:rPr>
          <w:rFonts w:cs="Calibri"/>
        </w:rPr>
        <w:fldChar w:fldCharType="end"/>
      </w:r>
      <w:r>
        <w:rPr>
          <w:rFonts w:cs="Calibri"/>
        </w:rPr>
        <w:t>.</w:t>
      </w:r>
      <w:bookmarkStart w:id="269" w:name="_Toc62660748"/>
      <w:r>
        <w:rPr>
          <w:rFonts w:cs="Calibri"/>
        </w:rPr>
        <w:t xml:space="preserve"> This project used an interpretivist philosophical approach</w:t>
      </w:r>
      <w:r w:rsidR="00F30217">
        <w:rPr>
          <w:rFonts w:cs="Calibri"/>
        </w:rPr>
        <w:t>.</w:t>
      </w:r>
      <w:r>
        <w:rPr>
          <w:rFonts w:cs="Calibri"/>
        </w:rPr>
        <w:t xml:space="preserve"> </w:t>
      </w:r>
      <w:r w:rsidR="00F30217">
        <w:rPr>
          <w:rFonts w:cs="Calibri"/>
        </w:rPr>
        <w:t xml:space="preserve">It </w:t>
      </w:r>
      <w:r>
        <w:rPr>
          <w:rFonts w:cs="Calibri"/>
        </w:rPr>
        <w:t>adopts</w:t>
      </w:r>
      <w:r w:rsidR="00F30217">
        <w:rPr>
          <w:rFonts w:cs="Calibri"/>
        </w:rPr>
        <w:t xml:space="preserve"> </w:t>
      </w:r>
      <w:r>
        <w:rPr>
          <w:rFonts w:cs="Calibri"/>
        </w:rPr>
        <w:t>the view that these quantitative methods do not include the level of detail required to fully understand the levels of engagement that the PIC is experiencing.</w:t>
      </w:r>
      <w:r w:rsidR="001E2DA7">
        <w:rPr>
          <w:rFonts w:cs="Calibri"/>
        </w:rPr>
        <w:t xml:space="preserve"> For this reason, this thesis conducted a critical analysis of SYFR</w:t>
      </w:r>
      <w:r w:rsidR="00F30217">
        <w:rPr>
          <w:rFonts w:cs="Calibri"/>
        </w:rPr>
        <w:t>’</w:t>
      </w:r>
      <w:r w:rsidR="001E2DA7">
        <w:rPr>
          <w:rFonts w:cs="Calibri"/>
        </w:rPr>
        <w:t>s social media data and examined some of the challenges faced within this data (see chapter 6).</w:t>
      </w:r>
      <w:r>
        <w:rPr>
          <w:rFonts w:cs="Calibri"/>
        </w:rPr>
        <w:t xml:space="preserve"> </w:t>
      </w:r>
    </w:p>
    <w:p w14:paraId="0E9B86FF" w14:textId="77777777" w:rsidR="00787F73" w:rsidRDefault="00787F73" w:rsidP="00866155">
      <w:pPr>
        <w:contextualSpacing/>
        <w:rPr>
          <w:rFonts w:cs="Calibri"/>
        </w:rPr>
      </w:pPr>
    </w:p>
    <w:p w14:paraId="7F96B003" w14:textId="77777777" w:rsidR="00787F73" w:rsidRDefault="00742FB7" w:rsidP="00866155">
      <w:pPr>
        <w:spacing w:after="160"/>
      </w:pPr>
      <w:r>
        <w:rPr>
          <w:rFonts w:cs="Calibri"/>
          <w:lang w:eastAsia="en-US"/>
        </w:rPr>
        <w:t xml:space="preserve">This section has provided an overview of PICs: what they are; their effectiveness in terms of temporality and scale; and how they can be measured. It has also continued the theme of requiring an interpretivist philosophical approach, namely focusing on the aims of the practitioners creating the PICs and the impact of campaigns on different groups of people. </w:t>
      </w:r>
    </w:p>
    <w:p w14:paraId="52EB58F4" w14:textId="77777777" w:rsidR="00787F73" w:rsidRDefault="00787F73" w:rsidP="00866155">
      <w:pPr>
        <w:spacing w:after="160"/>
        <w:rPr>
          <w:rFonts w:cs="Calibri"/>
          <w:lang w:eastAsia="en-US"/>
        </w:rPr>
      </w:pPr>
    </w:p>
    <w:p w14:paraId="29C057D7" w14:textId="77777777" w:rsidR="00787F73" w:rsidRDefault="00742FB7" w:rsidP="00866155">
      <w:pPr>
        <w:pStyle w:val="Heading3"/>
      </w:pPr>
      <w:bookmarkStart w:id="270" w:name="_Toc153554308"/>
      <w:bookmarkStart w:id="271" w:name="_Toc158823549"/>
      <w:bookmarkStart w:id="272" w:name="_Toc193367189"/>
      <w:r>
        <w:rPr>
          <w:rFonts w:ascii="Calibri" w:hAnsi="Calibri" w:cs="Calibri"/>
        </w:rPr>
        <w:t>2.2.4: Conclusion</w:t>
      </w:r>
      <w:bookmarkEnd w:id="270"/>
      <w:bookmarkEnd w:id="271"/>
      <w:bookmarkEnd w:id="272"/>
    </w:p>
    <w:p w14:paraId="52F6ACB8" w14:textId="2C8327E2" w:rsidR="00787F73" w:rsidRDefault="00742FB7" w:rsidP="00866155">
      <w:pPr>
        <w:spacing w:after="160"/>
      </w:pPr>
      <w:r>
        <w:rPr>
          <w:rFonts w:cs="Calibri"/>
          <w:lang w:eastAsia="en-US"/>
        </w:rPr>
        <w:t xml:space="preserve">Communication theory provides this thesis with a way to conceptualise and understand how communication flows, using a </w:t>
      </w:r>
      <w:r w:rsidR="00912954">
        <w:rPr>
          <w:rFonts w:cs="Calibri"/>
          <w:lang w:eastAsia="en-US"/>
        </w:rPr>
        <w:t>O</w:t>
      </w:r>
      <w:r w:rsidR="004F7B90">
        <w:rPr>
          <w:rFonts w:cs="Calibri"/>
          <w:lang w:eastAsia="en-US"/>
        </w:rPr>
        <w:t>ne</w:t>
      </w:r>
      <w:r>
        <w:rPr>
          <w:rFonts w:cs="Calibri"/>
          <w:lang w:eastAsia="en-US"/>
        </w:rPr>
        <w:t xml:space="preserve">-step </w:t>
      </w:r>
      <w:r w:rsidR="00912954">
        <w:rPr>
          <w:rFonts w:cs="Calibri"/>
          <w:lang w:eastAsia="en-US"/>
        </w:rPr>
        <w:t>M</w:t>
      </w:r>
      <w:r w:rsidR="004F7B90">
        <w:rPr>
          <w:rFonts w:cs="Calibri"/>
          <w:lang w:eastAsia="en-US"/>
        </w:rPr>
        <w:t>odel</w:t>
      </w:r>
      <w:r>
        <w:rPr>
          <w:rFonts w:cs="Calibri"/>
          <w:lang w:eastAsia="en-US"/>
        </w:rPr>
        <w:t xml:space="preserve">, </w:t>
      </w:r>
      <w:r w:rsidR="00912954">
        <w:rPr>
          <w:rFonts w:cs="Calibri"/>
          <w:lang w:eastAsia="en-US"/>
        </w:rPr>
        <w:t>T</w:t>
      </w:r>
      <w:r w:rsidR="004F7B90">
        <w:rPr>
          <w:rFonts w:cs="Calibri"/>
          <w:lang w:eastAsia="en-US"/>
        </w:rPr>
        <w:t>wo</w:t>
      </w:r>
      <w:r>
        <w:rPr>
          <w:rFonts w:cs="Calibri"/>
          <w:lang w:eastAsia="en-US"/>
        </w:rPr>
        <w:t xml:space="preserve">-step </w:t>
      </w:r>
      <w:r w:rsidR="00912954">
        <w:rPr>
          <w:rFonts w:cs="Calibri"/>
          <w:lang w:eastAsia="en-US"/>
        </w:rPr>
        <w:t>M</w:t>
      </w:r>
      <w:r w:rsidR="004F7B90">
        <w:rPr>
          <w:rFonts w:cs="Calibri"/>
          <w:lang w:eastAsia="en-US"/>
        </w:rPr>
        <w:t>odel</w:t>
      </w:r>
      <w:r>
        <w:rPr>
          <w:rFonts w:cs="Calibri"/>
          <w:lang w:eastAsia="en-US"/>
        </w:rPr>
        <w:t xml:space="preserve">, or a curated flows approach. This flow of communication can be viewed within the context of risk communication to explore how institutional drivers, such as DRR and state logics, can influence how organisations design and develop their campaigns. </w:t>
      </w:r>
      <w:r w:rsidR="001E2DA7">
        <w:rPr>
          <w:rFonts w:cs="Calibri"/>
          <w:lang w:eastAsia="en-US"/>
        </w:rPr>
        <w:t xml:space="preserve">This thesis used both </w:t>
      </w:r>
      <w:r>
        <w:rPr>
          <w:rFonts w:cs="Calibri"/>
          <w:lang w:eastAsia="en-US"/>
        </w:rPr>
        <w:t xml:space="preserve">institutional logics and communication theories to examine the process of communication, both from the initial conception of the PICs and risk </w:t>
      </w:r>
      <w:r w:rsidR="0026793E">
        <w:rPr>
          <w:rFonts w:cs="Calibri"/>
          <w:lang w:eastAsia="en-US"/>
        </w:rPr>
        <w:t>communication and</w:t>
      </w:r>
      <w:r>
        <w:rPr>
          <w:rFonts w:cs="Calibri"/>
          <w:lang w:eastAsia="en-US"/>
        </w:rPr>
        <w:t xml:space="preserve"> examining the institutional drivers influencing them</w:t>
      </w:r>
      <w:r w:rsidR="0026793E">
        <w:rPr>
          <w:rFonts w:cs="Calibri"/>
          <w:lang w:eastAsia="en-US"/>
        </w:rPr>
        <w:t xml:space="preserve">. Using both theories enabled this research </w:t>
      </w:r>
      <w:r>
        <w:rPr>
          <w:rFonts w:cs="Calibri"/>
          <w:lang w:eastAsia="en-US"/>
        </w:rPr>
        <w:t>to</w:t>
      </w:r>
      <w:r w:rsidR="0026793E">
        <w:rPr>
          <w:rFonts w:cs="Calibri"/>
          <w:lang w:eastAsia="en-US"/>
        </w:rPr>
        <w:t xml:space="preserve"> also</w:t>
      </w:r>
      <w:r>
        <w:rPr>
          <w:rFonts w:cs="Calibri"/>
          <w:lang w:eastAsia="en-US"/>
        </w:rPr>
        <w:t xml:space="preserve"> </w:t>
      </w:r>
      <w:r w:rsidR="0026793E">
        <w:rPr>
          <w:rFonts w:cs="Calibri"/>
          <w:lang w:eastAsia="en-US"/>
        </w:rPr>
        <w:t>understand</w:t>
      </w:r>
      <w:r>
        <w:rPr>
          <w:rFonts w:cs="Calibri"/>
          <w:lang w:eastAsia="en-US"/>
        </w:rPr>
        <w:t xml:space="preserve"> the process of how communities may be engaging with information and what they do with the information, using </w:t>
      </w:r>
      <w:r w:rsidR="0038275C">
        <w:rPr>
          <w:rFonts w:cs="Calibri"/>
        </w:rPr>
        <w:t>Protection Motivation Theory</w:t>
      </w:r>
      <w:r>
        <w:rPr>
          <w:rFonts w:cs="Calibri"/>
          <w:lang w:eastAsia="en-US"/>
        </w:rPr>
        <w:t xml:space="preserve">. Within these theory sections, a theme of </w:t>
      </w:r>
      <w:r w:rsidRPr="00A0151B">
        <w:rPr>
          <w:rFonts w:cs="Calibri"/>
          <w:i/>
          <w:iCs/>
          <w:lang w:eastAsia="en-US"/>
        </w:rPr>
        <w:t>context</w:t>
      </w:r>
      <w:r w:rsidR="00F30217">
        <w:rPr>
          <w:rFonts w:cs="Calibri"/>
          <w:lang w:eastAsia="en-US"/>
        </w:rPr>
        <w:t xml:space="preserve"> has </w:t>
      </w:r>
      <w:r w:rsidR="001B677D">
        <w:rPr>
          <w:rFonts w:cs="Calibri"/>
          <w:lang w:eastAsia="en-US"/>
        </w:rPr>
        <w:t>emerged</w:t>
      </w:r>
      <w:r>
        <w:rPr>
          <w:rFonts w:cs="Calibri"/>
          <w:lang w:eastAsia="en-US"/>
        </w:rPr>
        <w:t xml:space="preserve">, and the importance of understanding where and why the communication is taking place. The remaining sections of this chapter provide that context, focusing on disasters, community resilience, social media, and the FRS within the UK. </w:t>
      </w:r>
    </w:p>
    <w:p w14:paraId="0EEBC337" w14:textId="77777777" w:rsidR="00787F73" w:rsidRDefault="00742FB7" w:rsidP="00866155">
      <w:pPr>
        <w:pStyle w:val="Heading2"/>
      </w:pPr>
      <w:bookmarkStart w:id="273" w:name="_Hlk977156851"/>
      <w:bookmarkStart w:id="274" w:name="_Hlk948029371"/>
      <w:bookmarkStart w:id="275" w:name="_Toc22633714"/>
      <w:bookmarkStart w:id="276" w:name="_Toc93335990"/>
      <w:bookmarkStart w:id="277" w:name="_Toc98148326"/>
      <w:bookmarkStart w:id="278" w:name="_Toc153554309"/>
      <w:bookmarkStart w:id="279" w:name="_Toc140071572"/>
      <w:bookmarkStart w:id="280" w:name="_Toc158823550"/>
      <w:bookmarkStart w:id="281" w:name="_Toc193367190"/>
      <w:bookmarkEnd w:id="269"/>
      <w:bookmarkEnd w:id="273"/>
      <w:bookmarkEnd w:id="274"/>
      <w:r>
        <w:rPr>
          <w:rFonts w:ascii="Calibri" w:hAnsi="Calibri" w:cs="Calibri"/>
        </w:rPr>
        <w:lastRenderedPageBreak/>
        <w:t>2.3: Disasters</w:t>
      </w:r>
      <w:bookmarkEnd w:id="275"/>
      <w:bookmarkEnd w:id="276"/>
      <w:bookmarkEnd w:id="277"/>
      <w:bookmarkEnd w:id="278"/>
      <w:bookmarkEnd w:id="279"/>
      <w:bookmarkEnd w:id="280"/>
      <w:bookmarkEnd w:id="281"/>
    </w:p>
    <w:p w14:paraId="05ACBBB9" w14:textId="77777777" w:rsidR="00787F73" w:rsidRDefault="00742FB7" w:rsidP="00866155">
      <w:pPr>
        <w:pStyle w:val="Heading3"/>
      </w:pPr>
      <w:bookmarkStart w:id="282" w:name="_30j0zll"/>
      <w:bookmarkStart w:id="283" w:name="_Toc140071573"/>
      <w:bookmarkStart w:id="284" w:name="_Toc98148327"/>
      <w:bookmarkStart w:id="285" w:name="_Toc153554310"/>
      <w:bookmarkStart w:id="286" w:name="_Toc16856914"/>
      <w:bookmarkStart w:id="287" w:name="_Toc22633715"/>
      <w:bookmarkStart w:id="288" w:name="_Toc158823551"/>
      <w:bookmarkStart w:id="289" w:name="_Toc93335991"/>
      <w:bookmarkStart w:id="290" w:name="_Toc193367191"/>
      <w:bookmarkEnd w:id="282"/>
      <w:r>
        <w:rPr>
          <w:rFonts w:ascii="Calibri" w:hAnsi="Calibri" w:cs="Calibri"/>
        </w:rPr>
        <w:t>2.3.1: Introduction</w:t>
      </w:r>
      <w:bookmarkEnd w:id="283"/>
      <w:bookmarkEnd w:id="284"/>
      <w:bookmarkEnd w:id="285"/>
      <w:bookmarkEnd w:id="286"/>
      <w:bookmarkEnd w:id="287"/>
      <w:bookmarkEnd w:id="288"/>
      <w:bookmarkEnd w:id="289"/>
      <w:bookmarkEnd w:id="290"/>
    </w:p>
    <w:p w14:paraId="4EAA5829" w14:textId="3454A0F2" w:rsidR="00787F73" w:rsidRDefault="00742FB7" w:rsidP="00866155">
      <w:r>
        <w:rPr>
          <w:rFonts w:cs="Calibri"/>
        </w:rPr>
        <w:t>Within the disaster literature, there have been few studies using institutional logics as a lens. Skrimizea et al.’s work examined disaster governance during 3 different disasters (the New Zealand earthquakes in Christchurch (2010/2011</w:t>
      </w:r>
      <w:r w:rsidR="00F30217">
        <w:rPr>
          <w:rFonts w:cs="Calibri"/>
        </w:rPr>
        <w:t xml:space="preserve">); </w:t>
      </w:r>
      <w:r>
        <w:rPr>
          <w:rFonts w:cs="Calibri"/>
        </w:rPr>
        <w:t>gas extraction earthquakes in Groningen, the Netherlands (2012)</w:t>
      </w:r>
      <w:r w:rsidR="00F30217">
        <w:rPr>
          <w:rFonts w:cs="Calibri"/>
        </w:rPr>
        <w:t>;</w:t>
      </w:r>
      <w:r>
        <w:rPr>
          <w:rFonts w:cs="Calibri"/>
        </w:rPr>
        <w:t xml:space="preserve"> and the water crisis in Rhodes, Greece (2017)). They explored the need for flexible and adaptive governance and the relationship with institutional logics </w:t>
      </w:r>
      <w:r>
        <w:fldChar w:fldCharType="begin" w:fldLock="1"/>
      </w:r>
      <w:r>
        <w:rPr>
          <w:rFonts w:cs="Calibri"/>
        </w:rPr>
        <w:instrText>ADDIN CSL_CITATION {"citationItems":[{"id":"ITEM-1","itemData":{"DOI":"10.1016/j.apgeog.2021.102578","ISSN":"01436228","abstract":"In this paper, we engage with the ‘good disaster governance’ imperative and we attempt to empirically capture the (socio-)institutional dimensions and dynamics producing, reproducing or responding to social-ecological change and disasters. Viewing the disaster situation as a project of collective endeavour, we propose a conceptual framing of institutions building on disaster and development studies, governance of social-ecological systems, adaptive institutions research, and sociological institutionalist scholarship. We apply our analytical framework to Christchurch (New Zealand), Groningen (The Netherlands) and the island of Rhodes (Greece) through a relational comparative approach that builds on previous analyses and in-depth interviews with stakeholders. The three case-studies face diverse types of disasters that we conceptually approach around moments of ‘abrupt change’. For Christchurch, the abrupt change refers to the earthquake of February 2011. For Groningen, it is a ‘big’ earthquake with a magnitude of 3.6 in 2012, and for Rhodes the intense water shortages or ‘water crisis’ in July 2017. The results reveal commonalities among the case studies around the crucial role institutions play in creating or exacerbating disasters; technical and structural challenges hindering institutions' adaptiveness; and institutional logics with lock-in effects leading to maladaptation. Our framing and discussion elucidate under-examined and under-theorized aspects of the ‘adaptive governance’ and ‘adaptive institutions’ concepts, and provides the basis for a socio-ecologically and socio-institutionally nuanced analytical approach to the pragmatics of disaster governance.","author":[{"dropping-particle":"","family":"Skrimizea","given":"Eirini","non-dropping-particle":"","parse-names":false,"suffix":""},{"dropping-particle":"","family":"Bakema","given":"Melanie","non-dropping-particle":"","parse-names":false,"suffix":""},{"dropping-particle":"","family":"McCann","given":"Philip","non-dropping-particle":"","parse-names":false,"suffix":""},{"dropping-particle":"","family":"Parra","given":"Constanza","non-dropping-particle":"","parse-names":false,"suffix":""}],"container-title":"Applied Geography","id":"ITEM-1","issued":{"date-parts":[["2021"]]},"page":"1-10","title":"Disaster governance and institutional dynamics in times of social-ecological change: Insights from New Zealand, the Netherlands and Greece","type":"article-journal","volume":"136"},"uris":["http://www.mendeley.com/documents/?uuid=e3a97332-6d98-441f-a452-0ecdf9079fac"]}],"mendeley":{"formattedCitation":"(Skrimizea et al., 2021)","plainTextFormattedCitation":"(Skrimizea et al., 2021)","previouslyFormattedCitation":"(Skrimizea et al., 2021)"},"properties":{"noteIndex":0},"schema":"https://github.com/citation-style-language/schema/raw/master/csl-citation.json"}</w:instrText>
      </w:r>
      <w:r>
        <w:rPr>
          <w:rFonts w:cs="Calibri"/>
        </w:rPr>
        <w:fldChar w:fldCharType="separate"/>
      </w:r>
      <w:r>
        <w:rPr>
          <w:rFonts w:cs="Calibri"/>
          <w:noProof/>
        </w:rPr>
        <w:t>(Skrimizea et al., 2021)</w:t>
      </w:r>
      <w:r>
        <w:rPr>
          <w:rFonts w:cs="Calibri"/>
        </w:rPr>
        <w:fldChar w:fldCharType="end"/>
      </w:r>
      <w:r>
        <w:rPr>
          <w:rFonts w:cs="Calibri"/>
        </w:rPr>
        <w:t xml:space="preserve">, thus focusing on the response and recovery phases of the disaster. Koch et al. (2023) examined the functioning of health-care coalitions and their role within emergency preparedness and response within the US, </w:t>
      </w:r>
      <w:r w:rsidR="00C84401">
        <w:rPr>
          <w:rFonts w:cs="Calibri"/>
        </w:rPr>
        <w:t xml:space="preserve">while </w:t>
      </w:r>
      <w:r>
        <w:rPr>
          <w:rFonts w:cs="Calibri"/>
        </w:rPr>
        <w:t xml:space="preserve">Bosomworth (2018) examined transformative governance within fire management policy within Victoria, Australia. </w:t>
      </w:r>
      <w:r w:rsidR="00C84401">
        <w:rPr>
          <w:rFonts w:cs="Calibri"/>
        </w:rPr>
        <w:t>While</w:t>
      </w:r>
      <w:r>
        <w:rPr>
          <w:rFonts w:cs="Calibri"/>
        </w:rPr>
        <w:t xml:space="preserve"> these three papers examined disasters with institutional logics, their focus is either on the policy level, or within a different sector to this research, or focusing on the post disaster phases. Thus, this thesis is a contribution to the literature as it examines the impact of institutional logics of the everyday operations of SYFR. </w:t>
      </w:r>
    </w:p>
    <w:p w14:paraId="78050052" w14:textId="77777777" w:rsidR="00787F73" w:rsidRDefault="00787F73" w:rsidP="00866155">
      <w:pPr>
        <w:rPr>
          <w:rFonts w:cs="Calibri"/>
        </w:rPr>
      </w:pPr>
    </w:p>
    <w:p w14:paraId="72EA4B6A" w14:textId="2DAF31C2" w:rsidR="00787F73" w:rsidRDefault="00742FB7" w:rsidP="00866155">
      <w:r>
        <w:rPr>
          <w:rFonts w:cs="Calibri"/>
        </w:rPr>
        <w:t xml:space="preserve">This section provides the wider contextual grounding for the project, examining what are disasters, and how they are defined and conceptualised. This sits within the institutional framing of this project, with disasters and the management of disasters, requiring organisations and individuals to adopt certain institutional logics. This section explores some of the characteristics of disasters, including vulnerability and temporality, and their link to institutional logics. </w:t>
      </w:r>
    </w:p>
    <w:p w14:paraId="215C04A4" w14:textId="77777777" w:rsidR="00787F73" w:rsidRDefault="00787F73" w:rsidP="00866155">
      <w:pPr>
        <w:rPr>
          <w:rFonts w:cs="Calibri"/>
        </w:rPr>
      </w:pPr>
    </w:p>
    <w:p w14:paraId="622AC70A" w14:textId="77777777" w:rsidR="00787F73" w:rsidRDefault="00742FB7" w:rsidP="00866155">
      <w:pPr>
        <w:pStyle w:val="Heading3"/>
      </w:pPr>
      <w:bookmarkStart w:id="291" w:name="_1fob9te"/>
      <w:bookmarkStart w:id="292" w:name="_Toc153554311"/>
      <w:bookmarkStart w:id="293" w:name="_Toc140071574"/>
      <w:bookmarkStart w:id="294" w:name="_Toc98148328"/>
      <w:bookmarkStart w:id="295" w:name="_Toc22633716"/>
      <w:bookmarkStart w:id="296" w:name="_Toc158823552"/>
      <w:bookmarkStart w:id="297" w:name="_Toc16856915"/>
      <w:bookmarkStart w:id="298" w:name="_Toc93335992"/>
      <w:bookmarkStart w:id="299" w:name="_Toc193367192"/>
      <w:bookmarkEnd w:id="291"/>
      <w:r>
        <w:rPr>
          <w:rFonts w:ascii="Calibri" w:hAnsi="Calibri" w:cs="Calibri"/>
        </w:rPr>
        <w:t>2.3.2: What is a disaster?</w:t>
      </w:r>
      <w:bookmarkEnd w:id="292"/>
      <w:bookmarkEnd w:id="293"/>
      <w:bookmarkEnd w:id="294"/>
      <w:bookmarkEnd w:id="295"/>
      <w:bookmarkEnd w:id="296"/>
      <w:bookmarkEnd w:id="297"/>
      <w:bookmarkEnd w:id="298"/>
      <w:bookmarkEnd w:id="299"/>
    </w:p>
    <w:p w14:paraId="1E22C511" w14:textId="42985B23" w:rsidR="00787F73" w:rsidRPr="00E97EA9" w:rsidRDefault="00742FB7" w:rsidP="00866155">
      <w:bookmarkStart w:id="300" w:name="_3znysh7"/>
      <w:bookmarkStart w:id="301" w:name="_Toc16856916"/>
      <w:bookmarkEnd w:id="300"/>
      <w:bookmarkEnd w:id="301"/>
      <w:r w:rsidRPr="00E97EA9">
        <w:rPr>
          <w:rFonts w:cs="Calibri"/>
        </w:rPr>
        <w:t>There are three different traditions in defining disasters: classical</w:t>
      </w:r>
      <w:r w:rsidR="00F30217">
        <w:rPr>
          <w:rFonts w:cs="Calibri"/>
        </w:rPr>
        <w:t>;</w:t>
      </w:r>
      <w:r w:rsidR="00F30217" w:rsidRPr="00E97EA9">
        <w:rPr>
          <w:rFonts w:cs="Calibri"/>
        </w:rPr>
        <w:t xml:space="preserve"> </w:t>
      </w:r>
      <w:r w:rsidRPr="00E97EA9">
        <w:rPr>
          <w:rFonts w:cs="Calibri"/>
        </w:rPr>
        <w:t>hazard-disaster</w:t>
      </w:r>
      <w:r w:rsidR="00F30217">
        <w:rPr>
          <w:rFonts w:cs="Calibri"/>
        </w:rPr>
        <w:t>;</w:t>
      </w:r>
      <w:r w:rsidR="00F30217" w:rsidRPr="00E97EA9">
        <w:rPr>
          <w:rFonts w:cs="Calibri"/>
        </w:rPr>
        <w:t xml:space="preserve"> </w:t>
      </w:r>
      <w:r w:rsidRPr="00E97EA9">
        <w:rPr>
          <w:rFonts w:cs="Calibri"/>
        </w:rPr>
        <w:t xml:space="preserve">and social focused </w:t>
      </w:r>
      <w:r w:rsidRPr="00E97EA9">
        <w:fldChar w:fldCharType="begin" w:fldLock="1"/>
      </w:r>
      <w:r w:rsidRPr="00E97EA9">
        <w:rPr>
          <w:rFonts w:cs="Calibri"/>
        </w:rPr>
        <w:instrText>ADDIN CSL_CITATION {"citationItems":[{"id":"ITEM-1","itemData":{"author":[{"dropping-particle":"","family":"Perry","given":"Ronald W","non-dropping-particle":"","parse-names":false,"suffix":""}],"chapter-number":"1","container-title":"Handbook of Disaster Research","editor":[{"dropping-particle":"","family":"Rodrıguez","given":"Havidan","non-dropping-particle":"","parse-names":false,"suffix":""},{"dropping-particle":"","family":"Quarantelli","given":"Enrico L.","non-dropping-particle":"","parse-names":false,"suffix":""},{"dropping-particle":"","family":"Dynes","given":"Russell","non-dropping-particle":"","parse-names":false,"suffix":""}],"id":"ITEM-1","issued":{"date-parts":[["2007"]]},"publisher":"Springer","publisher-place":"New York","title":"What is a Disaster?","type":"chapter"},"uris":["http://www.mendeley.com/documents/?uuid=93b4a86d-999a-4f94-968c-192ad3a46ce5"]}],"mendeley":{"formattedCitation":"(Perry, 2007)","plainTextFormattedCitation":"(Perry, 2007)","previouslyFormattedCitation":"(Perry, 2007)"},"properties":{"noteIndex":0},"schema":"https://github.com/citation-style-language/schema/raw/master/csl-citation.json"}</w:instrText>
      </w:r>
      <w:r w:rsidRPr="00E97EA9">
        <w:rPr>
          <w:rFonts w:cs="Calibri"/>
        </w:rPr>
        <w:fldChar w:fldCharType="separate"/>
      </w:r>
      <w:r w:rsidRPr="00E97EA9">
        <w:rPr>
          <w:rFonts w:cs="Calibri"/>
          <w:noProof/>
        </w:rPr>
        <w:t>(Perry, 2007)</w:t>
      </w:r>
      <w:r w:rsidRPr="00E97EA9">
        <w:rPr>
          <w:rFonts w:cs="Calibri"/>
        </w:rPr>
        <w:fldChar w:fldCharType="end"/>
      </w:r>
      <w:r w:rsidRPr="00E97EA9">
        <w:rPr>
          <w:rFonts w:cs="Calibri"/>
        </w:rPr>
        <w:t>. Each tradition focuses on slightly different aspects of the disaster</w:t>
      </w:r>
      <w:r w:rsidR="00F30217">
        <w:rPr>
          <w:rFonts w:cs="Calibri"/>
        </w:rPr>
        <w:t>;</w:t>
      </w:r>
      <w:r w:rsidRPr="00E97EA9">
        <w:rPr>
          <w:rFonts w:cs="Calibri"/>
        </w:rPr>
        <w:t xml:space="preserve"> either the failure of the social system and the impact on social order the relationship between a hazard and a vulnerable population, or the disaster in terms of social relationships and disruption to society </w:t>
      </w:r>
      <w:r w:rsidRPr="00E97EA9">
        <w:fldChar w:fldCharType="begin" w:fldLock="1"/>
      </w:r>
      <w:r w:rsidRPr="00E97EA9">
        <w:rPr>
          <w:rFonts w:cs="Calibri"/>
        </w:rPr>
        <w:instrText>ADDIN CSL_CITATION {"citationItems":[{"id":"ITEM-1","itemData":{"author":[{"dropping-particle":"","family":"Perry","given":"Ronald W","non-dropping-particle":"","parse-names":false,"suffix":""}],"chapter-number":"1","container-title":"Handbook of Disaster Research","editor":[{"dropping-particle":"","family":"Rodrıguez","given":"Havidan","non-dropping-particle":"","parse-names":false,"suffix":""},{"dropping-particle":"","family":"Quarantelli","given":"Enrico L.","non-dropping-particle":"","parse-names":false,"suffix":""},{"dropping-particle":"","family":"Dynes","given":"Russell","non-dropping-particle":"","parse-names":false,"suffix":""}],"id":"ITEM-1","issued":{"date-parts":[["2007"]]},"publisher":"Springer","publisher-place":"New York","title":"What is a Disaster?","type":"chapter"},"uris":["http://www.mendeley.com/documents/?uuid=93b4a86d-999a-4f94-968c-192ad3a46ce5"]},{"id":"ITEM-2","itemData":{"DOI":"10.1146/annurev.so.03.080177.000323","ISSN":"0360-0572","abstract":"Summarizes research and trends in the recent (last 10–25 yrs) literature dealing with disaster as a social phenomenon. Codification efforts in the field are reviewed, and trends related to social organizational vs social psychological variables, groups vs individuals as basic research units, the increasing use of systems concepts, combinations of collective behavior and complex-organization approaches, increasing emphasis on the pre-impact period as a source of postimpact changes, a developing focus on functional and dysfunctional long-term consequences, disaster research and public policy responsibilities, and the institutionalization of disaster research in academic settings are described. (4 p ref) (PsycINFO Database Record (c) 2010 APA, all rights reserved)","author":[{"dropping-particle":"","family":"Quarantelli","given":"E L","non-dropping-particle":"","parse-names":false,"suffix":""},{"dropping-particle":"","family":"Dynes","given":"R R","non-dropping-particle":"","parse-names":false,"suffix":""}],"container-title":"Annual Review of Sociology","id":"ITEM-2","issue":"1","issued":{"date-parts":[["1977"]]},"page":"23-49","title":"Response to Social Crisis and Disaster","type":"article-journal","volume":"3"},"uris":["http://www.mendeley.com/documents/?uuid=879020bf-7774-41ad-84d4-e4c26e52f9ad"]}],"mendeley":{"formattedCitation":"(Perry, 2007; Quarantelli &amp; Dynes, 1977)","plainTextFormattedCitation":"(Perry, 2007; Quarantelli &amp; Dynes, 1977)","previouslyFormattedCitation":"(Perry, 2007; Quarantelli &amp; Dynes, 1977)"},"properties":{"noteIndex":0},"schema":"https://github.com/citation-style-language/schema/raw/master/csl-citation.json"}</w:instrText>
      </w:r>
      <w:r w:rsidRPr="00E97EA9">
        <w:rPr>
          <w:rFonts w:cs="Calibri"/>
        </w:rPr>
        <w:fldChar w:fldCharType="separate"/>
      </w:r>
      <w:r w:rsidRPr="00E97EA9">
        <w:rPr>
          <w:rFonts w:cs="Calibri"/>
          <w:noProof/>
        </w:rPr>
        <w:t>(Perry, 2007; Quarantelli &amp; Dynes, 1977)</w:t>
      </w:r>
      <w:r w:rsidRPr="00E97EA9">
        <w:rPr>
          <w:rFonts w:cs="Calibri"/>
        </w:rPr>
        <w:fldChar w:fldCharType="end"/>
      </w:r>
      <w:r w:rsidRPr="00E97EA9">
        <w:rPr>
          <w:rFonts w:cs="Calibri"/>
        </w:rPr>
        <w:t xml:space="preserve">. Within these conceptualisations, there is a consensus that disasters are events which have exceeded the capacity of the population who are experiencing it, placing disasters in a </w:t>
      </w:r>
      <w:r w:rsidRPr="00E97EA9">
        <w:rPr>
          <w:rFonts w:cs="Calibri"/>
        </w:rPr>
        <w:lastRenderedPageBreak/>
        <w:t xml:space="preserve">conceptual space beyond emergencies. </w:t>
      </w:r>
      <w:r w:rsidR="00BA0CD4" w:rsidRPr="00E97EA9">
        <w:rPr>
          <w:rFonts w:cs="Calibri"/>
        </w:rPr>
        <w:t xml:space="preserve">An emergency is an event which challenges the system but is still within the </w:t>
      </w:r>
      <w:r w:rsidRPr="00E97EA9">
        <w:rPr>
          <w:rFonts w:cs="Calibri"/>
        </w:rPr>
        <w:t xml:space="preserve">capacity of the community </w:t>
      </w:r>
      <w:r w:rsidRPr="00E97EA9">
        <w:fldChar w:fldCharType="begin" w:fldLock="1"/>
      </w:r>
      <w:r w:rsidR="00974B75" w:rsidRPr="00E97EA9">
        <w:rPr>
          <w:rFonts w:cs="Calibri"/>
        </w:rPr>
        <w:instrText>ADDIN CSL_CITATION {"citationItems":[{"id":"ITEM-1","itemData":{"DOI":"10.3763/ehaz.1999.0105","ISSN":"18780059","abstract":"A disaster is widely perceived as an event that is beyond human control; the capricious hand of fate moves against unsuspecting communities creating massive destruction and prompting victims to call for divine support as well as earthly assistance. Surely these people would have acted differently had the risks been known and now they must depend on others for humanitarian aid with which to rebuild their shattered communities.","author":[{"dropping-particle":"","family":"Comfort","given":"L.","non-dropping-particle":"","parse-names":false,"suffix":""},{"dropping-particle":"","family":"Wisner","given":"B.","non-dropping-particle":"","parse-names":false,"suffix":""},{"dropping-particle":"","family":"Cutter","given":"S.","non-dropping-particle":"","parse-names":false,"suffix":""},{"dropping-particle":"","family":"Pulwarty","given":"R.","non-dropping-particle":"","parse-names":false,"suffix":""},{"dropping-particle":"","family":"Hewitt","given":"K.","non-dropping-particle":"","parse-names":false,"suffix":""},{"dropping-particle":"","family":"Oliver-Smith","given":"A.","non-dropping-particle":"","parse-names":false,"suffix":""},{"dropping-particle":"","family":"Wiener","given":"J.","non-dropping-particle":"","parse-names":false,"suffix":""},{"dropping-particle":"","family":"Fordham","given":"M.","non-dropping-particle":"","parse-names":false,"suffix":""},{"dropping-particle":"","family":"Peacock","given":"W.","non-dropping-particle":"","parse-names":false,"suffix":""},{"dropping-particle":"","family":"Krimgold","given":"F.","non-dropping-particle":"","parse-names":false,"suffix":""}],"container-title":"Global Environmental Change Part B: Environmental Hazards","id":"ITEM-1","issue":"1","issued":{"date-parts":[["1999"]]},"page":"39-44","title":"Reframing disaster policy: The global evolution of vulnerable communities","type":"article-journal","volume":"1"},"uris":["http://www.mendeley.com/documents/?uuid=ef487eba-33ca-47fb-8984-5d690fecc16e"]}],"mendeley":{"formattedCitation":"(Comfort et al., 1999)","plainTextFormattedCitation":"(Comfort et al., 1999)","previouslyFormattedCitation":"(Comfort et al., 1999)"},"properties":{"noteIndex":0},"schema":"https://github.com/citation-style-language/schema/raw/master/csl-citation.json"}</w:instrText>
      </w:r>
      <w:r w:rsidRPr="00E97EA9">
        <w:rPr>
          <w:rFonts w:cs="Calibri"/>
        </w:rPr>
        <w:fldChar w:fldCharType="separate"/>
      </w:r>
      <w:r w:rsidRPr="00E97EA9">
        <w:rPr>
          <w:rFonts w:cs="Calibri"/>
          <w:noProof/>
        </w:rPr>
        <w:t>(Comfort et al., 1999)</w:t>
      </w:r>
      <w:r w:rsidRPr="00E97EA9">
        <w:rPr>
          <w:rFonts w:cs="Calibri"/>
        </w:rPr>
        <w:fldChar w:fldCharType="end"/>
      </w:r>
      <w:r w:rsidRPr="00E97EA9">
        <w:rPr>
          <w:rFonts w:cs="Calibri"/>
        </w:rPr>
        <w:t>.</w:t>
      </w:r>
    </w:p>
    <w:p w14:paraId="36EEEF5F" w14:textId="77777777" w:rsidR="00787F73" w:rsidRPr="00E97EA9" w:rsidRDefault="00787F73" w:rsidP="00866155">
      <w:pPr>
        <w:rPr>
          <w:rFonts w:cs="Calibri"/>
        </w:rPr>
      </w:pPr>
    </w:p>
    <w:p w14:paraId="0761F352" w14:textId="4C01AE03" w:rsidR="00787F73" w:rsidRDefault="00742FB7" w:rsidP="00866155">
      <w:pPr>
        <w:rPr>
          <w:rFonts w:cs="Calibri"/>
        </w:rPr>
      </w:pPr>
      <w:r w:rsidRPr="00E97EA9">
        <w:rPr>
          <w:rFonts w:cs="Calibri"/>
        </w:rPr>
        <w:t xml:space="preserve">The different traditions of conceptualising disasters have led to an ambiguity in the definition of the term </w:t>
      </w:r>
      <w:r w:rsidRPr="00E97EA9">
        <w:rPr>
          <w:rFonts w:cs="Calibri"/>
          <w:i/>
          <w:iCs/>
        </w:rPr>
        <w:t>disaster</w:t>
      </w:r>
      <w:r w:rsidRPr="00E97EA9">
        <w:rPr>
          <w:rFonts w:cs="Calibri"/>
        </w:rPr>
        <w:t>, with a lack of one universally accepted definition</w:t>
      </w:r>
      <w:r w:rsidR="00F30217">
        <w:rPr>
          <w:rFonts w:cs="Calibri"/>
        </w:rPr>
        <w:t>.</w:t>
      </w:r>
      <w:r w:rsidRPr="00E97EA9">
        <w:rPr>
          <w:rFonts w:cs="Calibri"/>
        </w:rPr>
        <w:t xml:space="preserve"> </w:t>
      </w:r>
      <w:r w:rsidR="00F30217">
        <w:rPr>
          <w:rFonts w:cs="Calibri"/>
        </w:rPr>
        <w:t>H</w:t>
      </w:r>
      <w:r w:rsidRPr="00E97EA9">
        <w:rPr>
          <w:rFonts w:cs="Calibri"/>
        </w:rPr>
        <w:t>owever, the United Nations International Strategy for Disaster Reduction (UNISDR) has created a broader definition, which has been widely adopted</w:t>
      </w:r>
      <w:r w:rsidR="00B50327">
        <w:rPr>
          <w:rFonts w:cs="Calibri"/>
        </w:rPr>
        <w:t xml:space="preserve"> and will be used within this thesis</w:t>
      </w:r>
      <w:r w:rsidRPr="00E97EA9">
        <w:rPr>
          <w:rFonts w:cs="Calibri"/>
        </w:rPr>
        <w:t>.</w:t>
      </w:r>
    </w:p>
    <w:p w14:paraId="53C0422A" w14:textId="77777777" w:rsidR="00DA57F7" w:rsidRPr="00E97EA9" w:rsidRDefault="00DA57F7" w:rsidP="00866155"/>
    <w:p w14:paraId="11B73A00" w14:textId="77777777" w:rsidR="00787F73" w:rsidRPr="00E97EA9" w:rsidRDefault="00742FB7" w:rsidP="00866155">
      <w:pPr>
        <w:pStyle w:val="NoSpacing"/>
        <w:spacing w:line="360" w:lineRule="auto"/>
        <w:rPr>
          <w:sz w:val="24"/>
          <w:szCs w:val="24"/>
        </w:rPr>
      </w:pPr>
      <w:r w:rsidRPr="00E97EA9">
        <w:rPr>
          <w:rFonts w:cs="Calibri"/>
          <w:sz w:val="24"/>
          <w:szCs w:val="24"/>
        </w:rPr>
        <w:t>The UNISDR defines a disaster as “</w:t>
      </w:r>
      <w:r w:rsidRPr="00E97EA9">
        <w:rPr>
          <w:rStyle w:val="QuoteChar"/>
          <w:rFonts w:cs="Calibri"/>
          <w:szCs w:val="24"/>
        </w:rPr>
        <w:t>a serious disruption of the functioning of a community or a society at any scale due to hazardous events interacting with conditions of exposure, vulnerability and capacity, leading to one or more of the following: human, material, economic and environmental losses and impacts</w:t>
      </w:r>
      <w:r w:rsidRPr="00E97EA9">
        <w:rPr>
          <w:rFonts w:cs="Calibri"/>
          <w:sz w:val="24"/>
          <w:szCs w:val="24"/>
        </w:rPr>
        <w:t xml:space="preserve">” </w:t>
      </w:r>
      <w:r w:rsidRPr="00E97EA9">
        <w:rPr>
          <w:sz w:val="24"/>
          <w:szCs w:val="24"/>
        </w:rPr>
        <w:fldChar w:fldCharType="begin" w:fldLock="1"/>
      </w:r>
      <w:r w:rsidR="00974B75" w:rsidRPr="00E97EA9">
        <w:rPr>
          <w:rFonts w:cs="Calibri"/>
          <w:sz w:val="24"/>
          <w:szCs w:val="24"/>
        </w:rPr>
        <w:instrText>ADDIN CSL_CITATION {"citationItems":[{"id":"ITEM-1","itemData":{"DOI":"https://www.preventionweb.net/files/50683_oiewgreportenglish.pdf","abstract":"This report presents recommended indicators to monitor the global targets of the Sendai Framework, the follow-up to and operationalization of the indicators and recommended terminology relating to disaster risk reduction. The open-ended intergovernmental expert working group on indicators and terminology relating to disaster risk reduction was established by the General Assembly in its resolution 69/284 for the development of a set of possible indicators to measure global progress in the implementation of the Sendai Framework for Disaster Risk Reduction 2015-2030, coherent with the work of the Inter-Agency and Expert Group on Sustainable Development Goal Indicators, and the update of the publication entitled “2009 UNISDR Terminology on Disaster Risk Reduction”. The report was adopted by the United Nations General Assembly on February 2nd, 2017. Report of the Chair of the Open-ended Intergovernmental Expert Working Group on Indicators and Terminology relating to Disaster Risk Reduction on Results of informal consultations from February to November 2016 on indicators and terminology relating to Disaster Risk Reduction.","author":[{"dropping-particle":"","family":"United Nations General Assembly","given":"","non-dropping-particle":"","parse-names":false,"suffix":""}],"container-title":"Sustainable development: disaster risk reduction","id":"ITEM-1","issue":"19","issued":{"date-parts":[["2016"]]},"number-of-pages":"1-41","title":"Report of the open-ended intergovernmental expert working group on indicators and terminology relating to disaster risk reduction","type":"report","volume":"71"},"locator":"13","uris":["http://www.mendeley.com/documents/?uuid=2002d3f1-f3ec-40e5-a5c4-6baa42566be9"]}],"mendeley":{"formattedCitation":"(United Nations General Assembly, 2016, p. 13)","plainTextFormattedCitation":"(United Nations General Assembly, 2016, p. 13)","previouslyFormattedCitation":"(United Nations General Assembly, 2016, p. 13)"},"properties":{"noteIndex":0},"schema":"https://github.com/citation-style-language/schema/raw/master/csl-citation.json"}</w:instrText>
      </w:r>
      <w:r w:rsidRPr="00E97EA9">
        <w:rPr>
          <w:rFonts w:cs="Calibri"/>
          <w:sz w:val="24"/>
          <w:szCs w:val="24"/>
        </w:rPr>
        <w:fldChar w:fldCharType="separate"/>
      </w:r>
      <w:r w:rsidRPr="00E97EA9">
        <w:rPr>
          <w:rFonts w:cs="Calibri"/>
          <w:noProof/>
          <w:sz w:val="24"/>
          <w:szCs w:val="24"/>
        </w:rPr>
        <w:t>(United Nations General Assembly, 2016, p. 13)</w:t>
      </w:r>
      <w:r w:rsidRPr="00E97EA9">
        <w:rPr>
          <w:rFonts w:cs="Calibri"/>
          <w:sz w:val="24"/>
          <w:szCs w:val="24"/>
        </w:rPr>
        <w:fldChar w:fldCharType="end"/>
      </w:r>
      <w:r w:rsidRPr="00E97EA9">
        <w:rPr>
          <w:rFonts w:cs="Calibri"/>
          <w:sz w:val="24"/>
          <w:szCs w:val="24"/>
        </w:rPr>
        <w:t>. The creation of this definition can be viewed as the creation of a disaster logic, helping to frame what is viewed within the term disaster, and therefore the potential remit of organisations and communities working and experiencing these events. This definition combines the three main conceptualisation traditions as discussed by Perry (2007) and highlights some key themes within the disaster management arena, such as vulnerability and temporality.</w:t>
      </w:r>
    </w:p>
    <w:p w14:paraId="3D38C554" w14:textId="77777777" w:rsidR="00787F73" w:rsidRDefault="00787F73" w:rsidP="00866155">
      <w:pPr>
        <w:pStyle w:val="NoSpacing"/>
        <w:spacing w:line="360" w:lineRule="auto"/>
        <w:rPr>
          <w:rFonts w:cs="Calibri"/>
          <w:sz w:val="24"/>
          <w:szCs w:val="24"/>
        </w:rPr>
      </w:pPr>
    </w:p>
    <w:p w14:paraId="45F6EB40" w14:textId="77777777" w:rsidR="00787F73" w:rsidRDefault="00742FB7" w:rsidP="00866155">
      <w:pPr>
        <w:pStyle w:val="Heading3"/>
      </w:pPr>
      <w:bookmarkStart w:id="302" w:name="_Toc168569161"/>
      <w:bookmarkStart w:id="303" w:name="_Toc22633719"/>
      <w:bookmarkStart w:id="304" w:name="_Toc140071577"/>
      <w:bookmarkStart w:id="305" w:name="_Toc98148331"/>
      <w:bookmarkStart w:id="306" w:name="_Toc16856918"/>
      <w:bookmarkStart w:id="307" w:name="_Toc153554312"/>
      <w:bookmarkStart w:id="308" w:name="_Toc158823553"/>
      <w:bookmarkStart w:id="309" w:name="_Toc93335995"/>
      <w:bookmarkStart w:id="310" w:name="_Toc193367193"/>
      <w:bookmarkEnd w:id="302"/>
      <w:r>
        <w:rPr>
          <w:rFonts w:ascii="Calibri" w:hAnsi="Calibri" w:cs="Calibri"/>
        </w:rPr>
        <w:t>2.3.3: Temporality</w:t>
      </w:r>
      <w:bookmarkEnd w:id="303"/>
      <w:bookmarkEnd w:id="304"/>
      <w:bookmarkEnd w:id="305"/>
      <w:bookmarkEnd w:id="306"/>
      <w:bookmarkEnd w:id="307"/>
      <w:bookmarkEnd w:id="308"/>
      <w:bookmarkEnd w:id="309"/>
      <w:bookmarkEnd w:id="310"/>
    </w:p>
    <w:p w14:paraId="2CABD7E2" w14:textId="77777777" w:rsidR="00787F73" w:rsidRDefault="00742FB7" w:rsidP="00866155">
      <w:r>
        <w:rPr>
          <w:rFonts w:cs="Calibri"/>
        </w:rPr>
        <w:t xml:space="preserve">Within the disaster discourse, temporality is an important factor that is often examined within the context of the length of the disaster, the creation of temporary communities, and the wider transient nature of the </w:t>
      </w:r>
      <w:r>
        <w:rPr>
          <w:rFonts w:cs="Calibri"/>
          <w:i/>
        </w:rPr>
        <w:t>community</w:t>
      </w:r>
      <w:r>
        <w:rPr>
          <w:rFonts w:cs="Calibri"/>
          <w:iCs/>
        </w:rPr>
        <w:t>.</w:t>
      </w:r>
      <w:r>
        <w:rPr>
          <w:rFonts w:cs="Calibri"/>
        </w:rPr>
        <w:t xml:space="preserve"> Temporality has been conceptualised within disaster management through the Disaster Cycle Framework.</w:t>
      </w:r>
    </w:p>
    <w:p w14:paraId="5785C694" w14:textId="77777777" w:rsidR="00787F73" w:rsidRDefault="00787F73" w:rsidP="00866155">
      <w:pPr>
        <w:rPr>
          <w:rFonts w:cs="Calibri"/>
        </w:rPr>
      </w:pPr>
    </w:p>
    <w:p w14:paraId="421FEE90" w14:textId="77777777" w:rsidR="00787F73" w:rsidRDefault="00742FB7" w:rsidP="00866155">
      <w:pPr>
        <w:pStyle w:val="Heading4"/>
        <w:spacing w:line="360" w:lineRule="auto"/>
      </w:pPr>
      <w:bookmarkStart w:id="311" w:name="_Toc98148332"/>
      <w:r>
        <w:rPr>
          <w:rFonts w:ascii="Calibri" w:hAnsi="Calibri" w:cs="Calibri"/>
        </w:rPr>
        <w:t>Disaster Cycle Framework</w:t>
      </w:r>
      <w:bookmarkEnd w:id="311"/>
    </w:p>
    <w:p w14:paraId="5E0FD923" w14:textId="77777777" w:rsidR="00787F73" w:rsidRDefault="00742FB7" w:rsidP="00866155">
      <w:bookmarkStart w:id="312" w:name="_Toc16856919"/>
      <w:bookmarkStart w:id="313" w:name="_3dy6vkm"/>
      <w:bookmarkEnd w:id="312"/>
      <w:bookmarkEnd w:id="313"/>
      <w:r>
        <w:rPr>
          <w:rFonts w:cs="Calibri"/>
        </w:rPr>
        <w:t xml:space="preserve">The Disaster Cycle Framework is a concept which describes how people and agencies move through the different phases of a disaster. It is a contested concept, with different authors suggesting different phases, however, most of them have distinct pre and post disaster sections, as shown in Figure 6. The pre-disaster phases predominantly focus on preventing, mitigating, and preparing for disasters, whereas the post-disaster phases focus on </w:t>
      </w:r>
      <w:r>
        <w:rPr>
          <w:rFonts w:cs="Calibri"/>
        </w:rPr>
        <w:lastRenderedPageBreak/>
        <w:t xml:space="preserve">responding and recovering </w:t>
      </w:r>
      <w:r>
        <w:fldChar w:fldCharType="begin" w:fldLock="1"/>
      </w:r>
      <w:r w:rsidR="00974B75">
        <w:rPr>
          <w:rFonts w:cs="Calibri"/>
        </w:rPr>
        <w:instrText>ADDIN CSL_CITATION {"citationItems":[{"id":"ITEM-1","itemData":{"DOI":"10.4102/jamba.v4i1.54","ISSN":"2072-845X","abstract":"Officials and scholars have used the disaster management cycle for the past 30 years to explain and manage impacts. Although very little understanding and agreement exist in terms of where the concept originated it is the purpose of this article to address the origins of the disaster management cycle. To achieve this, general system theory concepts of isomorphisms, equifinality, open systems and feedback arrangements were applied to linear disaster phase research (which emerged in the 1920s) and disaster management cycles. This was done in order to determine whether they are related concepts with procedures such as emergency, relief, recovery and rehabilitation.","author":[{"dropping-particle":"","family":"Coetzee","given":"Christo","non-dropping-particle":"","parse-names":false,"suffix":""},{"dropping-particle":"","family":"Niekerk","given":"Dewald","non-dropping-particle":"Van","parse-names":false,"suffix":""}],"container-title":"Jàmbá: Journal of Disaster Risk Studies","id":"ITEM-1","issue":"1","issued":{"date-parts":[["2012"]]},"page":"1-9","title":"Tracking the evolution of the disaster management cycle: A general system theory approach","type":"article-journal","volume":"4"},"uris":["http://www.mendeley.com/documents/?uuid=c3afdb02-d559-49a4-9abc-834cddd83502"]},{"id":"ITEM-2","itemData":{"DOI":"10.1108/09653561011070402","ISSN":"09653562","abstract":"Purpose: Coping with and adjusting to disruptive challenges has always been a characteristic of human development. Formalisation of this has led to the emergence of a number approaches addressing disruptive challenges. Often formalised practice has a narrow focus. Increasingly complex challenges require a refocus of formalised approaches. Drawing from these approaches, the purpose of this paper is to posit that a greater focus on preparedness through pre-disaster planning is needed for a more holistic approach to disaster management. Design/methodology/approach: The paper reviews the evolution of disaster management thinking and practice and proposes that changes are needed to the dominant disaster management model. These changes are drawn from a number of alternative perspectives. Based on the uncertainties surrounding complex or \"wicked\" problems, for example, climate change and variability, this paper develops a more holistic approach. Findings: Responding to \"wicked problems\" requires a greater focus on preparedness. In terms of disaster risk reduction a greater emphasis on pre-disaster planning is needed driven by social learning processes. Originality/value: Faced with an increasingly uncertain and complex future, current approaches to conceptualising disaster management are inadequate. This paper develops an approach that is likely to be more effective. © Emerald Group Publishing Limited.","author":[{"dropping-particle":"","family":"O'Brien","given":"Geoff","non-dropping-particle":"","parse-names":false,"suffix":""},{"dropping-particle":"","family":"O'Keefe","given":"Phil","non-dropping-particle":"","parse-names":false,"suffix":""},{"dropping-particle":"","family":"Gadema","given":"Zaina","non-dropping-particle":"","parse-names":false,"suffix":""},{"dropping-particle":"","family":"Swords","given":"Jon","non-dropping-particle":"","parse-names":false,"suffix":""}],"container-title":"Disaster Prevention and Management: An International Journal","id":"ITEM-2","issue":"4","issued":{"date-parts":[["2010"]]},"page":"498-508","title":"Approaching disaster management through social learning","type":"article-journal","volume":"19"},"uris":["http://www.mendeley.com/documents/?uuid=6407bc17-f459-46a1-848e-5a8a92f50e3f"]},{"id":"ITEM-3","itemData":{"DOI":"10.1016/j.ijdrr.2021.102722","ISSN":"22124209","abstract":"The natural disasters caused by climate change (droughts, floods) occur in a way that is unpredictable for humans and cause major destruction. The use of Information and Communication Technologies appears to be an effective way of disaster management worldwide. Shreds of evidence of this statement still lack in Africa, which is considered as the most vulnerable continent. This study empirically analyzes the impact of Information and Communication Technologies on natural disaster management in Africa. The econometric approach is based on the estimation of a panel data model using the Ordinary Least Square (OLS), Generalized Method-of-Moment (GMM) and Fixed-Effect Poisson estimators (FE). The results strongly suggest that cell phone and internet penetration reduce the negative consequences of natural disasters. Thus, it recommends to the governments of these countries to strengthen the creation and diffusion of ICT capacity.","author":[{"dropping-particle":"","family":"Djoumessi","given":"Yannick Fosso","non-dropping-particle":"","parse-names":false,"suffix":""},{"dropping-particle":"","family":"Mbongo","given":"Louis de Berquin Eyike","non-dropping-particle":"","parse-names":false,"suffix":""}],"container-title":"International Journal of Disaster Risk Reduction","id":"ITEM-3","issued":{"date-parts":[["2022"]]},"page":"1 - 9","title":"An analysis of information Communication Technologies for natural disaster management in Africa","type":"article-journal","volume":"68"},"uris":["http://www.mendeley.com/documents/?uuid=dbce0b52-3039-47c6-8e56-2f5f37b2c29b"]}],"mendeley":{"formattedCitation":"(Djoumessi &amp; Mbongo, 2022; Coetzee &amp; Van Niekerk, 2012; O’Brien et al., 2010)","plainTextFormattedCitation":"(Djoumessi &amp; Mbongo, 2022; Coetzee &amp; Van Niekerk, 2012; O’Brien et al., 2010)","previouslyFormattedCitation":"(Djoumessi &amp; Mbongo, 2022; Coetzee &amp; Van Niekerk, 2012; O’Brien et al., 2010)"},"properties":{"noteIndex":0},"schema":"https://github.com/citation-style-language/schema/raw/master/csl-citation.json"}</w:instrText>
      </w:r>
      <w:r>
        <w:rPr>
          <w:rFonts w:cs="Calibri"/>
        </w:rPr>
        <w:fldChar w:fldCharType="separate"/>
      </w:r>
      <w:r>
        <w:rPr>
          <w:rFonts w:cs="Calibri"/>
          <w:noProof/>
        </w:rPr>
        <w:t>(Djoumessi &amp; Mbongo, 2022; Coetzee &amp; Van Niekerk, 2012; O’Brien et al., 2010)</w:t>
      </w:r>
      <w:r>
        <w:rPr>
          <w:rFonts w:cs="Calibri"/>
        </w:rPr>
        <w:fldChar w:fldCharType="end"/>
      </w:r>
      <w:r>
        <w:rPr>
          <w:rFonts w:cs="Calibri"/>
        </w:rPr>
        <w:t xml:space="preserve">. </w:t>
      </w:r>
    </w:p>
    <w:p w14:paraId="2109F0DA" w14:textId="77777777" w:rsidR="00787F73" w:rsidRDefault="00787F73" w:rsidP="00866155">
      <w:pPr>
        <w:rPr>
          <w:rFonts w:cs="Calibri"/>
        </w:rPr>
      </w:pPr>
    </w:p>
    <w:p w14:paraId="1569AC92" w14:textId="77777777" w:rsidR="00787F73" w:rsidRDefault="00742FB7" w:rsidP="00866155">
      <w:pPr>
        <w:keepNext/>
        <w:jc w:val="center"/>
      </w:pPr>
      <w:r>
        <w:rPr>
          <w:noProof/>
        </w:rPr>
        <w:drawing>
          <wp:inline distT="0" distB="0" distL="0" distR="0" wp14:anchorId="073616CA" wp14:editId="4114E64D">
            <wp:extent cx="4855210" cy="3946525"/>
            <wp:effectExtent l="0" t="0" r="0" b="0"/>
            <wp:docPr id="8"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Diagram&#10;&#10;Description automatically generated"/>
                    <pic:cNvPicPr>
                      <a:picLocks noChangeAspect="1" noChangeArrowheads="1"/>
                    </pic:cNvPicPr>
                  </pic:nvPicPr>
                  <pic:blipFill>
                    <a:blip r:embed="rId11"/>
                    <a:stretch>
                      <a:fillRect/>
                    </a:stretch>
                  </pic:blipFill>
                  <pic:spPr bwMode="auto">
                    <a:xfrm>
                      <a:off x="0" y="0"/>
                      <a:ext cx="4855210" cy="3946525"/>
                    </a:xfrm>
                    <a:prstGeom prst="rect">
                      <a:avLst/>
                    </a:prstGeom>
                  </pic:spPr>
                </pic:pic>
              </a:graphicData>
            </a:graphic>
          </wp:inline>
        </w:drawing>
      </w:r>
    </w:p>
    <w:p w14:paraId="120E1A8F" w14:textId="35A0CB69" w:rsidR="00787F73" w:rsidRDefault="00742FB7" w:rsidP="00866155">
      <w:pPr>
        <w:pStyle w:val="caption1"/>
        <w:jc w:val="center"/>
      </w:pPr>
      <w:bookmarkStart w:id="314" w:name="_Toc153554387"/>
      <w:bookmarkStart w:id="315" w:name="_Toc193367284"/>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6</w:t>
      </w:r>
      <w:r>
        <w:rPr>
          <w:rFonts w:cs="Calibri"/>
        </w:rPr>
        <w:fldChar w:fldCharType="end"/>
      </w:r>
      <w:r>
        <w:rPr>
          <w:rFonts w:cs="Calibri"/>
        </w:rPr>
        <w:t>: Disaster Management Cycle</w:t>
      </w:r>
      <w:bookmarkEnd w:id="314"/>
      <w:r>
        <w:rPr>
          <w:rFonts w:cs="Calibri"/>
        </w:rPr>
        <w:t xml:space="preserve">; source: </w:t>
      </w:r>
      <w:r>
        <w:fldChar w:fldCharType="begin" w:fldLock="1"/>
      </w:r>
      <w:r w:rsidR="00AB7FCE">
        <w:rPr>
          <w:rFonts w:cs="Calibri"/>
        </w:rPr>
        <w:instrText>ADDIN CSL_CITATION {"citationItems":[{"id":"ITEM-1","itemData":{"author":[{"dropping-particle":"","family":"Forino","given":"Giuseppe","non-dropping-particle":"","parse-names":false,"suffix":""}],"id":"ITEM-1","issued":{"date-parts":[["2012"]]},"title":"What is disaster management cycle?","type":"webpage"},"uris":["http://www.mendeley.com/documents/?uuid=9f899c32-ad3e-3caf-bcb7-f6c2b5a9349e"]}],"mendeley":{"formattedCitation":"(Forino, 2012)","manualFormatting":"Forino (2017)","plainTextFormattedCitation":"(Forino, 2012)","previouslyFormattedCitation":"(Forino, 2012)"},"properties":{"noteIndex":0},"schema":"https://github.com/citation-style-language/schema/raw/master/csl-citation.json"}</w:instrText>
      </w:r>
      <w:r>
        <w:rPr>
          <w:rFonts w:cs="Calibri"/>
        </w:rPr>
        <w:fldChar w:fldCharType="separate"/>
      </w:r>
      <w:r w:rsidR="00E14461">
        <w:rPr>
          <w:rFonts w:cs="Calibri"/>
          <w:noProof/>
        </w:rPr>
        <w:t>Forino</w:t>
      </w:r>
      <w:r>
        <w:rPr>
          <w:rFonts w:cs="Calibri"/>
          <w:noProof/>
        </w:rPr>
        <w:t xml:space="preserve"> (2017)</w:t>
      </w:r>
      <w:bookmarkEnd w:id="315"/>
      <w:r>
        <w:rPr>
          <w:rFonts w:cs="Calibri"/>
        </w:rPr>
        <w:fldChar w:fldCharType="end"/>
      </w:r>
    </w:p>
    <w:p w14:paraId="421D984C" w14:textId="02AC6F19" w:rsidR="00787F73" w:rsidRDefault="00742FB7" w:rsidP="00866155">
      <w:r>
        <w:rPr>
          <w:rFonts w:cs="Calibri"/>
        </w:rPr>
        <w:t>These models can imply that disasters and disaster management can move through the phases in a linear fashion</w:t>
      </w:r>
      <w:r w:rsidR="00F30217">
        <w:rPr>
          <w:rFonts w:cs="Calibri"/>
        </w:rPr>
        <w:t>. ~H</w:t>
      </w:r>
      <w:r>
        <w:rPr>
          <w:rFonts w:cs="Calibri"/>
        </w:rPr>
        <w:t xml:space="preserve">owever, there is now a growing understanding of the cascading nature of disasters, noting the potential for a domino effect of smaller disasters which can be primary, secondary or tertiary in nature </w:t>
      </w:r>
      <w:r>
        <w:fldChar w:fldCharType="begin" w:fldLock="1"/>
      </w:r>
      <w:r>
        <w:rPr>
          <w:rFonts w:cs="Calibri"/>
        </w:rPr>
        <w:instrText>ADDIN CSL_CITATION {"citationItems":[{"id":"ITEM-1","itemData":{"abstract":": The consequences of the 2011 Tohoku earthquake persuaded the global community to consider more realistically the problem of \"cascading disasters\". Since then, the concept has been widely used among scholars and practitioners but its definition remains vague. In order to explain a chain-sequence of interconnected failures, the word 'cascading' is often associated with the metaphor of toppling dominoes, which may have a bearing on the cause-and-effect relationship that is a feature of most catastrophic events. Our paper aims to avoid this grey area and offer a clear definition that is suitable for field and theoretical use. A review of the literature is employed to point out the specific features that differentiate \"cascading disasters\" and \"cascading effects\" from other forms and dynamics of disaster. Glossaries are surveyed and past disasters analysed in order to reflect on which are the critical elements of a 'cascade' and how best to investigate them. Our conclusions suggest that interdependencies, vulnerability, amplification, secondary disasters and critical infrastructure are important factors that need to be addressed in risk reduction practices in order to limit cascading during disasters.","author":[{"dropping-particle":"","family":"Pescaroli","given":"Gianluca","non-dropping-particle":"","parse-names":false,"suffix":""},{"dropping-particle":"","family":"Alexander","given":"David","non-dropping-particle":"","parse-names":false,"suffix":""}],"container-title":"GRF Davos Planet@Risk","id":"ITEM-1","issue":"1","issued":{"date-parts":[["2015"]]},"page":"58-67","title":"A definition of cascading disasters and cascading effects: Going beyond the “toppling dominos” metaphor","type":"article-journal","volume":"3"},"uris":["http://www.mendeley.com/documents/?uuid=8ca3f59d-14b2-4d9a-8776-73d91f24a2a9"]},{"id":"ITEM-2","itemData":{"author":[{"dropping-particle":"","family":"Lönnermark","given":"Anders","non-dropping-particle":"","parse-names":false,"suffix":""},{"dropping-particle":"","family":"Criel","given":"Xavier","non-dropping-particle":"","parse-names":false,"suffix":""},{"dropping-particle":"","family":"Johansson","given":"Jonas","non-dropping-particle":"","parse-names":false,"suffix":""},{"dropping-particle":"","family":"Cedergren","given":"Alexander","non-dropping-particle":"","parse-names":false,"suffix":""},{"dropping-particle":"Van","family":"Heuverswyn","given":"Kathleen","non-dropping-particle":"","parse-names":false,"suffix":""},{"dropping-particle":"","family":"Judek","given":"Clément","non-dropping-particle":"","parse-names":false,"suffix":""},{"dropping-particle":"","family":"Lange","given":"David","non-dropping-particle":"","parse-names":false,"suffix":""},{"dropping-particle":"","family":"Arnell","given":"Krister","non-dropping-particle":"","parse-names":false,"suffix":""},{"dropping-particle":"","family":"Reilly","given":"Paul","non-dropping-particle":"","parse-names":false,"suffix":""}],"id":"ITEM-2","issued":{"date-parts":[["2016"]]},"number-of-pages":"1-23","title":"CascEff Glossary and Definitions","type":"report"},"uris":["http://www.mendeley.com/documents/?uuid=d99e9d2b-78a4-4d6a-bcac-807fae30199a"]}],"mendeley":{"formattedCitation":"(Lönnermark et al., 2016; Pescaroli &amp; Alexander, 2015)","plainTextFormattedCitation":"(Lönnermark et al., 2016; Pescaroli &amp; Alexander, 2015)","previouslyFormattedCitation":"(Lönnermark et al., 2016; Pescaroli &amp; Alexander, 2015)"},"properties":{"noteIndex":0},"schema":"https://github.com/citation-style-language/schema/raw/master/csl-citation.json"}</w:instrText>
      </w:r>
      <w:bookmarkStart w:id="316" w:name="_Hlk153266206"/>
      <w:r>
        <w:rPr>
          <w:rFonts w:cs="Calibri"/>
        </w:rPr>
        <w:fldChar w:fldCharType="separate"/>
      </w:r>
      <w:r>
        <w:rPr>
          <w:rFonts w:cs="Calibri"/>
          <w:noProof/>
        </w:rPr>
        <w:t>(Lönnermark et al., 2016; Pescaroli &amp; Alexander, 2015)</w:t>
      </w:r>
      <w:r>
        <w:rPr>
          <w:rFonts w:cs="Calibri"/>
        </w:rPr>
        <w:fldChar w:fldCharType="end"/>
      </w:r>
      <w:r>
        <w:rPr>
          <w:rFonts w:cs="Calibri"/>
        </w:rPr>
        <w:t xml:space="preserve">. </w:t>
      </w:r>
      <w:bookmarkEnd w:id="316"/>
      <w:r w:rsidR="001574CD">
        <w:rPr>
          <w:rFonts w:cs="Calibri"/>
        </w:rPr>
        <w:t xml:space="preserve">This suggests that the traditional </w:t>
      </w:r>
      <w:bookmarkStart w:id="317" w:name="_Hlk191218895"/>
      <w:r w:rsidR="0038275C">
        <w:rPr>
          <w:rFonts w:cs="Calibri"/>
        </w:rPr>
        <w:t>D</w:t>
      </w:r>
      <w:r w:rsidR="001574CD">
        <w:rPr>
          <w:rFonts w:cs="Calibri"/>
        </w:rPr>
        <w:t xml:space="preserve">isaster </w:t>
      </w:r>
      <w:r w:rsidR="0038275C">
        <w:rPr>
          <w:rFonts w:cs="Calibri"/>
        </w:rPr>
        <w:t>M</w:t>
      </w:r>
      <w:r w:rsidR="001574CD">
        <w:rPr>
          <w:rFonts w:cs="Calibri"/>
        </w:rPr>
        <w:t xml:space="preserve">anagement </w:t>
      </w:r>
      <w:r w:rsidR="0038275C">
        <w:rPr>
          <w:rFonts w:cs="Calibri"/>
        </w:rPr>
        <w:t>C</w:t>
      </w:r>
      <w:r w:rsidR="001574CD">
        <w:rPr>
          <w:rFonts w:cs="Calibri"/>
        </w:rPr>
        <w:t xml:space="preserve">ycle </w:t>
      </w:r>
      <w:bookmarkEnd w:id="317"/>
      <w:r w:rsidR="001574CD">
        <w:rPr>
          <w:rFonts w:cs="Calibri"/>
        </w:rPr>
        <w:t xml:space="preserve">is overly simplified and suggests that disasters are not only linear in process, but are also inevitable </w:t>
      </w:r>
      <w:r w:rsidR="001574CD">
        <w:rPr>
          <w:rFonts w:cs="Calibri"/>
        </w:rPr>
        <w:fldChar w:fldCharType="begin" w:fldLock="1"/>
      </w:r>
      <w:r w:rsidR="00E14968">
        <w:rPr>
          <w:rFonts w:cs="Calibri"/>
        </w:rPr>
        <w:instrText>ADDIN CSL_CITATION {"citationItems":[{"id":"ITEM-1","itemData":{"DOI":"10.1108/DPM-03-2021-0071","ISSN":"09653562","abstract":"Purpose: The way that disasters are managed, or indeed mis-managed, is often represented diagrammatically as a “disaster cycle”. The cyclical aspects of the disaster (risk) management concept, comprised of numerous operational phases, have, in recent years, been criticised for conceptualising and representing disasters in an overly simplistic way that typically starts with a disaster “event” – and subsequently leads onto yet another disaster. Such cyclical thinking has been proven to not be very useful for the complexities associated with understanding disasters and their risks. This paper aims to present an alternative conceptualisation of the Disaster Risk Management phases, in a way that can better factor in the underlying root causes that create differential levels of vulnerability. Design/methodology/approach: This is a conceptual paper developed, through a review of the literature and discussions between the authors, as a counterpoint to the pervasive “disaster cycle”. Findings: The “Disaster Risk Management (DRM) Helix” is presented as an alternative way of conceptualising the DRM phases. The helictical conceptualisation of DRM phases presented in this paper is intentionally presented to start a discussion (rather than as an end point) on how best to move away from the constraints of the “disaster cycle”. Originality/value: It is envisaged that the helictical conceptualisation of DRM can be suitably malleable to include important factors such as temporal considerations and the underlying root causes that create differential levels of vulnerability. It is, thus, the intention that the DRM Helix can provide a catalyst for exciting discussions and future adaptations of the diagram that can better capture the dynamic (non-cyclical) nature of disasters and their root causes.","author":[{"dropping-particle":"","family":"Bosher","given":"Lee","non-dropping-particle":"","parse-names":false,"suffix":""},{"dropping-particle":"","family":"Chmutina","given":"Ksenia","non-dropping-particle":"","parse-names":false,"suffix":""},{"dropping-particle":"","family":"Niekerk","given":"Dewald","non-dropping-particle":"van","parse-names":false,"suffix":""}],"container-title":"Disaster Prevention and Management: An International Journal","id":"ITEM-1","issue":"4-5","issued":{"date-parts":[["2021"]]},"page":"525-537","title":"Stop going around in circles: towards a reconceptualisation of disaster risk management phases","type":"article-journal","volume":"30"},"uris":["http://www.mendeley.com/documents/?uuid=7aec14d6-9161-4839-bf32-39eb27f6cd00"]}],"mendeley":{"formattedCitation":"(Bosher, Chmutina, &amp; van Niekerk, 2021)","plainTextFormattedCitation":"(Bosher, Chmutina, &amp; van Niekerk, 2021)","previouslyFormattedCitation":"(Bosher, Chmutina, &amp; van Niekerk, 2021)"},"properties":{"noteIndex":0},"schema":"https://github.com/citation-style-language/schema/raw/master/csl-citation.json"}</w:instrText>
      </w:r>
      <w:r w:rsidR="001574CD">
        <w:rPr>
          <w:rFonts w:cs="Calibri"/>
        </w:rPr>
        <w:fldChar w:fldCharType="separate"/>
      </w:r>
      <w:r w:rsidR="001574CD" w:rsidRPr="001574CD">
        <w:rPr>
          <w:rFonts w:cs="Calibri"/>
          <w:noProof/>
        </w:rPr>
        <w:t>(Bosher, Chmutina, &amp; van Niekerk, 2021)</w:t>
      </w:r>
      <w:r w:rsidR="001574CD">
        <w:rPr>
          <w:rFonts w:cs="Calibri"/>
        </w:rPr>
        <w:fldChar w:fldCharType="end"/>
      </w:r>
      <w:r w:rsidR="001574CD">
        <w:rPr>
          <w:rFonts w:cs="Calibri"/>
        </w:rPr>
        <w:t xml:space="preserve"> </w:t>
      </w:r>
      <w:r>
        <w:rPr>
          <w:rFonts w:cs="Calibri"/>
        </w:rPr>
        <w:t xml:space="preserve">This highlights the need to view disasters as a multifaceted event with multiple branches and with varying timescales </w:t>
      </w:r>
      <w:r>
        <w:fldChar w:fldCharType="begin" w:fldLock="1"/>
      </w:r>
      <w:r w:rsidR="00596C9A">
        <w:rPr>
          <w:rFonts w:cs="Calibri"/>
        </w:rPr>
        <w:instrText>ADDIN CSL_CITATION {"citationItems":[{"id":"ITEM-1","itemData":{"abstract":": The consequences of the 2011 Tohoku earthquake persuaded the global community to consider more realistically the problem of \"cascading disasters\". Since then, the concept has been widely used among scholars and practitioners but its definition remains vague. In order to explain a chain-sequence of interconnected failures, the word 'cascading' is often associated with the metaphor of toppling dominoes, which may have a bearing on the cause-and-effect relationship that is a feature of most catastrophic events. Our paper aims to avoid this grey area and offer a clear definition that is suitable for field and theoretical use. A review of the literature is employed to point out the specific features that differentiate \"cascading disasters\" and \"cascading effects\" from other forms and dynamics of disaster. Glossaries are surveyed and past disasters analysed in order to reflect on which are the critical elements of a 'cascade' and how best to investigate them. Our conclusions suggest that interdependencies, vulnerability, amplification, secondary disasters and critical infrastructure are important factors that need to be addressed in risk reduction practices in order to limit cascading during disasters.","author":[{"dropping-particle":"","family":"Pescaroli","given":"Gianluca","non-dropping-particle":"","parse-names":false,"suffix":""},{"dropping-particle":"","family":"Alexander","given":"David","non-dropping-particle":"","parse-names":false,"suffix":""}],"container-title":"GRF Davos Planet@Risk","id":"ITEM-1","issue":"1","issued":{"date-parts":[["2015"]]},"page":"58-67","title":"A definition of cascading disasters and cascading effects: Going beyond the “toppling dominos” metaphor","type":"article-journal","volume":"3"},"uris":["http://www.mendeley.com/documents/?uuid=8ca3f59d-14b2-4d9a-8776-73d91f24a2a9"]},{"id":"ITEM-2","itemData":{"DOI":"10.1108/DPM-03-2021-0071","ISSN":"09653562","abstract":"Purpose: The way that disasters are managed, or indeed mis-managed, is often represented diagrammatically as a “disaster cycle”. The cyclical aspects of the disaster (risk) management concept, comprised of numerous operational phases, have, in recent years, been criticised for conceptualising and representing disasters in an overly simplistic way that typically starts with a disaster “event” – and subsequently leads onto yet another disaster. Such cyclical thinking has been proven to not be very useful for the complexities associated with understanding disasters and their risks. This paper aims to present an alternative conceptualisation of the Disaster Risk Management phases, in a way that can better factor in the underlying root causes that create differential levels of vulnerability. Design/methodology/approach: This is a conceptual paper developed, through a review of the literature and discussions between the authors, as a counterpoint to the pervasive “disaster cycle”. Findings: The “Disaster Risk Management (DRM) Helix” is presented as an alternative way of conceptualising the DRM phases. The helictical conceptualisation of DRM phases presented in this paper is intentionally presented to start a discussion (rather than as an end point) on how best to move away from the constraints of the “disaster cycle”. Originality/value: It is envisaged that the helictical conceptualisation of DRM can be suitably malleable to include important factors such as temporal considerations and the underlying root causes that create differential levels of vulnerability. It is, thus, the intention that the DRM Helix can provide a catalyst for exciting discussions and future adaptations of the diagram that can better capture the dynamic (non-cyclical) nature of disasters and their root causes.","author":[{"dropping-particle":"","family":"Bosher","given":"Lee","non-dropping-particle":"","parse-names":false,"suffix":""},{"dropping-particle":"","family":"Chmutina","given":"Ksenia","non-dropping-particle":"","parse-names":false,"suffix":""},{"dropping-particle":"","family":"Niekerk","given":"Dewald","non-dropping-particle":"van","parse-names":false,"suffix":""}],"container-title":"Disaster Prevention and Management: An International Journal","id":"ITEM-2","issue":"4-5","issued":{"date-parts":[["2021"]]},"page":"525-537","title":"Stop going around in circles: towards a reconceptualisation of disaster risk management phases","type":"article-journal","volume":"30"},"uris":["http://www.mendeley.com/documents/?uuid=7aec14d6-9161-4839-bf32-39eb27f6cd00"]}],"mendeley":{"formattedCitation":"(Bosher, Chmutina, &amp; van Niekerk, 2021; Pescaroli &amp; Alexander, 2015)","plainTextFormattedCitation":"(Bosher, Chmutina, &amp; van Niekerk, 2021; Pescaroli &amp; Alexander, 2015)","previouslyFormattedCitation":"(Bosher, Chmutina, &amp; van Niekerk, 2021; Pescaroli &amp; Alexander, 2015)"},"properties":{"noteIndex":0},"schema":"https://github.com/citation-style-language/schema/raw/master/csl-citation.json"}</w:instrText>
      </w:r>
      <w:r>
        <w:rPr>
          <w:rFonts w:cs="Calibri"/>
        </w:rPr>
        <w:fldChar w:fldCharType="separate"/>
      </w:r>
      <w:r w:rsidR="00E14968" w:rsidRPr="00E14968">
        <w:rPr>
          <w:rFonts w:cs="Calibri"/>
          <w:noProof/>
        </w:rPr>
        <w:t>(Bosher, Chmutina, &amp; van Niekerk, 2021; Pescaroli &amp; Alexander, 2015)</w:t>
      </w:r>
      <w:r>
        <w:rPr>
          <w:rFonts w:cs="Calibri"/>
        </w:rPr>
        <w:fldChar w:fldCharType="end"/>
      </w:r>
      <w:r>
        <w:rPr>
          <w:rFonts w:cs="Calibri"/>
        </w:rPr>
        <w:t>.</w:t>
      </w:r>
    </w:p>
    <w:p w14:paraId="046865DE" w14:textId="77777777" w:rsidR="00787F73" w:rsidRDefault="00787F73" w:rsidP="00866155">
      <w:pPr>
        <w:rPr>
          <w:rFonts w:cs="Calibri"/>
        </w:rPr>
      </w:pPr>
    </w:p>
    <w:p w14:paraId="3418A95A" w14:textId="77777777" w:rsidR="00787F73" w:rsidRDefault="00742FB7" w:rsidP="00866155">
      <w:r>
        <w:rPr>
          <w:rFonts w:cs="Calibri"/>
        </w:rPr>
        <w:t>This framework has been reconceptualised by O’Brien et al. (2010) whose Disaster Management Framework has a double loop approach to emergencies, as shown in Figure 7, and can be viewed as trying to adapt the institutional logics of disaster management.</w:t>
      </w:r>
    </w:p>
    <w:p w14:paraId="3125A1E9" w14:textId="77777777" w:rsidR="00787F73" w:rsidRDefault="00742FB7" w:rsidP="00866155">
      <w:pPr>
        <w:keepNext/>
        <w:jc w:val="center"/>
      </w:pPr>
      <w:r>
        <w:rPr>
          <w:noProof/>
        </w:rPr>
        <w:lastRenderedPageBreak/>
        <w:drawing>
          <wp:inline distT="0" distB="0" distL="0" distR="0" wp14:anchorId="59D3E42C" wp14:editId="30E561C6">
            <wp:extent cx="5695315" cy="449961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4"/>
                    <a:stretch>
                      <a:fillRect/>
                    </a:stretch>
                  </pic:blipFill>
                  <pic:spPr bwMode="auto">
                    <a:xfrm>
                      <a:off x="0" y="0"/>
                      <a:ext cx="5695315" cy="4499610"/>
                    </a:xfrm>
                    <a:prstGeom prst="rect">
                      <a:avLst/>
                    </a:prstGeom>
                  </pic:spPr>
                </pic:pic>
              </a:graphicData>
            </a:graphic>
          </wp:inline>
        </w:drawing>
      </w:r>
    </w:p>
    <w:p w14:paraId="0BC134AD" w14:textId="6A77BB6A" w:rsidR="00787F73" w:rsidRDefault="00742FB7" w:rsidP="00866155">
      <w:pPr>
        <w:pStyle w:val="caption1"/>
        <w:jc w:val="center"/>
      </w:pPr>
      <w:bookmarkStart w:id="318" w:name="_Toc193367285"/>
      <w:bookmarkStart w:id="319" w:name="_Toc153554388"/>
      <w:bookmarkStart w:id="320" w:name="_Toc22627927"/>
      <w:bookmarkStart w:id="321" w:name="_Toc90567300"/>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7</w:t>
      </w:r>
      <w:r>
        <w:rPr>
          <w:rFonts w:cs="Calibri"/>
        </w:rPr>
        <w:fldChar w:fldCharType="end"/>
      </w:r>
      <w:r>
        <w:rPr>
          <w:rFonts w:cs="Calibri"/>
        </w:rPr>
        <w:t xml:space="preserve">: Reconceptualising disaster management, </w:t>
      </w:r>
      <w:r>
        <w:fldChar w:fldCharType="begin" w:fldLock="1"/>
      </w:r>
      <w:r>
        <w:rPr>
          <w:rFonts w:cs="Calibri"/>
        </w:rPr>
        <w:instrText>ADDIN CSL_CITATION {"citationItems":[{"id":"ITEM-1","itemData":{"DOI":"10.1108/09653561011070402","ISSN":"09653562","abstract":"Purpose: Coping with and adjusting to disruptive challenges has always been a characteristic of human development. Formalisation of this has led to the emergence of a number approaches addressing disruptive challenges. Often formalised practice has a narrow focus. Increasingly complex challenges require a refocus of formalised approaches. Drawing from these approaches, the purpose of this paper is to posit that a greater focus on preparedness through pre-disaster planning is needed for a more holistic approach to disaster management. Design/methodology/approach: The paper reviews the evolution of disaster management thinking and practice and proposes that changes are needed to the dominant disaster management model. These changes are drawn from a number of alternative perspectives. Based on the uncertainties surrounding complex or \"wicked\" problems, for example, climate change and variability, this paper develops a more holistic approach. Findings: Responding to \"wicked problems\" requires a greater focus on preparedness. In terms of disaster risk reduction a greater emphasis on pre-disaster planning is needed driven by social learning processes. Originality/value: Faced with an increasingly uncertain and complex future, current approaches to conceptualising disaster management are inadequate. This paper develops an approach that is likely to be more effective. © Emerald Group Publishing Limited.","author":[{"dropping-particle":"","family":"O'Brien","given":"Geoff","non-dropping-particle":"","parse-names":false,"suffix":""},{"dropping-particle":"","family":"O'Keefe","given":"Phil","non-dropping-particle":"","parse-names":false,"suffix":""},{"dropping-particle":"","family":"Gadema","given":"Zaina","non-dropping-particle":"","parse-names":false,"suffix":""},{"dropping-particle":"","family":"Swords","given":"Jon","non-dropping-particle":"","parse-names":false,"suffix":""}],"container-title":"Disaster Prevention and Management: An International Journal","id":"ITEM-1","issue":"4","issued":{"date-parts":[["2010"]]},"page":"498-508","title":"Approaching disaster management through social learning","type":"article-journal","volume":"19"},"locator":"505","uris":["http://www.mendeley.com/documents/?uuid=6407bc17-f459-46a1-848e-5a8a92f50e3f"]}],"mendeley":{"formattedCitation":"(O’Brien et al., 2010, p. 505)","manualFormatting":"Source: O’Brien et al. (2010, p. 505)","plainTextFormattedCitation":"(O’Brien et al., 2010, p. 505)","previouslyFormattedCitation":"(O’Brien et al., 2010, p. 505)"},"properties":{"noteIndex":0},"schema":"https://github.com/citation-style-language/schema/raw/master/csl-citation.json"}</w:instrText>
      </w:r>
      <w:r>
        <w:rPr>
          <w:rFonts w:cs="Calibri"/>
        </w:rPr>
        <w:fldChar w:fldCharType="separate"/>
      </w:r>
      <w:r>
        <w:rPr>
          <w:rFonts w:cs="Calibri"/>
          <w:noProof/>
        </w:rPr>
        <w:t>Source: O’Brien et al. (2010, p. 505)</w:t>
      </w:r>
      <w:bookmarkEnd w:id="318"/>
      <w:r>
        <w:rPr>
          <w:rFonts w:cs="Calibri"/>
        </w:rPr>
        <w:fldChar w:fldCharType="end"/>
      </w:r>
      <w:bookmarkEnd w:id="319"/>
      <w:bookmarkEnd w:id="320"/>
      <w:bookmarkEnd w:id="321"/>
    </w:p>
    <w:p w14:paraId="0E0E79D6" w14:textId="77777777" w:rsidR="00787F73" w:rsidRDefault="00787F73" w:rsidP="00866155">
      <w:pPr>
        <w:rPr>
          <w:rFonts w:cs="Calibri"/>
        </w:rPr>
      </w:pPr>
    </w:p>
    <w:p w14:paraId="5C64C7EE" w14:textId="5A3A4781" w:rsidR="00787F73" w:rsidRDefault="00742FB7" w:rsidP="00866155">
      <w:r>
        <w:rPr>
          <w:rFonts w:cs="Calibri"/>
        </w:rPr>
        <w:t xml:space="preserve">This double loop approach uses the traditional </w:t>
      </w:r>
      <w:r w:rsidR="0038275C">
        <w:rPr>
          <w:rFonts w:cs="Calibri"/>
        </w:rPr>
        <w:t>Disaster Management Cycle</w:t>
      </w:r>
      <w:r w:rsidR="00921B36">
        <w:rPr>
          <w:rFonts w:cs="Calibri"/>
        </w:rPr>
        <w:t xml:space="preserve"> </w:t>
      </w:r>
      <w:r>
        <w:rPr>
          <w:rFonts w:cs="Calibri"/>
        </w:rPr>
        <w:t xml:space="preserve">but adds in room for adapting behaviours and operational learning. This ties into the institutional theory literature, with agency within the institutions, and with institutional actors being able to influence and change logics </w:t>
      </w:r>
      <w:r>
        <w:fldChar w:fldCharType="begin" w:fldLock="1"/>
      </w:r>
      <w:r w:rsidR="00974B75">
        <w:rPr>
          <w:rFonts w:cs="Calibri"/>
        </w:rPr>
        <w:instrText>ADDIN CSL_CITATION {"citationItems":[{"id":"ITEM-1","itemData":{"DOI":"10.1111/j.1540-6520.2010.00390.x","ISBN":"10422587","ISSN":"10422587","PMID":"49206381","abstract":"Institutional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Practice","id":"ITEM-1","issue":"3","issued":{"date-parts":[["2010"]]},"page":"421-440","title":"Institutional theory and entrepreneurship: Where are we now and where do we need to move in the future?","type":"article-journal","volume":"34"},"uris":["http://www.mendeley.com/documents/?uuid=e36ff41e-f87e-4ac2-ad15-cf1983b501ae"]},{"id":"ITEM-2","itemData":{"DOI":"10.1108/S0277-2833(2010)0000021006","ISBN":"0000021008","ISSN":"02772833","abstract":"Social science attention to the distinctive role played by the professions\\nin modern society dates, at least, from the 1930s, beginning with\\nthe pioneering research of Carr-Saunders and Wilson (1933) and the\\ntheorizing of Parsons (1939). A considerable body of work was produced\\nwell into the 1960s, most of which embraced what was subsequently\\ntermed a functionalist approach. It was argued that in return for\\nemploying their specialized knowledge in the client's interest, professionals\\nwere ceded the right to set standards of training and practice and\\nto exercise autonomy of decision making in their spheres of competence\\n(e.g., Goode, 1957; Goss, 1961; Greenwood, 1957; Hughes, 1958b).\\nConsiderable effort was expended in differentiating between more-\\nand less-fully developed types of professions (e.g., Etzioni, 1969;\\nScott, 1965), as well as identifying the stages and strategies by\\nwhich professions acquired their distinctive features and status\\n(e.g., Abbott, 1988; Freidson, 1986; Wilensky, 1964).","author":[{"dropping-particle":"","family":"Scott","given":"W. Richard","non-dropping-particle":"","parse-names":false,"suffix":""}],"container-title":"Institutions and Entrepreneurship (Research in the Sociology of Work, Vol. 21)","editor":[{"dropping-particle":"","family":"Wesley D. Sine","given":"Robert J. David","non-dropping-particle":"","parse-names":false,"suffix":""}],"id":"ITEM-2","issued":{"date-parts":[["2010"]]},"page":"27-49","publisher":"Emerald Group Publishing Limited","publisher-place":"Leeds","title":"Entrepreneurs and professionals: The mediating role of institutions","type":"chapter"},"uris":["http://www.mendeley.com/documents/?uuid=8748eab4-c587-451c-8f5e-723bdb377cea"]}],"mendeley":{"formattedCitation":"(Bruton, Ahlstrom, &amp; Li, 2010; Scott, 2010a)","plainTextFormattedCitation":"(Bruton, Ahlstrom, &amp; Li, 2010; Scott, 2010a)","previouslyFormattedCitation":"(Bruton, Ahlstrom, &amp; Li, 2010; Scott, 2010a)"},"properties":{"noteIndex":0},"schema":"https://github.com/citation-style-language/schema/raw/master/csl-citation.json"}</w:instrText>
      </w:r>
      <w:r>
        <w:rPr>
          <w:rFonts w:cs="Calibri"/>
        </w:rPr>
        <w:fldChar w:fldCharType="separate"/>
      </w:r>
      <w:r>
        <w:rPr>
          <w:rFonts w:cs="Calibri"/>
          <w:noProof/>
        </w:rPr>
        <w:t>(Bruton, Ahlstrom, &amp; Li, 2010; Scott, 2010a)</w:t>
      </w:r>
      <w:r>
        <w:rPr>
          <w:rFonts w:cs="Calibri"/>
        </w:rPr>
        <w:fldChar w:fldCharType="end"/>
      </w:r>
      <w:r>
        <w:rPr>
          <w:rFonts w:cs="Calibri"/>
        </w:rPr>
        <w:t>.</w:t>
      </w:r>
    </w:p>
    <w:p w14:paraId="2156D05A" w14:textId="77777777" w:rsidR="00787F73" w:rsidRDefault="00787F73" w:rsidP="00866155">
      <w:pPr>
        <w:rPr>
          <w:rFonts w:cs="Calibri"/>
        </w:rPr>
      </w:pPr>
    </w:p>
    <w:p w14:paraId="1A83CCD6" w14:textId="43832341" w:rsidR="00787F73" w:rsidRDefault="00742FB7" w:rsidP="00866155">
      <w:r>
        <w:rPr>
          <w:rFonts w:cs="Calibri"/>
        </w:rPr>
        <w:t>This is of interest in the context of SYFR, as they partnered on this project to better support their communities during disaster events</w:t>
      </w:r>
      <w:r w:rsidR="00F30217">
        <w:rPr>
          <w:rFonts w:cs="Calibri"/>
        </w:rPr>
        <w:t>,</w:t>
      </w:r>
      <w:r>
        <w:rPr>
          <w:rFonts w:cs="Calibri"/>
        </w:rPr>
        <w:t xml:space="preserve"> </w:t>
      </w:r>
      <w:r w:rsidR="00F30217">
        <w:rPr>
          <w:rFonts w:cs="Calibri"/>
        </w:rPr>
        <w:t>This</w:t>
      </w:r>
      <w:r>
        <w:rPr>
          <w:rFonts w:cs="Calibri"/>
        </w:rPr>
        <w:t xml:space="preserve"> indicated that SYFR already have this in-built learning approach to managing disasters and have agency to develop and progress their field level institution </w:t>
      </w:r>
      <w:r>
        <w:fldChar w:fldCharType="begin" w:fldLock="1"/>
      </w:r>
      <w:r w:rsidR="00974B75">
        <w:rPr>
          <w:rFonts w:cs="Calibri"/>
        </w:rPr>
        <w:instrText>ADDIN CSL_CITATION {"citationItems":[{"id":"ITEM-1","itemData":{"DOI":"10.1108/S0733-558X(2013)0039A&amp;B015","ISSN":"0733558X","abstract":"This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Organizations","id":"ITEM-1","issue":"B","issued":{"date-parts":[["2013"]]},"page":"37-61","publisher":"Emerald Group Publishing Limited","title":"Institutional ambidexterity: Leveraging institutional complexity in practice","type":"article-journal","volume":"39"},"uris":["http://www.mendeley.com/documents/?uuid=ff8dc873-f050-4c05-bdec-08925d6e6ab8"]},{"id":"ITEM-2","itemData":{"DOI":"10.1177/1476127015625040","author":[{"dropping-particle":"","family":"Ocasio","given":"William","non-dropping-particle":"","parse-names":false,"suffix":""},{"dropping-particle":"","family":"Radoynovska","given":"Nevena","non-dropping-particle":"","parse-names":false,"suffix":""}],"container-title":"Strategic Organization","id":"ITEM-2","issue":"4","issued":{"date-parts":[["2016"]]},"page":"287 - 309","title":"Strategy and commitments to institutional logics : Organizational heterogeneity in business models and governance","type":"article-journal","volume":"14"},"uris":["http://www.mendeley.com/documents/?uuid=eede86b6-3a39-4b52-acc9-94e8cc3fbd5e"]}],"mendeley":{"formattedCitation":"(Ocasio &amp; Radoynovska, 2016; Jarzabkowski et al., 2013)","plainTextFormattedCitation":"(Ocasio &amp; Radoynovska, 2016; Jarzabkowski et al., 2013)","previouslyFormattedCitation":"(Ocasio &amp; Radoynovska, 2016; Jarzabkowski et al., 2013)"},"properties":{"noteIndex":0},"schema":"https://github.com/citation-style-language/schema/raw/master/csl-citation.json"}</w:instrText>
      </w:r>
      <w:r>
        <w:rPr>
          <w:rFonts w:cs="Calibri"/>
        </w:rPr>
        <w:fldChar w:fldCharType="separate"/>
      </w:r>
      <w:r>
        <w:rPr>
          <w:rFonts w:cs="Calibri"/>
          <w:noProof/>
        </w:rPr>
        <w:t>(Ocasio &amp; Radoynovska, 2016; Jarzabkowski et al., 2013)</w:t>
      </w:r>
      <w:r>
        <w:rPr>
          <w:rFonts w:cs="Calibri"/>
        </w:rPr>
        <w:fldChar w:fldCharType="end"/>
      </w:r>
      <w:r>
        <w:rPr>
          <w:rFonts w:cs="Calibri"/>
        </w:rPr>
        <w:t xml:space="preserve">. </w:t>
      </w:r>
      <w:r w:rsidR="00B50327">
        <w:rPr>
          <w:rFonts w:cs="Calibri"/>
        </w:rPr>
        <w:t xml:space="preserve">This thesis incorporated the </w:t>
      </w:r>
      <w:r w:rsidR="0038275C">
        <w:rPr>
          <w:rFonts w:cs="Calibri"/>
        </w:rPr>
        <w:t>D</w:t>
      </w:r>
      <w:r w:rsidR="00B50327">
        <w:rPr>
          <w:rFonts w:cs="Calibri"/>
        </w:rPr>
        <w:t xml:space="preserve">ouble </w:t>
      </w:r>
      <w:r w:rsidR="0038275C">
        <w:rPr>
          <w:rFonts w:cs="Calibri"/>
        </w:rPr>
        <w:t>L</w:t>
      </w:r>
      <w:r w:rsidR="00B50327">
        <w:rPr>
          <w:rFonts w:cs="Calibri"/>
        </w:rPr>
        <w:t xml:space="preserve">oop </w:t>
      </w:r>
      <w:r w:rsidR="0038275C">
        <w:rPr>
          <w:rFonts w:cs="Calibri"/>
        </w:rPr>
        <w:t>Disaster Management Cycle</w:t>
      </w:r>
      <w:r w:rsidR="00B50327">
        <w:rPr>
          <w:rFonts w:cs="Calibri"/>
        </w:rPr>
        <w:t xml:space="preserve">. This was </w:t>
      </w:r>
      <w:r w:rsidR="00E6417D">
        <w:rPr>
          <w:rFonts w:cs="Calibri"/>
        </w:rPr>
        <w:t>achieved</w:t>
      </w:r>
      <w:r w:rsidR="00B50327">
        <w:rPr>
          <w:rFonts w:cs="Calibri"/>
        </w:rPr>
        <w:t xml:space="preserve"> through the close working relationship with SYFR which enabled the sharing of knowledge throughout the research process. The </w:t>
      </w:r>
      <w:r w:rsidR="0038275C">
        <w:rPr>
          <w:rFonts w:cs="Calibri"/>
        </w:rPr>
        <w:t>D</w:t>
      </w:r>
      <w:r w:rsidR="00B50327">
        <w:rPr>
          <w:rFonts w:cs="Calibri"/>
        </w:rPr>
        <w:t xml:space="preserve">ouble </w:t>
      </w:r>
      <w:r w:rsidR="0038275C">
        <w:rPr>
          <w:rFonts w:cs="Calibri"/>
        </w:rPr>
        <w:t>L</w:t>
      </w:r>
      <w:r w:rsidR="00B50327">
        <w:rPr>
          <w:rFonts w:cs="Calibri"/>
        </w:rPr>
        <w:t>oop</w:t>
      </w:r>
      <w:r w:rsidR="001B677D">
        <w:rPr>
          <w:rFonts w:cs="Calibri"/>
        </w:rPr>
        <w:t xml:space="preserve"> </w:t>
      </w:r>
      <w:r w:rsidR="0038275C">
        <w:rPr>
          <w:rFonts w:cs="Calibri"/>
        </w:rPr>
        <w:t>C</w:t>
      </w:r>
      <w:r w:rsidR="00B50327">
        <w:rPr>
          <w:rFonts w:cs="Calibri"/>
        </w:rPr>
        <w:t xml:space="preserve">ycle showcases how disaster sector agencies aim to </w:t>
      </w:r>
      <w:r w:rsidR="00B50327">
        <w:rPr>
          <w:rFonts w:cs="Calibri"/>
        </w:rPr>
        <w:lastRenderedPageBreak/>
        <w:t xml:space="preserve">adapt and learn how to best </w:t>
      </w:r>
      <w:r>
        <w:rPr>
          <w:rFonts w:cs="Calibri"/>
        </w:rPr>
        <w:t xml:space="preserve">support vulnerable communities </w:t>
      </w:r>
      <w:r>
        <w:fldChar w:fldCharType="begin" w:fldLock="1"/>
      </w:r>
      <w:r>
        <w:rPr>
          <w:rFonts w:cs="Calibri"/>
        </w:rPr>
        <w:instrText>ADDIN CSL_CITATION {"citationItems":[{"id":"ITEM-1","itemData":{"DOI":"10.1177/0956247810396055","ISBN":"0956-2478","ISSN":"09562478","PMID":"60094764","abstract":"Enhancing community resilience is key to reducing vulnerability in the face of natural hazards. In this article, we discuss the elements that support or undermine community resilience to floods and propose ways of enhancing it. In the study, participatory methods and techniques were used with community members and emergency managers from a flood-prone municipality of Puerto Rico, including conceptual mapping, participatory mapping, and listing and ranking. The findings suggest that enhancing resilience in these communities requires: support for social learning by building on existing knowledge; stressing the importance of developing a diverse set of flood management options; and promoting effective linkages and collaborations between community members and emergency managers to encourage collective flood management. For this to happen, however, mutual distrust, lack of confidence and other obstacles must be overcome.","author":[{"dropping-particle":"","family":"López-Marrero","given":"Tania","non-dropping-particle":"","parse-names":false,"suffix":""},{"dropping-particle":"","family":"Tschakert","given":"Petra","non-dropping-particle":"","parse-names":false,"suffix":""}],"container-title":"Environment and Urbanization","id":"ITEM-1","issue":"1","issued":{"date-parts":[["2011"]]},"page":"229-249","title":"From theory to practice: Building more resilient communities in flood-prone areas","type":"article-journal","volume":"23"},"uris":["http://www.mendeley.com/documents/?uuid=d399713e-679c-42ce-8967-dc151a7b7d31"]}],"mendeley":{"formattedCitation":"(López-Marrero &amp; Tschakert, 2011)","plainTextFormattedCitation":"(López-Marrero &amp; Tschakert, 2011)","previouslyFormattedCitation":"(López-Marrero &amp; Tschakert, 2011)"},"properties":{"noteIndex":0},"schema":"https://github.com/citation-style-language/schema/raw/master/csl-citation.json"}</w:instrText>
      </w:r>
      <w:r>
        <w:rPr>
          <w:rFonts w:cs="Calibri"/>
        </w:rPr>
        <w:fldChar w:fldCharType="separate"/>
      </w:r>
      <w:r>
        <w:rPr>
          <w:rFonts w:cs="Calibri"/>
          <w:noProof/>
        </w:rPr>
        <w:t>(López-Marrero &amp; Tschakert, 2011)</w:t>
      </w:r>
      <w:r>
        <w:rPr>
          <w:rFonts w:cs="Calibri"/>
        </w:rPr>
        <w:fldChar w:fldCharType="end"/>
      </w:r>
      <w:r>
        <w:rPr>
          <w:rFonts w:cs="Calibri"/>
        </w:rPr>
        <w:t>, which requires an understanding of vulnerability.</w:t>
      </w:r>
    </w:p>
    <w:p w14:paraId="4D55F3CD" w14:textId="77777777" w:rsidR="00787F73" w:rsidRDefault="00787F73" w:rsidP="00866155">
      <w:pPr>
        <w:rPr>
          <w:rFonts w:cs="Calibri"/>
        </w:rPr>
      </w:pPr>
    </w:p>
    <w:p w14:paraId="7576D2F1" w14:textId="77777777" w:rsidR="00787F73" w:rsidRDefault="00742FB7" w:rsidP="00866155">
      <w:pPr>
        <w:pStyle w:val="Heading3"/>
      </w:pPr>
      <w:bookmarkStart w:id="322" w:name="_Toc168569191"/>
      <w:bookmarkStart w:id="323" w:name="_Toc93335993"/>
      <w:bookmarkStart w:id="324" w:name="_Toc140071575"/>
      <w:bookmarkStart w:id="325" w:name="_Toc153554313"/>
      <w:bookmarkStart w:id="326" w:name="_Toc22633717"/>
      <w:bookmarkStart w:id="327" w:name="_Toc98148329"/>
      <w:bookmarkStart w:id="328" w:name="_Toc158823554"/>
      <w:bookmarkStart w:id="329" w:name="_Toc193367194"/>
      <w:bookmarkEnd w:id="322"/>
      <w:r>
        <w:rPr>
          <w:rFonts w:ascii="Calibri" w:hAnsi="Calibri" w:cs="Calibri"/>
        </w:rPr>
        <w:t>2.3.4: Vulnerability</w:t>
      </w:r>
      <w:bookmarkEnd w:id="323"/>
      <w:bookmarkEnd w:id="324"/>
      <w:bookmarkEnd w:id="325"/>
      <w:bookmarkEnd w:id="326"/>
      <w:bookmarkEnd w:id="327"/>
      <w:bookmarkEnd w:id="328"/>
      <w:bookmarkEnd w:id="329"/>
    </w:p>
    <w:p w14:paraId="6A874EBA" w14:textId="77777777" w:rsidR="00787F73" w:rsidRDefault="00742FB7" w:rsidP="00866155">
      <w:bookmarkStart w:id="330" w:name="_2et92p0"/>
      <w:bookmarkEnd w:id="330"/>
      <w:r>
        <w:rPr>
          <w:rFonts w:cs="Calibri"/>
        </w:rPr>
        <w:t xml:space="preserve">Vulnerability is mentioned within the UNISDR’s definition of disasters as a key concept, however, it is a disputed term, with a contested </w:t>
      </w:r>
      <w:r w:rsidRPr="00BA0CD4">
        <w:rPr>
          <w:rFonts w:cs="Calibri"/>
        </w:rPr>
        <w:t>ontology</w:t>
      </w:r>
      <w:r>
        <w:rPr>
          <w:rFonts w:cs="Calibri"/>
        </w:rPr>
        <w:t xml:space="preserve">, whether it is a property of an entity or a condition due to a specific situation </w:t>
      </w:r>
      <w:r>
        <w:fldChar w:fldCharType="begin" w:fldLock="1"/>
      </w:r>
      <w:r>
        <w:rPr>
          <w:rFonts w:cs="Calibri"/>
        </w:rPr>
        <w:instrText>ADDIN CSL_CITATION {"citationItems":[{"id":"ITEM-1","itemData":{"DOI":"10.1111/disa.12481","ISSN":"14677717","PMID":"33760259","abstract":"While social vulnerability in the face of disasters has received increasing academic attention, relatively little is known about the extent to which that knowledge is reflected in practice by institutions involved in disaster management. This study charts the practitioners’ approaches to disaster vulnerability in eight European countries: Belgium; Estonia; Finland; Germany; Hungary; Italy; Norway; and Sweden. It draws on a comparative document analysis and 95 interviews with disaster managers and reveals significant differences across countries in terms of the ontology of vulnerability, its sources, reduction strategies, and the allocation of related duties. To advance the debate and provide conceptual clarity, we put forward a heuristic model to facilitate different understandings of vulnerability along the dimensions of human agency and technological structures as well as social support through private relations and state actors. This could guide risk analysis of and planning for major hazards and could be adapted further to particular types of disasters.","author":[{"dropping-particle":"","family":"Orru","given":"Kati","non-dropping-particle":"","parse-names":false,"suffix":""},{"dropping-particle":"","family":"Hansson","given":"Sten","non-dropping-particle":"","parse-names":false,"suffix":""},{"dropping-particle":"","family":"Gabel","given":"Friedrich","non-dropping-particle":"","parse-names":false,"suffix":""},{"dropping-particle":"","family":"Tammpuu","given":"Piia","non-dropping-particle":"","parse-names":false,"suffix":""},{"dropping-particle":"","family":"Krüger","given":"Marco","non-dropping-particle":"","parse-names":false,"suffix":""},{"dropping-particle":"","family":"Savadori","given":"Lucia","non-dropping-particle":"","parse-names":false,"suffix":""},{"dropping-particle":"","family":"Meyer","given":"Sunniva Frislid","non-dropping-particle":"","parse-names":false,"suffix":""},{"dropping-particle":"","family":"Torpan","given":"Sten","non-dropping-particle":"","parse-names":false,"suffix":""},{"dropping-particle":"","family":"Jukarainen","given":"Pirjo","non-dropping-particle":"","parse-names":false,"suffix":""},{"dropping-particle":"","family":"Schieffelers","given":"Abriel","non-dropping-particle":"","parse-names":false,"suffix":""},{"dropping-particle":"","family":"Lovasz","given":"Gabriella","non-dropping-particle":"","parse-names":false,"suffix":""},{"dropping-particle":"","family":"Rhinard","given":"Mark","non-dropping-particle":"","parse-names":false,"suffix":""}],"container-title":"Disasters","id":"ITEM-1","issue":"3","issued":{"date-parts":[["2022"]]},"page":"742-767","title":"Approaches to ‘vulnerability’ in eight European disaster management systems","type":"article-journal","volume":"46"},"uris":["http://www.mendeley.com/documents/?uuid=4a100afe-8fc2-485b-97f9-cd7bfb391421"]}],"mendeley":{"formattedCitation":"(Orru et al., 2022)","plainTextFormattedCitation":"(Orru et al., 2022)","previouslyFormattedCitation":"(Orru et al., 2022)"},"properties":{"noteIndex":0},"schema":"https://github.com/citation-style-language/schema/raw/master/csl-citation.json"}</w:instrText>
      </w:r>
      <w:r>
        <w:rPr>
          <w:rFonts w:cs="Calibri"/>
        </w:rPr>
        <w:fldChar w:fldCharType="separate"/>
      </w:r>
      <w:r>
        <w:rPr>
          <w:rFonts w:cs="Calibri"/>
          <w:noProof/>
        </w:rPr>
        <w:t>(Orru et al., 2022)</w:t>
      </w:r>
      <w:r>
        <w:rPr>
          <w:rFonts w:cs="Calibri"/>
        </w:rPr>
        <w:fldChar w:fldCharType="end"/>
      </w:r>
      <w:r>
        <w:rPr>
          <w:rFonts w:cs="Calibri"/>
        </w:rPr>
        <w:t xml:space="preserve">. Although it is contested there is a general consensus that vulnerability is “the exposure of groups of people or individuals to stress” </w:t>
      </w:r>
      <w:r>
        <w:fldChar w:fldCharType="begin" w:fldLock="1"/>
      </w:r>
      <w:r>
        <w:rPr>
          <w:rFonts w:cs="Calibri"/>
        </w:rPr>
        <w:instrText>ADDIN CSL_CITATION {"citationItems":[{"id":"ITEM-1","itemData":{"DOI":"10.1191/030913200701540465","ISSN":"0309-1325","author":[{"dropping-particle":"","family":"Adger","given":"W. Neil","non-dropping-particle":"","parse-names":false,"suffix":""}],"container-title":"Progress in Human Geography","id":"ITEM-1","issue":"3","issued":{"date-parts":[["2000"]]},"page":"347-364","title":"Social and ecological resilience: are they related?","type":"article-journal","volume":"24"},"locator":"348","uris":["http://www.mendeley.com/documents/?uuid=c23d707c-5349-48b8-a212-e24541d206d1"]}],"mendeley":{"formattedCitation":"(Adger, 2000, p. 348)","plainTextFormattedCitation":"(Adger, 2000, p. 348)","previouslyFormattedCitation":"(Adger, 2000, p. 348)"},"properties":{"noteIndex":0},"schema":"https://github.com/citation-style-language/schema/raw/master/csl-citation.json"}</w:instrText>
      </w:r>
      <w:r>
        <w:rPr>
          <w:rFonts w:cs="Calibri"/>
        </w:rPr>
        <w:fldChar w:fldCharType="separate"/>
      </w:r>
      <w:r>
        <w:rPr>
          <w:rFonts w:cs="Calibri"/>
          <w:noProof/>
        </w:rPr>
        <w:t>(Adger, 2000, p. 348)</w:t>
      </w:r>
      <w:r>
        <w:rPr>
          <w:rFonts w:cs="Calibri"/>
        </w:rPr>
        <w:fldChar w:fldCharType="end"/>
      </w:r>
      <w:r>
        <w:rPr>
          <w:rFonts w:cs="Calibri"/>
        </w:rPr>
        <w:t xml:space="preserve">, with others adding that vulnerability arises when a hazard overwhelms the individual or community’s ability to cope. </w:t>
      </w:r>
      <w:r>
        <w:rPr>
          <w:rFonts w:cs="Calibri"/>
          <w:i/>
          <w:iCs/>
        </w:rPr>
        <w:t>Vulnerability</w:t>
      </w:r>
      <w:r>
        <w:rPr>
          <w:rFonts w:cs="Calibri"/>
        </w:rPr>
        <w:t xml:space="preserve"> is often related to marginalised members of society, and is therefore closely linked to socioeconomic conditions; it can be viewed as temporal in nature as communities vulnerabilities change in different events </w:t>
      </w:r>
      <w:r>
        <w:fldChar w:fldCharType="begin" w:fldLock="1"/>
      </w:r>
      <w:r w:rsidR="00974B75">
        <w:rPr>
          <w:rFonts w:cs="Calibri"/>
        </w:rPr>
        <w:instrText>ADDIN CSL_CITATION {"citationItems":[{"id":"ITEM-1","itemData":{"DOI":"10.4324/9780203848531","ISBN":"0203848535","abstract":"In this essay I develop the concept of vulnerability in order to argue for a more responsive state and a more egalitarian society. I argue that vulnerability is—and should be understood to be—universal and constant, inherent in the human condition. The vulnerability approach I propose is an alternative to traditional equal protection analysis; it is a “post-identity” inquiry in that it is not focused only on discrimination against defined groups, but concerned with privilege and favor conferred on limited segments of the population by the state and broader society through their institutions. As such, vulnerability analysis concentrates on the structures our society has and will establish to manage our common vulnerabilities. This approach has the potential to move us beyond the stifling confines of current discrimination-based models toward a more substantive vision of equality.","author":[{"dropping-particle":"","family":"Fineman","given":"Martha Albertson","non-dropping-particle":"","parse-names":false,"suffix":""}],"container-title":"Yale Journal of Law &amp; Feminism","id":"ITEM-1","issue":"1","issued":{"date-parts":[["2008"]]},"page":"1-23","title":"The vulnerable subject: Anchoring Equality in the human condition","type":"article-journal","volume":"20"},"uris":["http://www.mendeley.com/documents/?uuid=1f7897a0-330a-49d9-8024-cccf967dc0db"]},{"id":"ITEM-2","itemData":{"DOI":"10.1016/j.gloenvcha.2006.02.006","ISBN":"09593780","ISSN":"09593780","PMID":"17411427","abstract":"This paper reviews research traditions of vulnerability to environmental change and the challenges for present vulnerability research in integrating with the domains of resilience and adaptation. Vulnerability is the state of susceptibility to harm from exposure to stresses associated with environmental and social change and from the absence of capacity to adapt. Antecedent traditions include theories of vulnerability as entitlement failure and theories of hazard. Each of these areas has contributed to present formulations of vulnerability to environmental change as a characteristic of social-ecological systems linked to resilience. Research on vulnerability to the impacts of climate change spans all the antecedent and successor traditions. The challenges for vulnerability research are to develop robust and credible measures, to incorporate diverse methods that include perceptions of risk and vulnerability, and to incorporate governance research on the mechanisms that mediate vulnerability and promote adaptive action and resilience. These challenges are common to the domains of vulnerability, adaptation and resilience and form common ground for consilience and integration. © 2006 Elsevier Ltd. All rights reserved.","author":[{"dropping-particle":"","family":"Adger","given":"W. Neil","non-dropping-particle":"","parse-names":false,"suffix":""}],"container-title":"Global Environmental Change","id":"ITEM-2","issue":"3","issued":{"date-parts":[["2006"]]},"page":"268-281","title":"Vulnerability","type":"article-journal","volume":"16"},"uris":["http://www.mendeley.com/documents/?uuid=383408ed-e762-472c-99bf-36ab300b3b49"]},{"id":"ITEM-3","itemData":{"DOI":"10.1080/03003930.2019.1571999","ISSN":"17439388","abstract":"Scholars and practitioners have long noted the importance of community resilience to disaster recovery and environmental risk mitigation. Yet we know surprisingly little about how local residents perceive the resilience of their local communities, including how closely their perceptions align with objective measures of resilience or whether these perceptions affect community engagement and support for resilience building activities and policies. In this paper, we utilise the results of public opinion surveys of residents of four Texas coastal shoreline counties (Brazoria, Nueces, Galveston, and Cameron) to address this gap in the literature. The results reveal that perceptions of community preparedness largely reflect social trust and disaster awareness while perceptions of recovery reflect perceived risks and preparedness.","author":[{"dropping-particle":"","family":"Goidel","given":"Kirby","non-dropping-particle":"","parse-names":false,"suffix":""},{"dropping-particle":"","family":"Horney","given":"Jennifer A.","non-dropping-particle":"","parse-names":false,"suffix":""},{"dropping-particle":"","family":"Kellstedt","given":"Paul M.","non-dropping-particle":"","parse-names":false,"suffix":""},{"dropping-particle":"","family":"Sullivan","given":"Emily","non-dropping-particle":"","parse-names":false,"suffix":""},{"dropping-particle":"","family":"Brown","given":"Stephanie E.V.","non-dropping-particle":"","parse-names":false,"suffix":""}],"container-title":"Local Government Studies","id":"ITEM-3","issue":"3","issued":{"date-parts":[["2019"]]},"page":"413-432","title":"Perceptions of disaster resilience in four Texas coastal communities","type":"article-journal","volume":"45"},"uris":["http://www.mendeley.com/documents/?uuid=4033a276-60f2-438f-a557-0a555c5f96f4"]},{"id":"ITEM-4","itemData":{"DOI":"10.1111/j.1477-8947.2006.00121.x","author":[{"dropping-particle":"","family":"Ziervogel","given":"Gina","non-dropping-particle":"","parse-names":false,"suffix":""},{"dropping-particle":"","family":"Ziervogel","given":"Gina","non-dropping-particle":"","parse-names":false,"suffix":""},{"dropping-particle":"","family":"Bharwani","given":"Sukaina","non-dropping-particle":"","parse-names":false,"suffix":""},{"dropping-particle":"","family":"Downing","given":"Thomas E","non-dropping-particle":"","parse-names":false,"suffix":""}],"container-title":"Natural Resources Forum","id":"ITEM-4","issue":"4","issued":{"date-parts":[["2006"]]},"page":"294-305","title":"Adapting to climate variability: Pumpkins , people and policy","type":"article-journal","volume":"30"},"uris":["http://www.mendeley.com/documents/?uuid=148cfadc-3126-4f67-80a7-2ef57058d685"]},{"id":"ITEM-5","itemData":{"DOI":"10.3763/ehaz.1999.0103","author":[{"dropping-particle":"","family":"Tobin","given":"Graham A","non-dropping-particle":"","parse-names":false,"suffix":""}],"container-title":"Environmental Hazards","id":"ITEM-5","issue":"1","issued":{"date-parts":[["1999"]]},"page":"13-25","title":"Sustainability and community resilience: the holy grail of hazards planning?","type":"article-journal","volume":"1"},"uris":["http://www.mendeley.com/documents/?uuid=8bf65d46-8190-4198-bf8c-df8928e2d260"]},{"id":"ITEM-6","itemData":{"DOI":"10.1016/j.ijdrr.2022.103039","ISSN":"22124209","abstract":"In 2015 the Sendai Framework for Disaster Risk Reduction (SFDRR) was introduced to continue the process of developing a resilient world. Like other countries, Bangladesh is also committed to introducing interventions according to the goals, objectives, and priorities of the SFDRR which will enable the communities to reduce the risk of disasters. To have a comprehensive disaster management mechanism the first strategy would be having proper policies and plans. It is clear that Bangladesh already has progressed in developing inclusive and robust disaster management policies and plans. In this study, the available disaster management policies are reviewed in the light of priorities of the SFDRR. The objective is to analyze the current condition of the policies and gaps in the policies which should be addressed for achieving SFDRR goals. The study identified that the policies and plans are well designed aligning with the priorities of SFDRR but there are still scopes of improvement. Bangladesh needs to focus on all priority areas in updating these plans and policies with a special focus on priority areas 3 and 4. Investing more in disaster risk reduction and introducing a ‘Build Back Better’ approach will help to introduce a resilient country.","author":[{"dropping-particle":"","family":"Chisty","given":"Musabber Ali","non-dropping-particle":"","parse-names":false,"suffix":""},{"dropping-particle":"","family":"Muhtasim","given":"Maliha","non-dropping-particle":"","parse-names":false,"suffix":""},{"dropping-particle":"","family":"Biva","given":"Fariha Jahin","non-dropping-particle":"","parse-names":false,"suffix":""},{"dropping-particle":"","family":"Dola","given":"Syeda Erena Alam","non-dropping-particle":"","parse-names":false,"suffix":""},{"dropping-particle":"","family":"Khan","given":"Nesar Ahmed","non-dropping-particle":"","parse-names":false,"suffix":""}],"container-title":"International Journal of Disaster Risk Reduction","id":"ITEM-6","issued":{"date-parts":[["2022"]]},"page":"1-9","title":"Sendai Framework for Disaster Risk Reduction (SFDRR) and disaster management policies in Bangladesh: How far we have come to make communities resilient?","type":"article-journal","volume":"76"},"uris":["http://www.mendeley.com/documents/?uuid=255364b7-603f-4028-a3e6-0ca236d4bed5"]},{"id":"ITEM-7","itemData":{"DOI":"10.1016/j.scs.2021.103577","ISSN":"22106707","abstract":"The use of social media platforms such as Twitter significantly increases during natural hazards. With the emergence of several social media platforms over the past decade, many studies have investigated the applications of these platforms during calamities. This study presents a comprehensive spatiotemporal analysis of textual content from millions of tweets shared on Twitter during Hurricane Harvey (2017) across several affected counties in southeast Texas. We propose a new Hazard Risk Awareness (HRA) Index, which considers multiple factors, including the number of tweets, population, internet use rate, and natural hazard characteristics per geographic location. We then map the HRA Index across southeast Texas. Utilizing a dataset of 18 million tweets, we employ Natural Language Processing (NLP) along with a set of statistical techniques to perform analysis on the textual data generated by Twitter users during Hurricane Harvey. This enables us to subdivide the tweet contents into several categories per county that would inform crisis management during the event. In all, our study provides valuable information at the county level before, during, and after Harvey that could significantly help disaster managers and responders to minimize the consequences of the event and improve the preparedness of the residents for it. Since HRA is derived based on the meteorological observations and some demographic information, depending on the availability of such dataset and the nature of the hazard (i.e., flood, wildfire, hurricane, and earthquake), this index can be calculated and employed for assessing the risk awareness of a community exposed to either of these natural hazards.","author":[{"dropping-particle":"","family":"Karimiziarani","given":"Mohammadsepehr","non-dropping-particle":"","parse-names":false,"suffix":""},{"dropping-particle":"","family":"Jafarzadegan","given":"Keighobad","non-dropping-particle":"","parse-names":false,"suffix":""},{"dropping-particle":"","family":"Abbaszadeh","given":"Peyman","non-dropping-particle":"","parse-names":false,"suffix":""},{"dropping-particle":"","family":"Shao","given":"Wanyun","non-dropping-particle":"","parse-names":false,"suffix":""},{"dropping-particle":"","family":"Moradkhani","given":"Hamid","non-dropping-particle":"","parse-names":false,"suffix":""}],"container-title":"Sustainable Cities and Society","id":"ITEM-7","issued":{"date-parts":[["2022"]]},"page":"1 - 11","title":"Hazard risk awareness and disaster management: Extracting the information content of twitter data","type":"article-journal","volume":"77"},"uris":["http://www.mendeley.com/documents/?uuid=0ff52b10-5251-4279-bf6e-c55c0e18363a"]},{"id":"ITEM-8","itemData":{"DOI":"10.1111/disa.12481","ISSN":"14677717","PMID":"33760259","abstract":"While social vulnerability in the face of disasters has received increasing academic attention, relatively little is known about the extent to which that knowledge is reflected in practice by institutions involved in disaster management. This study charts the practitioners’ approaches to disaster vulnerability in eight European countries: Belgium; Estonia; Finland; Germany; Hungary; Italy; Norway; and Sweden. It draws on a comparative document analysis and 95 interviews with disaster managers and reveals significant differences across countries in terms of the ontology of vulnerability, its sources, reduction strategies, and the allocation of related duties. To advance the debate and provide conceptual clarity, we put forward a heuristic model to facilitate different understandings of vulnerability along the dimensions of human agency and technological structures as well as social support through private relations and state actors. This could guide risk analysis of and planning for major hazards and could be adapted further to particular types of disasters.","author":[{"dropping-particle":"","family":"Orru","given":"Kati","non-dropping-particle":"","parse-names":false,"suffix":""},{"dropping-particle":"","family":"Hansson","given":"Sten","non-dropping-particle":"","parse-names":false,"suffix":""},{"dropping-particle":"","family":"Gabel","given":"Friedrich","non-dropping-particle":"","parse-names":false,"suffix":""},{"dropping-particle":"","family":"Tammpuu","given":"Piia","non-dropping-particle":"","parse-names":false,"suffix":""},{"dropping-particle":"","family":"Krüger","given":"Marco","non-dropping-particle":"","parse-names":false,"suffix":""},{"dropping-particle":"","family":"Savadori","given":"Lucia","non-dropping-particle":"","parse-names":false,"suffix":""},{"dropping-particle":"","family":"Meyer","given":"Sunniva Frislid","non-dropping-particle":"","parse-names":false,"suffix":""},{"dropping-particle":"","family":"Torpan","given":"Sten","non-dropping-particle":"","parse-names":false,"suffix":""},{"dropping-particle":"","family":"Jukarainen","given":"Pirjo","non-dropping-particle":"","parse-names":false,"suffix":""},{"dropping-particle":"","family":"Schieffelers","given":"Abriel","non-dropping-particle":"","parse-names":false,"suffix":""},{"dropping-particle":"","family":"Lovasz","given":"Gabriella","non-dropping-particle":"","parse-names":false,"suffix":""},{"dropping-particle":"","family":"Rhinard","given":"Mark","non-dropping-particle":"","parse-names":false,"suffix":""}],"container-title":"Disasters","id":"ITEM-8","issue":"3","issued":{"date-parts":[["2022"]]},"page":"742-767","title":"Approaches to ‘vulnerability’ in eight European disaster management systems","type":"article-journal","volume":"46"},"uris":["http://www.mendeley.com/documents/?uuid=4a100afe-8fc2-485b-97f9-cd7bfb391421"]}],"mendeley":{"formattedCitation":"(Chisty et al., 2022; Karimiziarani et al., 2022; Orru et al., 2022; Goidel et al., 2019; Fineman, 2008; Adger, 2006; Ziervogel et al., 2006; Tobin, 1999)","plainTextFormattedCitation":"(Chisty et al., 2022; Karimiziarani et al., 2022; Orru et al., 2022; Goidel et al., 2019; Fineman, 2008; Adger, 2006; Ziervogel et al., 2006; Tobin, 1999)","previouslyFormattedCitation":"(Chisty et al., 2022; Karimiziarani et al., 2022; Orru et al., 2022; Goidel et al., 2019; Fineman, 2008; Adger, 2006; Ziervogel et al., 2006; Tobin, 1999)"},"properties":{"noteIndex":0},"schema":"https://github.com/citation-style-language/schema/raw/master/csl-citation.json"}</w:instrText>
      </w:r>
      <w:r>
        <w:rPr>
          <w:rFonts w:cs="Calibri"/>
        </w:rPr>
        <w:fldChar w:fldCharType="separate"/>
      </w:r>
      <w:r>
        <w:rPr>
          <w:rFonts w:cs="Calibri"/>
          <w:noProof/>
        </w:rPr>
        <w:t>(Chisty et al., 2022; Karimiziarani et al., 2022; Orru et al., 2022; Goidel et al., 2019; Fineman, 2008; Adger, 2006; Ziervogel et al., 2006; Tobin, 1999)</w:t>
      </w:r>
      <w:r>
        <w:rPr>
          <w:rFonts w:cs="Calibri"/>
        </w:rPr>
        <w:fldChar w:fldCharType="end"/>
      </w:r>
      <w:r>
        <w:rPr>
          <w:rFonts w:cs="Calibri"/>
        </w:rPr>
        <w:t xml:space="preserve">. Linking the definition to marginalised groups indicates that the term </w:t>
      </w:r>
      <w:r>
        <w:rPr>
          <w:rFonts w:cs="Calibri"/>
          <w:i/>
          <w:iCs/>
        </w:rPr>
        <w:t>vulnerability</w:t>
      </w:r>
      <w:r>
        <w:rPr>
          <w:rFonts w:cs="Calibri"/>
        </w:rPr>
        <w:t xml:space="preserve"> is not a normative or value neutral term, suggesting that there needs to be a reduction in the politicised connotations of the term and a greater intersectional analysis of those being defined as vulnerable </w:t>
      </w:r>
      <w:r>
        <w:fldChar w:fldCharType="begin" w:fldLock="1"/>
      </w:r>
      <w:r>
        <w:rPr>
          <w:rFonts w:cs="Calibri"/>
        </w:rPr>
        <w:instrText>ADDIN CSL_CITATION {"citationItems":[{"id":"ITEM-1","itemData":{"DOI":"10.4324/9780203848531","ISBN":"0203848535","abstract":"In this essay I develop the concept of vulnerability in order to argue for a more responsive state and a more egalitarian society. I argue that vulnerability is—and should be understood to be—universal and constant, inherent in the human condition. The vulnerability approach I propose is an alternative to traditional equal protection analysis; it is a “post-identity” inquiry in that it is not focused only on discrimination against defined groups, but concerned with privilege and favor conferred on limited segments of the population by the state and broader society through their institutions. As such, vulnerability analysis concentrates on the structures our society has and will establish to manage our common vulnerabilities. This approach has the potential to move us beyond the stifling confines of current discrimination-based models toward a more substantive vision of equality.","author":[{"dropping-particle":"","family":"Fineman","given":"Martha Albertson","non-dropping-particle":"","parse-names":false,"suffix":""}],"container-title":"Yale Journal of Law &amp; Feminism","id":"ITEM-1","issue":"1","issued":{"date-parts":[["2008"]]},"page":"1-23","title":"The vulnerable subject: Anchoring Equality in the human condition","type":"article-journal","volume":"20"},"uris":["http://www.mendeley.com/documents/?uuid=1f7897a0-330a-49d9-8024-cccf967dc0db"]},{"id":"ITEM-2","itemData":{"DOI":"10.1111/disa.12481","ISSN":"14677717","PMID":"33760259","abstract":"While social vulnerability in the face of disasters has received increasing academic attention, relatively little is known about the extent to which that knowledge is reflected in practice by institutions involved in disaster management. This study charts the practitioners’ approaches to disaster vulnerability in eight European countries: Belgium; Estonia; Finland; Germany; Hungary; Italy; Norway; and Sweden. It draws on a comparative document analysis and 95 interviews with disaster managers and reveals significant differences across countries in terms of the ontology of vulnerability, its sources, reduction strategies, and the allocation of related duties. To advance the debate and provide conceptual clarity, we put forward a heuristic model to facilitate different understandings of vulnerability along the dimensions of human agency and technological structures as well as social support through private relations and state actors. This could guide risk analysis of and planning for major hazards and could be adapted further to particular types of disasters.","author":[{"dropping-particle":"","family":"Orru","given":"Kati","non-dropping-particle":"","parse-names":false,"suffix":""},{"dropping-particle":"","family":"Hansson","given":"Sten","non-dropping-particle":"","parse-names":false,"suffix":""},{"dropping-particle":"","family":"Gabel","given":"Friedrich","non-dropping-particle":"","parse-names":false,"suffix":""},{"dropping-particle":"","family":"Tammpuu","given":"Piia","non-dropping-particle":"","parse-names":false,"suffix":""},{"dropping-particle":"","family":"Krüger","given":"Marco","non-dropping-particle":"","parse-names":false,"suffix":""},{"dropping-particle":"","family":"Savadori","given":"Lucia","non-dropping-particle":"","parse-names":false,"suffix":""},{"dropping-particle":"","family":"Meyer","given":"Sunniva Frislid","non-dropping-particle":"","parse-names":false,"suffix":""},{"dropping-particle":"","family":"Torpan","given":"Sten","non-dropping-particle":"","parse-names":false,"suffix":""},{"dropping-particle":"","family":"Jukarainen","given":"Pirjo","non-dropping-particle":"","parse-names":false,"suffix":""},{"dropping-particle":"","family":"Schieffelers","given":"Abriel","non-dropping-particle":"","parse-names":false,"suffix":""},{"dropping-particle":"","family":"Lovasz","given":"Gabriella","non-dropping-particle":"","parse-names":false,"suffix":""},{"dropping-particle":"","family":"Rhinard","given":"Mark","non-dropping-particle":"","parse-names":false,"suffix":""}],"container-title":"Disasters","id":"ITEM-2","issue":"3","issued":{"date-parts":[["2022"]]},"page":"742-767","title":"Approaches to ‘vulnerability’ in eight European disaster management systems","type":"article-journal","volume":"46"},"uris":["http://www.mendeley.com/documents/?uuid=4a100afe-8fc2-485b-97f9-cd7bfb391421"]}],"mendeley":{"formattedCitation":"(Orru et al., 2022; Fineman, 2008)","plainTextFormattedCitation":"(Orru et al., 2022; Fineman, 2008)","previouslyFormattedCitation":"(Orru et al., 2022; Fineman, 2008)"},"properties":{"noteIndex":0},"schema":"https://github.com/citation-style-language/schema/raw/master/csl-citation.json"}</w:instrText>
      </w:r>
      <w:r>
        <w:rPr>
          <w:rFonts w:cs="Calibri"/>
        </w:rPr>
        <w:fldChar w:fldCharType="separate"/>
      </w:r>
      <w:r>
        <w:rPr>
          <w:rFonts w:cs="Calibri"/>
          <w:noProof/>
        </w:rPr>
        <w:t>(Orru et al., 2022; Fineman, 2008)</w:t>
      </w:r>
      <w:r>
        <w:rPr>
          <w:rFonts w:cs="Calibri"/>
        </w:rPr>
        <w:fldChar w:fldCharType="end"/>
      </w:r>
      <w:r>
        <w:rPr>
          <w:rFonts w:cs="Calibri"/>
        </w:rPr>
        <w:t xml:space="preserve">. </w:t>
      </w:r>
    </w:p>
    <w:p w14:paraId="63E4140E" w14:textId="77777777" w:rsidR="00787F73" w:rsidRDefault="00787F73" w:rsidP="00866155">
      <w:pPr>
        <w:rPr>
          <w:rFonts w:cs="Calibri"/>
        </w:rPr>
      </w:pPr>
    </w:p>
    <w:p w14:paraId="3FE238CC" w14:textId="57861921" w:rsidR="00787F73" w:rsidRDefault="00C84401" w:rsidP="00866155">
      <w:r>
        <w:rPr>
          <w:rFonts w:cs="Calibri"/>
        </w:rPr>
        <w:t>While</w:t>
      </w:r>
      <w:r w:rsidR="00742FB7">
        <w:rPr>
          <w:rFonts w:cs="Calibri"/>
        </w:rPr>
        <w:t xml:space="preserve"> disasters are often referred to as either natural or man-made, there is a growing critique of this approach, suggesting that not only are disasters not </w:t>
      </w:r>
      <w:r w:rsidR="00742FB7">
        <w:rPr>
          <w:rFonts w:cs="Calibri"/>
          <w:i/>
          <w:iCs/>
        </w:rPr>
        <w:t>natural</w:t>
      </w:r>
      <w:r w:rsidR="00742FB7">
        <w:rPr>
          <w:rFonts w:cs="Calibri"/>
        </w:rPr>
        <w:t xml:space="preserve">, </w:t>
      </w:r>
      <w:r w:rsidR="00B50327">
        <w:rPr>
          <w:rFonts w:cs="Calibri"/>
        </w:rPr>
        <w:t xml:space="preserve">they are </w:t>
      </w:r>
      <w:r w:rsidR="00742FB7">
        <w:rPr>
          <w:rFonts w:cs="Calibri"/>
        </w:rPr>
        <w:t xml:space="preserve">also preventable </w:t>
      </w:r>
      <w:r w:rsidR="00742FB7">
        <w:fldChar w:fldCharType="begin" w:fldLock="1"/>
      </w:r>
      <w:r w:rsidR="00742FB7">
        <w:rPr>
          <w:rFonts w:cs="Calibri"/>
        </w:rPr>
        <w:instrText>ADDIN CSL_CITATION {"citationItems":[{"id":"ITEM-1","itemData":{"ISBN":"9780333227794","author":[{"dropping-particle":"","family":"Puttick","given":"Steve","non-dropping-particle":"","parse-names":false,"suffix":""},{"dropping-particle":"","family":"Bosher","given":"Lee","non-dropping-particle":"","parse-names":false,"suffix":""},{"dropping-particle":"","family":"Chmutina","given":"Ksenia","non-dropping-particle":"","parse-names":false,"suffix":""}],"container-title":"Teaching Geography","id":"ITEM-1","issue":"3","issued":{"date-parts":[["2018"]]},"page":"118-120","title":"Disasters are not natural","type":"article-journal","volume":"43"},"uris":["http://www.mendeley.com/documents/?uuid=cf7ae520-57f1-41ac-88d5-86dff0153ff1"]}],"mendeley":{"formattedCitation":"(Puttick, Bosher, &amp; Chmutina, 2018)","plainTextFormattedCitation":"(Puttick, Bosher, &amp; Chmutina, 2018)","previouslyFormattedCitation":"(Puttick, Bosher, &amp; Chmutina, 2018)"},"properties":{"noteIndex":0},"schema":"https://github.com/citation-style-language/schema/raw/master/csl-citation.json"}</w:instrText>
      </w:r>
      <w:r w:rsidR="00742FB7">
        <w:rPr>
          <w:rFonts w:cs="Calibri"/>
        </w:rPr>
        <w:fldChar w:fldCharType="separate"/>
      </w:r>
      <w:r w:rsidR="00742FB7">
        <w:rPr>
          <w:rFonts w:cs="Calibri"/>
          <w:noProof/>
        </w:rPr>
        <w:t>(Puttick, Bosher, &amp; Chmutina, 2018)</w:t>
      </w:r>
      <w:r w:rsidR="00742FB7">
        <w:rPr>
          <w:rFonts w:cs="Calibri"/>
        </w:rPr>
        <w:fldChar w:fldCharType="end"/>
      </w:r>
      <w:r w:rsidR="00B50327">
        <w:rPr>
          <w:rFonts w:cs="Calibri"/>
        </w:rPr>
        <w:t>. It is suggested that</w:t>
      </w:r>
      <w:r w:rsidR="00742FB7">
        <w:rPr>
          <w:rFonts w:cs="Calibri"/>
        </w:rPr>
        <w:t xml:space="preserve"> it is the interaction between hazards and populations that create disasters, due to the vulnerability of the community </w:t>
      </w:r>
      <w:r w:rsidR="00742FB7">
        <w:fldChar w:fldCharType="begin" w:fldLock="1"/>
      </w:r>
      <w:r w:rsidR="00974B75">
        <w:rPr>
          <w:rFonts w:cs="Calibri"/>
        </w:rPr>
        <w:instrText>ADDIN CSL_CITATION {"citationItems":[{"id":"ITEM-1","itemData":{"author":[{"dropping-particle":"","family":"Demeritt","given":"David","non-dropping-particle":"","parse-names":false,"suffix":""}],"container-title":"Progress in Human Geography","id":"ITEM-1","issue":"6","issued":{"date-parts":[["2002"]]},"page":"767-790","title":"What is the `social construction of nature? A typology and sympathetic critique","type":"article-journal","volume":"26"},"uris":["http://www.mendeley.com/documents/?uuid=426453fe-6225-4de7-a3c1-96891a7070ff"]},{"id":"ITEM-2","itemData":{"DOI":"10.1108/09653560810887275","ISBN":"0471949930","ISSN":"0965-3562","PMID":"14616063","abstract":"The main concept by which the 'social causation' is explained is 'vulnerability', which is a measure of the degree and type of exposures to risks generated by different societies in relation to hazards. This approach can be termed as 'vulnerability analysis'.","author":[{"dropping-particle":"","family":"Cannon","given":"Terry","non-dropping-particle":"","parse-names":false,"suffix":""}],"chapter-number":"2","container-title":"Disasters, Development and Environment","editor":[{"dropping-particle":"","family":"Varley","given":"Ann","non-dropping-particle":"","parse-names":false,"suffix":""}],"id":"ITEM-2","issued":{"date-parts":[["1994"]]},"page":"13-30","publisher":"John Wiley &amp; Sons Ltd","title":"Vulnerability Analysis and the Explanation of 'Natural' Disasters","type":"chapter"},"uris":["http://www.mendeley.com/documents/?uuid=af2da17b-67b6-4ce1-96d0-11ea439137c5"]},{"id":"ITEM-3","itemData":{"DOI":"10.3763/ehaz.1999.0105","ISSN":"18780059","abstract":"A disaster is widely perceived as an event that is beyond human control; the capricious hand of fate moves against unsuspecting communities creating massive destruction and prompting victims to call for divine support as well as earthly assistance. Surely these people would have acted differently had the risks been known and now they must depend on others for humanitarian aid with which to rebuild their shattered communities.","author":[{"dropping-particle":"","family":"Comfort","given":"L.","non-dropping-particle":"","parse-names":false,"suffix":""},{"dropping-particle":"","family":"Wisner","given":"B.","non-dropping-particle":"","parse-names":false,"suffix":""},{"dropping-particle":"","family":"Cutter","given":"S.","non-dropping-particle":"","parse-names":false,"suffix":""},{"dropping-particle":"","family":"Pulwarty","given":"R.","non-dropping-particle":"","parse-names":false,"suffix":""},{"dropping-particle":"","family":"Hewitt","given":"K.","non-dropping-particle":"","parse-names":false,"suffix":""},{"dropping-particle":"","family":"Oliver-Smith","given":"A.","non-dropping-particle":"","parse-names":false,"suffix":""},{"dropping-particle":"","family":"Wiener","given":"J.","non-dropping-particle":"","parse-names":false,"suffix":""},{"dropping-particle":"","family":"Fordham","given":"M.","non-dropping-particle":"","parse-names":false,"suffix":""},{"dropping-particle":"","family":"Peacock","given":"W.","non-dropping-particle":"","parse-names":false,"suffix":""},{"dropping-particle":"","family":"Krimgold","given":"F.","non-dropping-particle":"","parse-names":false,"suffix":""}],"container-title":"Global Environmental Change Part B: Environmental Hazards","id":"ITEM-3","issue":"1","issued":{"date-parts":[["1999"]]},"page":"39-44","title":"Reframing disaster policy: The global evolution of vulnerable communities","type":"article-journal","volume":"1"},"uris":["http://www.mendeley.com/documents/?uuid=ef487eba-33ca-47fb-8984-5d690fecc16e"]}],"mendeley":{"formattedCitation":"(Demeritt, 2002; Comfort et al., 1999; Cannon, 1994)","plainTextFormattedCitation":"(Demeritt, 2002; Comfort et al., 1999; Cannon, 1994)","previouslyFormattedCitation":"(Demeritt, 2002; Comfort et al., 1999; Cannon, 1994)"},"properties":{"noteIndex":0},"schema":"https://github.com/citation-style-language/schema/raw/master/csl-citation.json"}</w:instrText>
      </w:r>
      <w:r w:rsidR="00742FB7">
        <w:rPr>
          <w:rFonts w:cs="Calibri"/>
        </w:rPr>
        <w:fldChar w:fldCharType="separate"/>
      </w:r>
      <w:r w:rsidR="00742FB7">
        <w:rPr>
          <w:rFonts w:cs="Calibri"/>
          <w:noProof/>
        </w:rPr>
        <w:t>(Demeritt, 2002; Comfort et al., 1999; Cannon, 1994)</w:t>
      </w:r>
      <w:r w:rsidR="00742FB7">
        <w:rPr>
          <w:rFonts w:cs="Calibri"/>
        </w:rPr>
        <w:fldChar w:fldCharType="end"/>
      </w:r>
      <w:r w:rsidR="00742FB7">
        <w:rPr>
          <w:rFonts w:cs="Calibri"/>
        </w:rPr>
        <w:t xml:space="preserve">. This indicates that it is not the event which causes the disaster, but the inherent vulnerability of the community, and the socio-economic conditions which led the community to be vulnerable, such as a reduction in social policies and funding </w:t>
      </w:r>
      <w:r w:rsidR="00742FB7">
        <w:fldChar w:fldCharType="begin" w:fldLock="1"/>
      </w:r>
      <w:bookmarkStart w:id="331" w:name="_Hlk150704712"/>
      <w:r w:rsidR="00974B75">
        <w:rPr>
          <w:rFonts w:cs="Calibri"/>
        </w:rPr>
        <w:instrText>ADDIN CSL_CITATION {"citationItems":[{"id":"ITEM-1","itemData":{"author":[{"dropping-particle":"","family":"Demeritt","given":"David","non-dropping-particle":"","parse-names":false,"suffix":""}],"container-title":"Progress in Human Geography","id":"ITEM-1","issue":"6","issued":{"date-parts":[["2002"]]},"page":"767-790","title":"What is the `social construction of nature? A typology and sympathetic critique","type":"article-journal","volume":"26"},"uris":["http://www.mendeley.com/documents/?uuid=426453fe-6225-4de7-a3c1-96891a7070ff"]},{"id":"ITEM-2","itemData":{"DOI":"10.1108/09653560810887275","ISBN":"0471949930","ISSN":"0965-3562","PMID":"14616063","abstract":"The main concept by which the 'social causation' is explained is 'vulnerability', which is a measure of the degree and type of exposures to risks generated by different societies in relation to hazards. This approach can be termed as 'vulnerability analysis'.","author":[{"dropping-particle":"","family":"Cannon","given":"Terry","non-dropping-particle":"","parse-names":false,"suffix":""}],"chapter-number":"2","container-title":"Disasters, Development and Environment","editor":[{"dropping-particle":"","family":"Varley","given":"Ann","non-dropping-particle":"","parse-names":false,"suffix":""}],"id":"ITEM-2","issued":{"date-parts":[["1994"]]},"page":"13-30","publisher":"John Wiley &amp; Sons Ltd","title":"Vulnerability Analysis and the Explanation of 'Natural' Disasters","type":"chapter"},"uris":["http://www.mendeley.com/documents/?uuid=af2da17b-67b6-4ce1-96d0-11ea439137c5"]},{"id":"ITEM-3","itemData":{"DOI":"10.3763/ehaz.1999.0105","ISSN":"18780059","abstract":"A disaster is widely perceived as an event that is beyond human control; the capricious hand of fate moves against unsuspecting communities creating massive destruction and prompting victims to call for divine support as well as earthly assistance. Surely these people would have acted differently had the risks been known and now they must depend on others for humanitarian aid with which to rebuild their shattered communities.","author":[{"dropping-particle":"","family":"Comfort","given":"L.","non-dropping-particle":"","parse-names":false,"suffix":""},{"dropping-particle":"","family":"Wisner","given":"B.","non-dropping-particle":"","parse-names":false,"suffix":""},{"dropping-particle":"","family":"Cutter","given":"S.","non-dropping-particle":"","parse-names":false,"suffix":""},{"dropping-particle":"","family":"Pulwarty","given":"R.","non-dropping-particle":"","parse-names":false,"suffix":""},{"dropping-particle":"","family":"Hewitt","given":"K.","non-dropping-particle":"","parse-names":false,"suffix":""},{"dropping-particle":"","family":"Oliver-Smith","given":"A.","non-dropping-particle":"","parse-names":false,"suffix":""},{"dropping-particle":"","family":"Wiener","given":"J.","non-dropping-particle":"","parse-names":false,"suffix":""},{"dropping-particle":"","family":"Fordham","given":"M.","non-dropping-particle":"","parse-names":false,"suffix":""},{"dropping-particle":"","family":"Peacock","given":"W.","non-dropping-particle":"","parse-names":false,"suffix":""},{"dropping-particle":"","family":"Krimgold","given":"F.","non-dropping-particle":"","parse-names":false,"suffix":""}],"container-title":"Global Environmental Change Part B: Environmental Hazards","id":"ITEM-3","issue":"1","issued":{"date-parts":[["1999"]]},"page":"39-44","title":"Reframing disaster policy: The global evolution of vulnerable communities","type":"article-journal","volume":"1"},"uris":["http://www.mendeley.com/documents/?uuid=ef487eba-33ca-47fb-8984-5d690fecc16e"]},{"id":"ITEM-4","itemData":{"DOI":"10.1016/j.scs.2021.103577","ISSN":"22106707","abstract":"The use of social media platforms such as Twitter significantly increases during natural hazards. With the emergence of several social media platforms over the past decade, many studies have investigated the applications of these platforms during calamities. This study presents a comprehensive spatiotemporal analysis of textual content from millions of tweets shared on Twitter during Hurricane Harvey (2017) across several affected counties in southeast Texas. We propose a new Hazard Risk Awareness (HRA) Index, which considers multiple factors, including the number of tweets, population, internet use rate, and natural hazard characteristics per geographic location. We then map the HRA Index across southeast Texas. Utilizing a dataset of 18 million tweets, we employ Natural Language Processing (NLP) along with a set of statistical techniques to perform analysis on the textual data generated by Twitter users during Hurricane Harvey. This enables us to subdivide the tweet contents into several categories per county that would inform crisis management during the event. In all, our study provides valuable information at the county level before, during, and after Harvey that could significantly help disaster managers and responders to minimize the consequences of the event and improve the preparedness of the residents for it. Since HRA is derived based on the meteorological observations and some demographic information, depending on the availability of such dataset and the nature of the hazard (i.e., flood, wildfire, hurricane, and earthquake), this index can be calculated and employed for assessing the risk awareness of a community exposed to either of these natural hazards.","author":[{"dropping-particle":"","family":"Karimiziarani","given":"Mohammadsepehr","non-dropping-particle":"","parse-names":false,"suffix":""},{"dropping-particle":"","family":"Jafarzadegan","given":"Keighobad","non-dropping-particle":"","parse-names":false,"suffix":""},{"dropping-particle":"","family":"Abbaszadeh","given":"Peyman","non-dropping-particle":"","parse-names":false,"suffix":""},{"dropping-particle":"","family":"Shao","given":"Wanyun","non-dropping-particle":"","parse-names":false,"suffix":""},{"dropping-particle":"","family":"Moradkhani","given":"Hamid","non-dropping-particle":"","parse-names":false,"suffix":""}],"container-title":"Sustainable Cities and Society","id":"ITEM-4","issued":{"date-parts":[["2022"]]},"page":"1 - 11","title":"Hazard risk awareness and disaster management: Extracting the information content of twitter data","type":"article-journal","volume":"77"},"uris":["http://www.mendeley.com/documents/?uuid=0ff52b10-5251-4279-bf6e-c55c0e18363a"]}],"mendeley":{"formattedCitation":"(Karimiziarani et al., 2022; Demeritt, 2002; Comfort et al., 1999; Cannon, 1994)","plainTextFormattedCitation":"(Karimiziarani et al., 2022; Demeritt, 2002; Comfort et al., 1999; Cannon, 1994)","previouslyFormattedCitation":"(Karimiziarani et al., 2022; Demeritt, 2002; Comfort et al., 1999; Cannon, 1994)"},"properties":{"noteIndex":0},"schema":"https://github.com/citation-style-language/schema/raw/master/csl-citation.json"}</w:instrText>
      </w:r>
      <w:r w:rsidR="00742FB7">
        <w:rPr>
          <w:rFonts w:cs="Calibri"/>
        </w:rPr>
        <w:fldChar w:fldCharType="separate"/>
      </w:r>
      <w:r w:rsidR="00742FB7">
        <w:rPr>
          <w:rFonts w:cs="Calibri"/>
          <w:noProof/>
        </w:rPr>
        <w:t>(Karimiziarani et al., 2022; Demeritt, 2002; Comfort et al., 1999; Cannon, 1994)</w:t>
      </w:r>
      <w:r w:rsidR="00742FB7">
        <w:rPr>
          <w:rFonts w:cs="Calibri"/>
        </w:rPr>
        <w:fldChar w:fldCharType="end"/>
      </w:r>
      <w:bookmarkEnd w:id="331"/>
      <w:r w:rsidR="00742FB7">
        <w:rPr>
          <w:rFonts w:cs="Calibri"/>
        </w:rPr>
        <w:t xml:space="preserve">. </w:t>
      </w:r>
      <w:r w:rsidR="00B50327">
        <w:rPr>
          <w:rFonts w:cs="Calibri"/>
        </w:rPr>
        <w:t>For this reason</w:t>
      </w:r>
      <w:r w:rsidR="00A2112F">
        <w:rPr>
          <w:rFonts w:cs="Calibri"/>
        </w:rPr>
        <w:t>,</w:t>
      </w:r>
      <w:r w:rsidR="00B50327">
        <w:rPr>
          <w:rFonts w:cs="Calibri"/>
        </w:rPr>
        <w:t xml:space="preserve"> this thesis chose to work with community groups in South Yorkshire with the aim to understand how they viewed their own vulnerability to disasters and risk. This is examined in Chapter 6</w:t>
      </w:r>
      <w:r w:rsidR="001B677D">
        <w:rPr>
          <w:rFonts w:cs="Calibri"/>
        </w:rPr>
        <w:t>,</w:t>
      </w:r>
      <w:r w:rsidR="00B50327">
        <w:rPr>
          <w:rFonts w:cs="Calibri"/>
        </w:rPr>
        <w:t xml:space="preserve"> which explores the impact of socio-economic conditions on the ability to build and develop resilience.  </w:t>
      </w:r>
    </w:p>
    <w:p w14:paraId="61B1FD39" w14:textId="7692F4F6" w:rsidR="00787F73" w:rsidRDefault="00742FB7" w:rsidP="00866155">
      <w:pPr>
        <w:rPr>
          <w:rFonts w:cs="Calibri"/>
        </w:rPr>
      </w:pPr>
      <w:r>
        <w:rPr>
          <w:rFonts w:cs="Calibri"/>
        </w:rPr>
        <w:lastRenderedPageBreak/>
        <w:t xml:space="preserve">If vulnerability is linked to socio-economic conditions, this then begs the question who is responsible for alleviating the perceived vulnerability of the community </w:t>
      </w:r>
      <w:r>
        <w:fldChar w:fldCharType="begin" w:fldLock="1"/>
      </w:r>
      <w:r>
        <w:rPr>
          <w:rFonts w:cs="Calibri"/>
        </w:rPr>
        <w:instrText>ADDIN CSL_CITATION {"citationItems":[{"id":"ITEM-1","itemData":{"DOI":"10.1111/disa.12481","ISSN":"14677717","PMID":"33760259","abstract":"While social vulnerability in the face of disasters has received increasing academic attention, relatively little is known about the extent to which that knowledge is reflected in practice by institutions involved in disaster management. This study charts the practitioners’ approaches to disaster vulnerability in eight European countries: Belgium; Estonia; Finland; Germany; Hungary; Italy; Norway; and Sweden. It draws on a comparative document analysis and 95 interviews with disaster managers and reveals significant differences across countries in terms of the ontology of vulnerability, its sources, reduction strategies, and the allocation of related duties. To advance the debate and provide conceptual clarity, we put forward a heuristic model to facilitate different understandings of vulnerability along the dimensions of human agency and technological structures as well as social support through private relations and state actors. This could guide risk analysis of and planning for major hazards and could be adapted further to particular types of disasters.","author":[{"dropping-particle":"","family":"Orru","given":"Kati","non-dropping-particle":"","parse-names":false,"suffix":""},{"dropping-particle":"","family":"Hansson","given":"Sten","non-dropping-particle":"","parse-names":false,"suffix":""},{"dropping-particle":"","family":"Gabel","given":"Friedrich","non-dropping-particle":"","parse-names":false,"suffix":""},{"dropping-particle":"","family":"Tammpuu","given":"Piia","non-dropping-particle":"","parse-names":false,"suffix":""},{"dropping-particle":"","family":"Krüger","given":"Marco","non-dropping-particle":"","parse-names":false,"suffix":""},{"dropping-particle":"","family":"Savadori","given":"Lucia","non-dropping-particle":"","parse-names":false,"suffix":""},{"dropping-particle":"","family":"Meyer","given":"Sunniva Frislid","non-dropping-particle":"","parse-names":false,"suffix":""},{"dropping-particle":"","family":"Torpan","given":"Sten","non-dropping-particle":"","parse-names":false,"suffix":""},{"dropping-particle":"","family":"Jukarainen","given":"Pirjo","non-dropping-particle":"","parse-names":false,"suffix":""},{"dropping-particle":"","family":"Schieffelers","given":"Abriel","non-dropping-particle":"","parse-names":false,"suffix":""},{"dropping-particle":"","family":"Lovasz","given":"Gabriella","non-dropping-particle":"","parse-names":false,"suffix":""},{"dropping-particle":"","family":"Rhinard","given":"Mark","non-dropping-particle":"","parse-names":false,"suffix":""}],"container-title":"Disasters","id":"ITEM-1","issue":"3","issued":{"date-parts":[["2022"]]},"page":"742-767","title":"Approaches to ‘vulnerability’ in eight European disaster management systems","type":"article-journal","volume":"46"},"uris":["http://www.mendeley.com/documents/?uuid=4a100afe-8fc2-485b-97f9-cd7bfb391421"]}],"mendeley":{"formattedCitation":"(Orru et al., 2022)","plainTextFormattedCitation":"(Orru et al., 2022)","previouslyFormattedCitation":"(Orru et al., 2022)"},"properties":{"noteIndex":0},"schema":"https://github.com/citation-style-language/schema/raw/master/csl-citation.json"}</w:instrText>
      </w:r>
      <w:r>
        <w:rPr>
          <w:rFonts w:cs="Calibri"/>
        </w:rPr>
        <w:fldChar w:fldCharType="separate"/>
      </w:r>
      <w:r>
        <w:rPr>
          <w:rFonts w:cs="Calibri"/>
          <w:noProof/>
        </w:rPr>
        <w:t>(Orru et al., 2022)</w:t>
      </w:r>
      <w:r>
        <w:rPr>
          <w:rFonts w:cs="Calibri"/>
        </w:rPr>
        <w:fldChar w:fldCharType="end"/>
      </w:r>
      <w:r>
        <w:rPr>
          <w:rFonts w:cs="Calibri"/>
        </w:rPr>
        <w:t xml:space="preserve">. The responsibility of increasing resilience is often placed on organisations working within disaster management; however, if vulnerability is intrinsically linked to socio-economic conditions this makes it challenging if not impossible for one disaster management organisation to meet this goal of increasing resilience. Disaster management organisations do not have the institutional agency or access to be solving national institutional frameworks which limit people from certain socio-economic conditions, such as living with a disability or being an older adult. This again links to the theme of neoliberalism within the UK (discussed in greater depth in section 2.6.2), with a withdrawal of responsibility for risk, and the vulnerability of the communities </w:t>
      </w:r>
      <w:r>
        <w:fldChar w:fldCharType="begin" w:fldLock="1"/>
      </w:r>
      <w:r>
        <w:rPr>
          <w:rFonts w:cs="Calibri"/>
        </w:rPr>
        <w:instrText>ADDIN CSL_CITATION {"citationItems":[{"id":"ITEM-1","itemData":{"DOI":"10.1111/disa.12481","ISSN":"14677717","PMID":"33760259","abstract":"While social vulnerability in the face of disasters has received increasing academic attention, relatively little is known about the extent to which that knowledge is reflected in practice by institutions involved in disaster management. This study charts the practitioners’ approaches to disaster vulnerability in eight European countries: Belgium; Estonia; Finland; Germany; Hungary; Italy; Norway; and Sweden. It draws on a comparative document analysis and 95 interviews with disaster managers and reveals significant differences across countries in terms of the ontology of vulnerability, its sources, reduction strategies, and the allocation of related duties. To advance the debate and provide conceptual clarity, we put forward a heuristic model to facilitate different understandings of vulnerability along the dimensions of human agency and technological structures as well as social support through private relations and state actors. This could guide risk analysis of and planning for major hazards and could be adapted further to particular types of disasters.","author":[{"dropping-particle":"","family":"Orru","given":"Kati","non-dropping-particle":"","parse-names":false,"suffix":""},{"dropping-particle":"","family":"Hansson","given":"Sten","non-dropping-particle":"","parse-names":false,"suffix":""},{"dropping-particle":"","family":"Gabel","given":"Friedrich","non-dropping-particle":"","parse-names":false,"suffix":""},{"dropping-particle":"","family":"Tammpuu","given":"Piia","non-dropping-particle":"","parse-names":false,"suffix":""},{"dropping-particle":"","family":"Krüger","given":"Marco","non-dropping-particle":"","parse-names":false,"suffix":""},{"dropping-particle":"","family":"Savadori","given":"Lucia","non-dropping-particle":"","parse-names":false,"suffix":""},{"dropping-particle":"","family":"Meyer","given":"Sunniva Frislid","non-dropping-particle":"","parse-names":false,"suffix":""},{"dropping-particle":"","family":"Torpan","given":"Sten","non-dropping-particle":"","parse-names":false,"suffix":""},{"dropping-particle":"","family":"Jukarainen","given":"Pirjo","non-dropping-particle":"","parse-names":false,"suffix":""},{"dropping-particle":"","family":"Schieffelers","given":"Abriel","non-dropping-particle":"","parse-names":false,"suffix":""},{"dropping-particle":"","family":"Lovasz","given":"Gabriella","non-dropping-particle":"","parse-names":false,"suffix":""},{"dropping-particle":"","family":"Rhinard","given":"Mark","non-dropping-particle":"","parse-names":false,"suffix":""}],"container-title":"Disasters","id":"ITEM-1","issue":"3","issued":{"date-parts":[["2022"]]},"page":"742-767","title":"Approaches to ‘vulnerability’ in eight European disaster management systems","type":"article-journal","volume":"46"},"uris":["http://www.mendeley.com/documents/?uuid=4a100afe-8fc2-485b-97f9-cd7bfb391421"]},{"id":"ITEM-2","itemData":{"DOI":"10.1016/j.ijdrr.2021.102440","ISSN":"22124209","abstract":"Extreme climate events and related disasters are increasing both in frequency and intensity. Resulting impacts materialize in the form of devastating bushfires, flooding, hurricanes, and cyclones and bring with them the tragic loss of life and substantial loss and damage to phenomena of value. Disaster management plays a central role in attempting to minimize and manage these impacts, and many government institutions posit that shared responsibility with citizens is the most effective approach to achieve this. However, some scholarship contends that shared approaches preference responsibility too far towards citizens and too far away from government institutions and are ineffective in lessening and managing such impacts. Here, we analyze governmental inquiries and actions undertaken regarding three past catastrophic disasters—2005 Hurricane Katrina (USA), the 2009 Victorian Bushfires (Australia), and the 2011 Queensland Floods (Australia). We assess, across these inquiries, 'what went wrong', 'what was working', and 'what needs fixing' with shared responsibility in disaster management. Our results indicate pervasive ineffectiveness in leadership, governance, trust, and resilience. We discuss how neoliberal influence contributes towards this ineffectiveness and suggest how this influence can be actively contested. We conclude by advocating for a reinstated social contract that inserts citizen rights and justice into disaster management policy making concomitant with the redistribution of public and third sector resources administered through inclusive governance frameworks. Such a social contract affords citizens greater opportunity to exercise agency whilst maximizing institutional support before, during, and after a disaster to provide greater protection and reduce harm.","author":[{"dropping-particle":"","family":"Crosweller","given":"Mark","non-dropping-particle":"","parse-names":false,"suffix":""},{"dropping-particle":"","family":"Tschakert","given":"Petra","non-dropping-particle":"","parse-names":false,"suffix":""}],"container-title":"International Journal of Disaster Risk Reduction","id":"ITEM-2","issued":{"date-parts":[["2021"]]},"page":"1-13","publisher":"Elsevier Ltd","title":"Disaster management and the need for a reinstated social contract of shared responsibility","type":"article-journal","volume":"63"},"uris":["http://www.mendeley.com/documents/?uuid=4d44ea86-a25a-438c-a66f-510f5f82f76b"]}],"mendeley":{"formattedCitation":"(Orru et al., 2022; Crosweller &amp; Tschakert, 2021)","plainTextFormattedCitation":"(Orru et al., 2022; Crosweller &amp; Tschakert, 2021)","previouslyFormattedCitation":"(Orru et al., 2022; Crosweller &amp; Tschakert, 2021)"},"properties":{"noteIndex":0},"schema":"https://github.com/citation-style-language/schema/raw/master/csl-citation.json"}</w:instrText>
      </w:r>
      <w:r>
        <w:rPr>
          <w:rFonts w:cs="Calibri"/>
        </w:rPr>
        <w:fldChar w:fldCharType="separate"/>
      </w:r>
      <w:r>
        <w:rPr>
          <w:rFonts w:cs="Calibri"/>
          <w:noProof/>
        </w:rPr>
        <w:t>(Orru et al., 2022; Crosweller &amp; Tschakert, 2021)</w:t>
      </w:r>
      <w:r>
        <w:rPr>
          <w:rFonts w:cs="Calibri"/>
        </w:rPr>
        <w:fldChar w:fldCharType="end"/>
      </w:r>
      <w:r>
        <w:rPr>
          <w:rFonts w:cs="Calibri"/>
        </w:rPr>
        <w:t xml:space="preserve">. Therefore, </w:t>
      </w:r>
      <w:r w:rsidR="00A2112F">
        <w:rPr>
          <w:rFonts w:cs="Calibri"/>
        </w:rPr>
        <w:t>to</w:t>
      </w:r>
      <w:r>
        <w:rPr>
          <w:rFonts w:cs="Calibri"/>
        </w:rPr>
        <w:t xml:space="preserve"> develop community resilience, there needs to be a collaborative approach across all the sectors, both at the national level to tackle large scale challenges like climate change, </w:t>
      </w:r>
      <w:r w:rsidR="00A2112F">
        <w:rPr>
          <w:rFonts w:cs="Calibri"/>
        </w:rPr>
        <w:t>and</w:t>
      </w:r>
      <w:r>
        <w:rPr>
          <w:rFonts w:cs="Calibri"/>
        </w:rPr>
        <w:t xml:space="preserve"> smaller and more local groups similar to the Local Resilience Forums (LRF</w:t>
      </w:r>
      <w:r w:rsidR="00A2112F">
        <w:rPr>
          <w:rFonts w:cs="Calibri"/>
        </w:rPr>
        <w:t>.</w:t>
      </w:r>
      <w:r>
        <w:rPr>
          <w:rFonts w:cs="Calibri"/>
        </w:rPr>
        <w:t xml:space="preserve"> </w:t>
      </w:r>
      <w:r w:rsidR="00A2112F">
        <w:rPr>
          <w:rFonts w:cs="Calibri"/>
        </w:rPr>
        <w:t>I</w:t>
      </w:r>
      <w:r>
        <w:rPr>
          <w:rFonts w:cs="Calibri"/>
        </w:rPr>
        <w:t xml:space="preserve">nstead of a concentration on operational resilience, they would need to focus on </w:t>
      </w:r>
      <w:r>
        <w:rPr>
          <w:rFonts w:cs="Calibri"/>
          <w:i/>
          <w:iCs/>
        </w:rPr>
        <w:t>community</w:t>
      </w:r>
      <w:r>
        <w:rPr>
          <w:rFonts w:cs="Calibri"/>
        </w:rPr>
        <w:t xml:space="preserve"> </w:t>
      </w:r>
      <w:r w:rsidR="00A2112F">
        <w:rPr>
          <w:rFonts w:cs="Calibri"/>
        </w:rPr>
        <w:t>resilience and</w:t>
      </w:r>
      <w:r>
        <w:rPr>
          <w:rFonts w:cs="Calibri"/>
        </w:rPr>
        <w:t xml:space="preserve"> creating and developing local solutions to local challenges. There are studies of agencies working in this collaborative approach on a small scale, such as a project which examined a collaboration between the FRS and NHS in two boroughs of London, sharing their information from fall clinics and home safety visits with each other to help mitigate risk </w:t>
      </w:r>
      <w:r>
        <w:fldChar w:fldCharType="begin" w:fldLock="1"/>
      </w:r>
      <w:r w:rsidR="00974B75">
        <w:rPr>
          <w:rFonts w:cs="Calibri"/>
        </w:rPr>
        <w:instrText>ADDIN CSL_CITATION {"citationItems":[{"id":"ITEM-1","itemData":{"DOI":"10.1186/1472-6963-10-327","ISBN":"1472-6963","ISSN":"14726963","PMID":"21129185","abstract":"BACKGROUND: Older adults are at increased risk both of falling and of experiencing accidental domestic fire. In addition to advanced age, these adverse events share the risk factors of balance or mobility problems, cognitive impairment and socioeconomic deprivation. For both events, the consequences include significant injury and death, and considerable socioeconomic costs for the individual and informal carers, as well as for emergency services, health and social care agencies.Secondary prevention services for older people who have fallen or who are identifiable as being at high risk of falling include NHS Falls clinics, where a multidisciplinary team offers an individualised multifactorial targeted intervention including strength and balance exercise programmes, medication changes and home hazard modification. A similar preventative approach is employed by most Fire and Rescue Services who conduct Home Fire Safety Visits to assess and, if necessary, remedy domestic fire risk, fit free smoke alarms with instruction for use and maintenance, and plan an escape route. We propose that the similarity of population at risk, location, specific risk factors and the commonality of preventative approaches employed could offer net gains in terms of feasibility, effectiveness and acceptability if activities within these two preventative approaches were to be combined.\\n\\nMETHODS/DESIGN: This prospective proof of concept study, currently being conducted in two London boroughs, (Southwark and Lambeth) aims to reduce the incidence of both fires and falls in community-dwelling older adults. It comprises two concurrent 12-month interventions: the integration of 1) fall risk assessments into the Brigade's Home Fire Safety Visit and 2) fire risk assessments into Falls services by inviting older clinic attendees to book a Visit. Our primary objective is to examine the feasibility and effectiveness of these interventions. Furthermore, we are evaluating their acceptability and value to key stakeholders and services users.\\n\\nDISCUSSION: If our approach proves feasible and the risk assessment is both effective and acceptable, we envisage advocating a partnership model of working more broadly to fire and rescue services and health services in Britain, such that effective integration of preventative services for older people becomes routine for an ageing population.","author":[{"dropping-particle":"","family":"Lowton","given":"Karen","non-dropping-particle":"","parse-names":false,"suffix":""},{"dropping-particle":"","family":"Laybourne","given":"Anne H.","non-dropping-particle":"","parse-names":false,"suffix":""},{"dropping-particle":"","family":"Whiting","given":"David G.","non-dropping-particle":"","parse-names":false,"suffix":""},{"dropping-particle":"","family":"Martin","given":"Finbarr C.","non-dropping-particle":"","parse-names":false,"suffix":""}],"container-title":"BMC Health Services Research","id":"ITEM-1","issued":{"date-parts":[["2010"]]},"page":"327 - 336","publisher":"BioMed Central Ltd","title":"Can Fire and Rescue Services and the National Health Service work together to improve the safety and wellbeing of vulnerable older people? Design of a proof of concept study","type":"article-journal","volume":"10"},"uris":["http://www.mendeley.com/documents/?uuid=7df1ce4f-178c-400e-9b1c-c8ace50b2915"]}],"mendeley":{"formattedCitation":"(Lowton et al., 2010)","plainTextFormattedCitation":"(Lowton et al., 2010)","previouslyFormattedCitation":"(Lowton et al., 2010)"},"properties":{"noteIndex":0},"schema":"https://github.com/citation-style-language/schema/raw/master/csl-citation.json"}</w:instrText>
      </w:r>
      <w:r>
        <w:rPr>
          <w:rFonts w:cs="Calibri"/>
        </w:rPr>
        <w:fldChar w:fldCharType="separate"/>
      </w:r>
      <w:r>
        <w:rPr>
          <w:rFonts w:cs="Calibri"/>
          <w:noProof/>
        </w:rPr>
        <w:t>(Lowton et al., 2010)</w:t>
      </w:r>
      <w:r>
        <w:rPr>
          <w:rFonts w:cs="Calibri"/>
        </w:rPr>
        <w:fldChar w:fldCharType="end"/>
      </w:r>
      <w:r>
        <w:rPr>
          <w:rFonts w:cs="Calibri"/>
        </w:rPr>
        <w:t xml:space="preserve">. Examining these collaborations and testing a wider collaborative network would be an interesting avenue to research using a transdisciplinary approach. </w:t>
      </w:r>
    </w:p>
    <w:p w14:paraId="044C4B4D" w14:textId="77777777" w:rsidR="002D4E6D" w:rsidRDefault="002D4E6D" w:rsidP="00866155">
      <w:pPr>
        <w:rPr>
          <w:rFonts w:cs="Calibri"/>
        </w:rPr>
      </w:pPr>
    </w:p>
    <w:p w14:paraId="7DF18968" w14:textId="77777777" w:rsidR="002D4E6D" w:rsidRDefault="002D4E6D" w:rsidP="002D4E6D">
      <w:pPr>
        <w:pStyle w:val="Heading3"/>
      </w:pPr>
      <w:bookmarkStart w:id="332" w:name="_Toc193367195"/>
      <w:r>
        <w:rPr>
          <w:rFonts w:ascii="Calibri" w:hAnsi="Calibri" w:cs="Calibri"/>
        </w:rPr>
        <w:t>2.3.5: Disasters in South Yorkshire</w:t>
      </w:r>
      <w:bookmarkEnd w:id="332"/>
    </w:p>
    <w:p w14:paraId="36316314" w14:textId="77777777" w:rsidR="0044545D" w:rsidRDefault="002D4E6D" w:rsidP="00866155">
      <w:pPr>
        <w:rPr>
          <w:rFonts w:cs="Calibri"/>
        </w:rPr>
      </w:pPr>
      <w:r>
        <w:t xml:space="preserve">As mentioned in section </w:t>
      </w:r>
      <w:r>
        <w:rPr>
          <w:rFonts w:cs="Calibri"/>
        </w:rPr>
        <w:t>2.2.2, in the UK</w:t>
      </w:r>
      <w:r w:rsidR="00BB4AF2">
        <w:rPr>
          <w:rFonts w:cs="Calibri"/>
        </w:rPr>
        <w:t>,</w:t>
      </w:r>
      <w:r>
        <w:rPr>
          <w:rFonts w:cs="Calibri"/>
        </w:rPr>
        <w:t xml:space="preserve"> risk is assessed using the National Security Risk Assessment (NSRA). This assessment is then adapted for the public into the National Risk Register, which contains a range of disasters and incidents that are expected to happen. </w:t>
      </w:r>
      <w:r w:rsidR="0044545D">
        <w:rPr>
          <w:rFonts w:cs="Calibri"/>
        </w:rPr>
        <w:t>Under the NRR</w:t>
      </w:r>
      <w:r w:rsidR="00E6417D">
        <w:rPr>
          <w:rFonts w:cs="Calibri"/>
        </w:rPr>
        <w:t>,</w:t>
      </w:r>
      <w:r w:rsidR="0044545D">
        <w:rPr>
          <w:rFonts w:cs="Calibri"/>
        </w:rPr>
        <w:t xml:space="preserve"> there are a range of categories of risks including</w:t>
      </w:r>
      <w:r w:rsidR="00E6417D">
        <w:rPr>
          <w:rFonts w:cs="Calibri"/>
        </w:rPr>
        <w:t>:</w:t>
      </w:r>
      <w:r w:rsidR="0044545D">
        <w:rPr>
          <w:rFonts w:cs="Calibri"/>
        </w:rPr>
        <w:t xml:space="preserve"> terrorism</w:t>
      </w:r>
      <w:r w:rsidR="00E6417D">
        <w:rPr>
          <w:rFonts w:cs="Calibri"/>
        </w:rPr>
        <w:t>;</w:t>
      </w:r>
      <w:r w:rsidR="0044545D">
        <w:rPr>
          <w:rFonts w:cs="Calibri"/>
        </w:rPr>
        <w:t xml:space="preserve"> cyber</w:t>
      </w:r>
      <w:r w:rsidR="00E6417D">
        <w:rPr>
          <w:rFonts w:cs="Calibri"/>
        </w:rPr>
        <w:t>;</w:t>
      </w:r>
      <w:r w:rsidR="0044545D">
        <w:rPr>
          <w:rFonts w:cs="Calibri"/>
        </w:rPr>
        <w:t xml:space="preserve"> state threats</w:t>
      </w:r>
      <w:r w:rsidR="00E6417D">
        <w:rPr>
          <w:rFonts w:cs="Calibri"/>
        </w:rPr>
        <w:t>;</w:t>
      </w:r>
      <w:r w:rsidR="0044545D">
        <w:rPr>
          <w:rFonts w:cs="Calibri"/>
        </w:rPr>
        <w:t xml:space="preserve"> geographic and diplomatic risks</w:t>
      </w:r>
      <w:r w:rsidR="00E6417D">
        <w:rPr>
          <w:rFonts w:cs="Calibri"/>
        </w:rPr>
        <w:t>;</w:t>
      </w:r>
      <w:r w:rsidR="0044545D">
        <w:rPr>
          <w:rFonts w:cs="Calibri"/>
        </w:rPr>
        <w:t xml:space="preserve"> accidents and system failures</w:t>
      </w:r>
      <w:r w:rsidR="00E6417D">
        <w:rPr>
          <w:rFonts w:cs="Calibri"/>
        </w:rPr>
        <w:t>;</w:t>
      </w:r>
      <w:r w:rsidR="0044545D">
        <w:rPr>
          <w:rFonts w:cs="Calibri"/>
        </w:rPr>
        <w:t xml:space="preserve"> natural and environmental hazards</w:t>
      </w:r>
      <w:r w:rsidR="00E6417D">
        <w:rPr>
          <w:rFonts w:cs="Calibri"/>
        </w:rPr>
        <w:t>;</w:t>
      </w:r>
      <w:r w:rsidR="0044545D">
        <w:rPr>
          <w:rFonts w:cs="Calibri"/>
        </w:rPr>
        <w:t xml:space="preserve"> human</w:t>
      </w:r>
      <w:r w:rsidR="00E6417D">
        <w:rPr>
          <w:rFonts w:cs="Calibri"/>
        </w:rPr>
        <w:t>;</w:t>
      </w:r>
      <w:r w:rsidR="0044545D">
        <w:rPr>
          <w:rFonts w:cs="Calibri"/>
        </w:rPr>
        <w:t xml:space="preserve"> animal and plant health; societal; and conflict and instability </w:t>
      </w:r>
      <w:r w:rsidR="0044545D">
        <w:rPr>
          <w:rFonts w:cs="Calibri"/>
        </w:rPr>
        <w:fldChar w:fldCharType="begin" w:fldLock="1"/>
      </w:r>
      <w:r w:rsidR="008F6607">
        <w:rPr>
          <w:rFonts w:cs="Calibri"/>
        </w:rPr>
        <w:instrText>ADDIN CSL_CITATION {"citationItems":[{"id":"ITEM-1","itemData":{"ISBN":"289116/0708","abstract":"The National Risk Register sets out ‘our assessment of the likelihood and potential impact of a range of different risks that may directly affect the UK’ as promised in the National Security Strategy,1 published earlier this year. The publication of information on these risks, previously held confidentially within government, is intended to encourage public debate on security and help organisations, individuals, families and communities, who want to do so, to prepare for emergencies.","author":[{"dropping-particle":"","family":"Cabinet Office","given":"","non-dropping-particle":"","parse-names":false,"suffix":""}],"id":"ITEM-1","issued":{"date-parts":[["2023"]]},"page":"1-52","title":"National Risk Register","type":"article-journal"},"uris":["http://www.mendeley.com/documents/?uuid=bfdd9aa0-68d9-4271-a6a4-723bf17fcbad"]}],"mendeley":{"formattedCitation":"(Cabinet Office, 2023)","plainTextFormattedCitation":"(Cabinet Office, 2023)","previouslyFormattedCitation":"(Cabinet Office, 2023)"},"properties":{"noteIndex":0},"schema":"https://github.com/citation-style-language/schema/raw/master/csl-citation.json"}</w:instrText>
      </w:r>
      <w:r w:rsidR="0044545D">
        <w:rPr>
          <w:rFonts w:cs="Calibri"/>
        </w:rPr>
        <w:fldChar w:fldCharType="separate"/>
      </w:r>
      <w:r w:rsidR="0044545D" w:rsidRPr="0044545D">
        <w:rPr>
          <w:rFonts w:cs="Calibri"/>
          <w:noProof/>
        </w:rPr>
        <w:t>(Cabinet Office, 2023)</w:t>
      </w:r>
      <w:r w:rsidR="0044545D">
        <w:rPr>
          <w:rFonts w:cs="Calibri"/>
        </w:rPr>
        <w:fldChar w:fldCharType="end"/>
      </w:r>
      <w:r w:rsidR="0044545D">
        <w:rPr>
          <w:rFonts w:cs="Calibri"/>
        </w:rPr>
        <w:t>,</w:t>
      </w:r>
    </w:p>
    <w:p w14:paraId="267C94CC" w14:textId="58612BCC" w:rsidR="002D4E6D" w:rsidRDefault="002D4E6D" w:rsidP="00866155">
      <w:r>
        <w:rPr>
          <w:rFonts w:cs="Calibri"/>
        </w:rPr>
        <w:lastRenderedPageBreak/>
        <w:t>Under the CCA (2004),</w:t>
      </w:r>
      <w:r w:rsidR="00BB4AF2">
        <w:rPr>
          <w:rFonts w:cs="Calibri"/>
        </w:rPr>
        <w:t xml:space="preserve"> LRFs </w:t>
      </w:r>
      <w:r>
        <w:rPr>
          <w:rFonts w:cs="Calibri"/>
        </w:rPr>
        <w:t>are required to publish Community Risk Registers</w:t>
      </w:r>
      <w:r w:rsidR="00E6417D">
        <w:rPr>
          <w:rFonts w:cs="Calibri"/>
        </w:rPr>
        <w:t>,</w:t>
      </w:r>
      <w:r>
        <w:rPr>
          <w:rFonts w:cs="Calibri"/>
        </w:rPr>
        <w:t xml:space="preserve"> which focus on the risks which are expected to affect that specific area. For example, one of the risks in the NRR is coastal flooding, however</w:t>
      </w:r>
      <w:r w:rsidR="00E6417D">
        <w:rPr>
          <w:rFonts w:cs="Calibri"/>
        </w:rPr>
        <w:t>,</w:t>
      </w:r>
      <w:r>
        <w:rPr>
          <w:rFonts w:cs="Calibri"/>
        </w:rPr>
        <w:t xml:space="preserve"> for South </w:t>
      </w:r>
      <w:r w:rsidR="001B677D">
        <w:rPr>
          <w:rFonts w:cs="Calibri"/>
        </w:rPr>
        <w:t>Yorkshire,</w:t>
      </w:r>
      <w:r>
        <w:rPr>
          <w:rFonts w:cs="Calibri"/>
        </w:rPr>
        <w:t xml:space="preserve"> which is landlocked, this is not a risk. In the most recent CRR for South Yorkshire, they list their top risks as: health related, such as pandemic</w:t>
      </w:r>
      <w:r w:rsidR="001B677D">
        <w:rPr>
          <w:rFonts w:cs="Calibri"/>
        </w:rPr>
        <w:t>s</w:t>
      </w:r>
      <w:r>
        <w:rPr>
          <w:rFonts w:cs="Calibri"/>
        </w:rPr>
        <w:t>; severe weather, including storms, hot and cold weather; utility disruption, such as the failure to main utilities including gas, electric, water and telecommunications</w:t>
      </w:r>
      <w:r w:rsidR="0044545D">
        <w:rPr>
          <w:rFonts w:cs="Calibri"/>
        </w:rPr>
        <w:t>; cyber-attacks; flooding; and crowd-related incident</w:t>
      </w:r>
      <w:r w:rsidR="0044545D">
        <w:t xml:space="preserve">s, including building collapse and terrorism </w:t>
      </w:r>
      <w:r w:rsidR="0044545D">
        <w:fldChar w:fldCharType="begin" w:fldLock="1"/>
      </w:r>
      <w:r w:rsidR="0044545D">
        <w:instrText>ADDIN CSL_CITATION {"citationItems":[{"id":"ITEM-1","itemData":{"author":[{"dropping-particle":"","family":"South Yorkshire Local Resilience Forum","given":"","non-dropping-particle":"","parse-names":false,"suffix":""}],"id":"ITEM-1","issue":"March","issued":{"date-parts":[["2024"]]},"title":"South Yorkshire Community Risk Register","type":"article"},"uris":["http://www.mendeley.com/documents/?uuid=278482b9-9bc6-4df8-af18-466b3322c689"]}],"mendeley":{"formattedCitation":"(South Yorkshire Local Resilience Forum, 2024)","plainTextFormattedCitation":"(South Yorkshire Local Resilience Forum, 2024)","previouslyFormattedCitation":"(South Yorkshire Local Resilience Forum, 2024)"},"properties":{"noteIndex":0},"schema":"https://github.com/citation-style-language/schema/raw/master/csl-citation.json"}</w:instrText>
      </w:r>
      <w:r w:rsidR="0044545D">
        <w:fldChar w:fldCharType="separate"/>
      </w:r>
      <w:r w:rsidR="0044545D" w:rsidRPr="0044545D">
        <w:rPr>
          <w:noProof/>
        </w:rPr>
        <w:t>(South Yorkshire Local Resilience Forum, 2024)</w:t>
      </w:r>
      <w:r w:rsidR="0044545D">
        <w:fldChar w:fldCharType="end"/>
      </w:r>
      <w:r w:rsidR="0044545D">
        <w:t xml:space="preserve">. This shows the breadth of risks and potential disasters that SYLRF view as the most likely to happen. </w:t>
      </w:r>
    </w:p>
    <w:p w14:paraId="14652250" w14:textId="77777777" w:rsidR="00787F73" w:rsidRDefault="00787F73" w:rsidP="00866155">
      <w:pPr>
        <w:rPr>
          <w:rFonts w:cs="Calibri"/>
        </w:rPr>
      </w:pPr>
    </w:p>
    <w:p w14:paraId="06E2267E" w14:textId="0B6BD6F3" w:rsidR="00787F73" w:rsidRDefault="00742FB7" w:rsidP="00866155">
      <w:pPr>
        <w:pStyle w:val="Heading3"/>
      </w:pPr>
      <w:bookmarkStart w:id="333" w:name="_Toc16856920"/>
      <w:bookmarkStart w:id="334" w:name="_Toc158823555"/>
      <w:bookmarkStart w:id="335" w:name="_Toc153554314"/>
      <w:bookmarkStart w:id="336" w:name="_Toc193367196"/>
      <w:r>
        <w:rPr>
          <w:rFonts w:ascii="Calibri" w:hAnsi="Calibri" w:cs="Calibri"/>
        </w:rPr>
        <w:t>2.3.</w:t>
      </w:r>
      <w:r w:rsidR="002D4E6D">
        <w:rPr>
          <w:rFonts w:ascii="Calibri" w:hAnsi="Calibri" w:cs="Calibri"/>
        </w:rPr>
        <w:t>6</w:t>
      </w:r>
      <w:r>
        <w:rPr>
          <w:rFonts w:ascii="Calibri" w:hAnsi="Calibri" w:cs="Calibri"/>
        </w:rPr>
        <w:t>: Conclusion</w:t>
      </w:r>
      <w:bookmarkEnd w:id="333"/>
      <w:bookmarkEnd w:id="334"/>
      <w:bookmarkEnd w:id="335"/>
      <w:bookmarkEnd w:id="336"/>
    </w:p>
    <w:p w14:paraId="2CEB5191" w14:textId="35E8EC0E" w:rsidR="00787F73" w:rsidRDefault="00742FB7" w:rsidP="00866155">
      <w:pPr>
        <w:rPr>
          <w:rFonts w:cs="Calibri"/>
        </w:rPr>
      </w:pPr>
      <w:r>
        <w:rPr>
          <w:rFonts w:cs="Calibri"/>
        </w:rPr>
        <w:t xml:space="preserve">This section has provided a contextual grounding for disasters, with a discussion of the ambiguity of the definition, and the key concepts of vulnerability and temporality. The </w:t>
      </w:r>
      <w:r w:rsidR="0038275C">
        <w:rPr>
          <w:rFonts w:cs="Calibri"/>
        </w:rPr>
        <w:t xml:space="preserve">Disaster Management Cycle </w:t>
      </w:r>
      <w:r>
        <w:rPr>
          <w:rFonts w:cs="Calibri"/>
        </w:rPr>
        <w:t xml:space="preserve">was discussed, and how organisations conceptualise the differing phases of a disaster event, with the focus on post-disaster, rather than the focus on pre-disaster. The importance of vulnerability within the definition of disasters also showed the importance of understanding the community that is impacted and the context that the disaster is happening in, which informed the creation of RQ3 (chapter 6) which in part examines two communities in South Yorkshire. This section continued themes from the communication theory section, including temporality and the how institutional logics may differ and change at different parts of the </w:t>
      </w:r>
      <w:r w:rsidR="0038275C">
        <w:rPr>
          <w:rFonts w:cs="Calibri"/>
        </w:rPr>
        <w:t>Disaster Management Cycle</w:t>
      </w:r>
      <w:r>
        <w:rPr>
          <w:rFonts w:cs="Calibri"/>
        </w:rPr>
        <w:t xml:space="preserve">. This is important for this research with the focus on the development of community resilience, which will be discussed next. </w:t>
      </w:r>
    </w:p>
    <w:p w14:paraId="5AA4FE71" w14:textId="77777777" w:rsidR="00BB4AF2" w:rsidRDefault="00BB4AF2" w:rsidP="00866155"/>
    <w:p w14:paraId="06C21BEE" w14:textId="77777777" w:rsidR="00787F73" w:rsidRDefault="00742FB7" w:rsidP="00866155">
      <w:pPr>
        <w:pStyle w:val="Heading2"/>
      </w:pPr>
      <w:bookmarkStart w:id="337" w:name="_Toc158823556"/>
      <w:bookmarkStart w:id="338" w:name="_Toc93336012"/>
      <w:bookmarkStart w:id="339" w:name="_Toc98148349"/>
      <w:bookmarkStart w:id="340" w:name="_Toc140071594"/>
      <w:bookmarkStart w:id="341" w:name="_Toc153554315"/>
      <w:bookmarkStart w:id="342" w:name="_Toc193367197"/>
      <w:r>
        <w:rPr>
          <w:rFonts w:ascii="Calibri" w:hAnsi="Calibri" w:cs="Calibri"/>
        </w:rPr>
        <w:t>2.4: Community Resilience</w:t>
      </w:r>
      <w:bookmarkEnd w:id="337"/>
      <w:bookmarkEnd w:id="338"/>
      <w:bookmarkEnd w:id="339"/>
      <w:bookmarkEnd w:id="340"/>
      <w:bookmarkEnd w:id="341"/>
      <w:bookmarkEnd w:id="342"/>
    </w:p>
    <w:p w14:paraId="5FB63BFF" w14:textId="77777777" w:rsidR="00787F73" w:rsidRDefault="00742FB7" w:rsidP="00866155">
      <w:pPr>
        <w:pStyle w:val="Heading3"/>
      </w:pPr>
      <w:bookmarkStart w:id="343" w:name="_Toc158823557"/>
      <w:bookmarkStart w:id="344" w:name="_Toc98148350"/>
      <w:bookmarkStart w:id="345" w:name="_Toc93336013"/>
      <w:bookmarkStart w:id="346" w:name="_Toc140071595"/>
      <w:bookmarkStart w:id="347" w:name="_Toc22633723"/>
      <w:bookmarkStart w:id="348" w:name="_Toc153554316"/>
      <w:bookmarkStart w:id="349" w:name="_Toc193367198"/>
      <w:r>
        <w:rPr>
          <w:rFonts w:ascii="Calibri" w:hAnsi="Calibri" w:cs="Calibri"/>
        </w:rPr>
        <w:t>2.4.1: Introduction</w:t>
      </w:r>
      <w:bookmarkEnd w:id="343"/>
      <w:bookmarkEnd w:id="344"/>
      <w:bookmarkEnd w:id="345"/>
      <w:bookmarkEnd w:id="346"/>
      <w:bookmarkEnd w:id="347"/>
      <w:bookmarkEnd w:id="348"/>
      <w:bookmarkEnd w:id="349"/>
    </w:p>
    <w:p w14:paraId="6D288ADD" w14:textId="4BB88207" w:rsidR="00787F73" w:rsidRDefault="00742FB7" w:rsidP="00866155">
      <w:r>
        <w:rPr>
          <w:rFonts w:cs="Calibri"/>
          <w:color w:val="000000"/>
        </w:rPr>
        <w:t>The concept of resilience is used in a wide variety of disciplines including</w:t>
      </w:r>
      <w:r w:rsidR="00CC0D6D">
        <w:rPr>
          <w:rFonts w:cs="Calibri"/>
          <w:color w:val="000000"/>
        </w:rPr>
        <w:t>:</w:t>
      </w:r>
      <w:r>
        <w:rPr>
          <w:rFonts w:cs="Calibri"/>
          <w:color w:val="000000"/>
        </w:rPr>
        <w:t xml:space="preserve"> mathematics</w:t>
      </w:r>
      <w:r w:rsidR="00CC0D6D">
        <w:rPr>
          <w:rFonts w:cs="Calibri"/>
          <w:color w:val="000000"/>
        </w:rPr>
        <w:t xml:space="preserve">; </w:t>
      </w:r>
      <w:r>
        <w:rPr>
          <w:rFonts w:cs="Calibri"/>
          <w:color w:val="000000"/>
        </w:rPr>
        <w:t>ecology</w:t>
      </w:r>
      <w:r w:rsidR="00CC0D6D">
        <w:rPr>
          <w:rFonts w:cs="Calibri"/>
          <w:color w:val="000000"/>
        </w:rPr>
        <w:t>;</w:t>
      </w:r>
      <w:r>
        <w:rPr>
          <w:rFonts w:cs="Calibri"/>
          <w:color w:val="000000"/>
        </w:rPr>
        <w:t xml:space="preserve"> community development</w:t>
      </w:r>
      <w:r w:rsidR="00CC0D6D">
        <w:rPr>
          <w:rFonts w:cs="Calibri"/>
          <w:color w:val="000000"/>
        </w:rPr>
        <w:t xml:space="preserve">; </w:t>
      </w:r>
      <w:r>
        <w:rPr>
          <w:rFonts w:cs="Calibri"/>
          <w:color w:val="000000"/>
        </w:rPr>
        <w:t>disaster management</w:t>
      </w:r>
      <w:r w:rsidR="00CC0D6D">
        <w:rPr>
          <w:rFonts w:cs="Calibri"/>
          <w:color w:val="000000"/>
        </w:rPr>
        <w:t xml:space="preserve">; </w:t>
      </w:r>
      <w:r>
        <w:rPr>
          <w:rFonts w:cs="Calibri"/>
          <w:color w:val="000000"/>
        </w:rPr>
        <w:t xml:space="preserve">and psychology </w:t>
      </w:r>
      <w:r>
        <w:fldChar w:fldCharType="begin" w:fldLock="1"/>
      </w:r>
      <w:r w:rsidR="00974B75">
        <w:rPr>
          <w:rFonts w:cs="Calibri"/>
          <w:color w:val="000000"/>
        </w:rPr>
        <w:instrText>ADDIN CSL_CITATION {"citationItems":[{"id":"ITEM-1","itemData":{"DOI":"10.1080/08941920.2012.736605","ISBN":"0894-1920","ISSN":"08941920","PMID":"84423027","abstract":"We explore opportunities for an integrated approach in community resilience to inform new research directions and practice, using the productive common ground between two strands of literature on community resilience, one from social-ecological systems and the other from the psychology of development and mental health. The first strand treats resilience as a systems concept, dealing with adaptive relationships and learning in social-ecological systems across nested levels, with attention to feedbacks, nonlinearity, unpredictability, scale, renewal cycles, drivers, system memory, disturbance events, and windows of opportunity. The second strand emphasizes identifying and developing community strengths, and building resilience through agency and self-organization, with attention to people-place connections, values and beliefs, knowledge and learning, social networks, collaborative governance, economic diversification, infrastructure, leadership, and outlook. An integrative approach seated in the complex adaptive system and ecological understanding can incorporate the identification of explicit social strengths and connections to place, activated by agency and self-organizing. &amp;copy; 2013 Copyright Taylor and Francis Group, LLC.","author":[{"dropping-particle":"","family":"Berkes","given":"Fikret","non-dropping-particle":"","parse-names":false,"suffix":""},{"dropping-particle":"","family":"Ross","given":"Helen","non-dropping-particle":"","parse-names":false,"suffix":""}],"container-title":"Society and Natural Resources","id":"ITEM-1","issue":"1","issued":{"date-parts":[["2013"]]},"page":"5-20","title":"Community Resilience: Toward an Integrated Approach","type":"article-journal","volume":"26"},"uris":["http://www.mendeley.com/documents/?uuid=0b80407c-2c27-4353-a9ed-b8cff357c953"]},{"id":"ITEM-2","itemData":{"DOI":"10.1007/s10464-007-9156-6","ISBN":"0091-0562 (Print)","ISSN":"00910562","PMID":"18157631","abstract":"Communities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unknowns.","author":[{"dropping-particle":"","family":"Norris","given":"Fran H.","non-dropping-particle":"","parse-names":false,"suffix":""},{"dropping-particle":"","family":"Stevens","given":"Susan P.","non-dropping-particle":"","parse-names":false,"suffix":""},{"dropping-particle":"","family":"Pfefferbaum","given":"Betty","non-dropping-particle":"","parse-names":false,"suffix":""},{"dropping-particle":"","family":"Wyche","given":"Karen F.","non-dropping-particle":"","parse-names":false,"suffix":""},{"dropping-particle":"","family":"Pfefferbaum","given":"Rose L.","non-dropping-particle":"","parse-names":false,"suffix":""}],"container-title":"American Journal of Community Psychology","id":"ITEM-2","issued":{"date-parts":[["2008"]]},"page":"127-150","title":"Community resilience as a metaphor, theory, set of capacities, and strategy for disaster readiness","type":"article-journal","volume":"41"},"uris":["http://www.mendeley.com/documents/?uuid=ce971e9c-40de-4c41-9d71-39c5bbe61334"]}],"mendeley":{"formattedCitation":"(Berkes &amp; Ross, 2013; Norris et al., 2008)","plainTextFormattedCitation":"(Berkes &amp; Ross, 2013; Norris et al., 2008)","previouslyFormattedCitation":"(Berkes &amp; Ross, 2013; Norris et al., 2008)"},"properties":{"noteIndex":0},"schema":"https://github.com/citation-style-language/schema/raw/master/csl-citation.json"}</w:instrText>
      </w:r>
      <w:r>
        <w:rPr>
          <w:rFonts w:cs="Calibri"/>
          <w:color w:val="000000"/>
        </w:rPr>
        <w:fldChar w:fldCharType="separate"/>
      </w:r>
      <w:r>
        <w:rPr>
          <w:rFonts w:cs="Calibri"/>
          <w:noProof/>
          <w:color w:val="000000"/>
        </w:rPr>
        <w:t>(Berkes &amp; Ross, 2013; Norris et al., 2008)</w:t>
      </w:r>
      <w:r>
        <w:rPr>
          <w:rFonts w:cs="Calibri"/>
          <w:color w:val="000000"/>
        </w:rPr>
        <w:fldChar w:fldCharType="end"/>
      </w:r>
      <w:r>
        <w:rPr>
          <w:rFonts w:cs="Calibri"/>
        </w:rPr>
        <w:t xml:space="preserve">. The term has been used as a boundary object and bridging concept, enabling communication across disciplines and as a term to bring disciplines together </w:t>
      </w:r>
      <w:r>
        <w:fldChar w:fldCharType="begin" w:fldLock="1"/>
      </w:r>
      <w:r w:rsidR="00974B75">
        <w:rPr>
          <w:rFonts w:cs="Calibri"/>
        </w:rPr>
        <w:instrText>ADDIN CSL_CITATION {"citationItems":[{"id":"ITEM-1","itemData":{"DOI":"10.5751/ES-02029-120123","ISBN":"1708-3087","ISSN":"17083087","PMID":"11214543","abstract":"This article reviews the variety of definitions proposed for “resilience” within sustainability science and suggests a typology according to the specific degree of normativity. There is a tension between the original descriptive concept of resilience first defined in ecological science and a more recent, vague, and malleable notion of resilience used as an approach or boundary object by different scientific disciplines. Even though increased conceptual vagueness can be valuable to foster communication across disciplines and between science and practice, both conceptual clarity and practical relevance of the concept of resilience are critically in danger. The fundamental question is what conceptual structure we want resilience to have. This article argues that a clearly specified, descriptive concept of resilience is critical in providing a counterbalance to the use of resilience as a vague boundary object. A clear descriptive concept provides the basis for operationalization and application of resilience within ecological science","author":[{"dropping-particle":"","family":"Brand","given":"Fridolin Simon","non-dropping-particle":"","parse-names":false,"suffix":""},{"dropping-particle":"","family":"Jax","given":"Kurt","non-dropping-particle":"","parse-names":false,"suffix":""}],"container-title":"Ecology and Society","id":"ITEM-1","issue":"1","issued":{"date-parts":[["2007"]]},"page":"1- 16","title":"Focusing the Meaning(s) of Resilience: Resilience as a Descriptive Concept and a Boundary Object","type":"article-journal","volume":"12"},"uris":["http://www.mendeley.com/documents/?uuid=946a2806-db8d-4418-9c98-9bec2661306a"]},{"id":"ITEM-2","itemData":{"DOI":"10.5751/ES-07484-200202","ISBN":"17083087","ISSN":"17083087","PMID":"11214543","abstract":"Many recent studies observe the increasing importance, influence, and analysis of resilience as a concept to understand the capacity of a system or individual to respond to change. The term has achieved prominence in diverse scientific fields, as well as public discourse and policy arenas. As a result, resilience has been referred to as a boundary object or a bridging concept that is able to facilitate communication and understanding across disciplines, coordinate groups of actors or stakeholders, and build consensus around particular policy issues. We present a network analysis of bibliometric data to understand the extent to which resilience can be considered as a boundary object or a bridging concept in terms of its links across disciplines and scientific fields. We analyzed 994 papers and 35,952 citations between them to reveal the connectedness and links between and within fields. We analyzed the network according to different fields, modules, and sub-fields, showing a highly clustered citation network. Analyzing betweenness allowed us to identify how particular papers bridge across fields and how different fields are linked. With the exception of a few specific papers, most papers cite exclusively within their own field. We conclude that resilience is to an extent a boundary object because there are shared understandings across diverse disciplines and fields. However, it is more limited as a bridging concept because the citations across fields are concentrated among particular disciplines and papers, so the distinct fields do not widely or routinely refer to each other. There are some signs of resilience being used as an interdisciplinary concept to bridge scientific fields, particularly in social- ecological systems, which may itself constitute an emerging sub-field.","author":[{"dropping-particle":"","family":"Baggio","given":"Jacopo A.","non-dropping-particle":"","parse-names":false,"suffix":""},{"dropping-particle":"","family":"Brown","given":"Katrina","non-dropping-particle":"","parse-names":false,"suffix":""},{"dropping-particle":"","family":"Hellebrandt","given":"Denis","non-dropping-particle":"","parse-names":false,"suffix":""}],"container-title":"Ecology and Society","id":"ITEM-2","issue":"2","issued":{"date-parts":[["2015"]]},"page":"1-12","title":"Boundary object or bridging concept? A citation network analysis of resilience","type":"article-journal","volume":"20"},"uris":["http://www.mendeley.com/documents/?uuid=3ce811e4-fc48-42ae-bfde-60ef65f528b9"]}],"mendeley":{"formattedCitation":"(Baggio, Brown, &amp; Hellebrandt, 2015; Brand &amp; Jax, 2007)","plainTextFormattedCitation":"(Baggio, Brown, &amp; Hellebrandt, 2015; Brand &amp; Jax, 2007)","previouslyFormattedCitation":"(Baggio, Brown, &amp; Hellebrandt, 2015; Brand &amp; Jax, 2007)"},"properties":{"noteIndex":0},"schema":"https://github.com/citation-style-language/schema/raw/master/csl-citation.json"}</w:instrText>
      </w:r>
      <w:r>
        <w:rPr>
          <w:rFonts w:cs="Calibri"/>
        </w:rPr>
        <w:fldChar w:fldCharType="separate"/>
      </w:r>
      <w:r>
        <w:rPr>
          <w:rFonts w:cs="Calibri"/>
          <w:noProof/>
        </w:rPr>
        <w:t>(Baggio, Brown, &amp; Hellebrandt, 2015; Brand &amp; Jax, 2007)</w:t>
      </w:r>
      <w:r>
        <w:rPr>
          <w:rFonts w:cs="Calibri"/>
        </w:rPr>
        <w:fldChar w:fldCharType="end"/>
      </w:r>
      <w:r>
        <w:rPr>
          <w:rFonts w:cs="Calibri"/>
        </w:rPr>
        <w:t xml:space="preserve">. This use has led to a wide </w:t>
      </w:r>
      <w:r>
        <w:rPr>
          <w:rFonts w:cs="Calibri"/>
        </w:rPr>
        <w:lastRenderedPageBreak/>
        <w:t xml:space="preserve">variety of definitions and conceptualisations of the term, which sometimes leads to confusion </w:t>
      </w:r>
      <w:r>
        <w:fldChar w:fldCharType="begin" w:fldLock="1"/>
      </w:r>
      <w:r w:rsidR="00974B75">
        <w:rPr>
          <w:rFonts w:cs="Calibri"/>
        </w:rPr>
        <w:instrText>ADDIN CSL_CITATION {"citationItems":[{"id":"ITEM-1","itemData":{"DOI":"10.5751/ES-02029-120123","ISBN":"1708-3087","ISSN":"17083087","PMID":"11214543","abstract":"This article reviews the variety of definitions proposed for “resilience” within sustainability science and suggests a typology according to the specific degree of normativity. There is a tension between the original descriptive concept of resilience first defined in ecological science and a more recent, vague, and malleable notion of resilience used as an approach or boundary object by different scientific disciplines. Even though increased conceptual vagueness can be valuable to foster communication across disciplines and between science and practice, both conceptual clarity and practical relevance of the concept of resilience are critically in danger. The fundamental question is what conceptual structure we want resilience to have. This article argues that a clearly specified, descriptive concept of resilience is critical in providing a counterbalance to the use of resilience as a vague boundary object. A clear descriptive concept provides the basis for operationalization and application of resilience within ecological science","author":[{"dropping-particle":"","family":"Brand","given":"Fridolin Simon","non-dropping-particle":"","parse-names":false,"suffix":""},{"dropping-particle":"","family":"Jax","given":"Kurt","non-dropping-particle":"","parse-names":false,"suffix":""}],"container-title":"Ecology and Society","id":"ITEM-1","issue":"1","issued":{"date-parts":[["2007"]]},"page":"1- 16","title":"Focusing the Meaning(s) of Resilience: Resilience as a Descriptive Concept and a Boundary Object","type":"article-journal","volume":"12"},"uris":["http://www.mendeley.com/documents/?uuid=946a2806-db8d-4418-9c98-9bec2661306a"]},{"id":"ITEM-2","itemData":{"DOI":"10.1371/currents.dis.db775aff25efc5ac4f0660ad9c9f7db2","ISSN":"2157-3999","abstract":"Background: Government, industry and charitable organisations have an increasing focus on programs intended to support community resilience to disasters. But has consensus been reached as to what defines 'community resilience' and what its core characteristics are? Methods: We undertook a systematic literature review of definitions of community resilience related to disasters. We conducted an inductive thematic analysis of the definitions and descriptions that we identified, in order to determine the proposed characteristics of community resilience prior to, during and after a disaster. Results: We identified 80 relevant papers. There was no evidence of a common, agreed definition of community resilience. In spite of this, evidence was found of nine core elements of community resilience that were common among the definitions. The core elements were: local knowledge, community networks and relationships, communication, health, governance and leadership, resources, economic investment, preparedness, and mental outlook. Within these core elements, we identified 19 sub-elements linked to community resilience. Conclusion: Our findings show that community resilience remains an amorphous concept that is understood and applied differently by different research groups. Yet in spite of the differences in conception and application, there are well-understood elements that are widely proposed as important for a resilient community. A focus on these individual elements may be more productive than attempting to define and study community resilience as a distinct concept. Tweet Patel SS, Rogers MB, Amlôt R, Rubin GJ. What Do We Mean by 'Community Resilience'? A","author":[{"dropping-particle":"","family":"Patel","given":"Sonny S","non-dropping-particle":"","parse-names":false,"suffix":""},{"dropping-particle":"","family":"Rogers","given":"M Brooke","non-dropping-particle":"","parse-names":false,"suffix":""},{"dropping-particle":"","family":"Amlôt","given":"Richard","non-dropping-particle":"","parse-names":false,"suffix":""},{"dropping-particle":"","family":"Rubin","given":"G James","non-dropping-particle":"","parse-names":false,"suffix":""}],"container-title":"PLoS currents","id":"ITEM-2","issued":{"date-parts":[["2017"]]},"page":"1-22","title":"What Do We Mean by 'Community Resilience'? A Systematic Literature Review of How It Is Defined in the Literature","type":"article-journal","volume":"9"},"uris":["http://www.mendeley.com/documents/?uuid=8b7e845a-0cc5-4c23-b38e-826bdf09e29d"]},{"id":"ITEM-3","itemData":{"DOI":"10.5751/ES-07484-200202","ISBN":"17083087","ISSN":"17083087","PMID":"11214543","abstract":"Many recent studies observe the increasing importance, influence, and analysis of resilience as a concept to understand the capacity of a system or individual to respond to change. The term has achieved prominence in diverse scientific fields, as well as public discourse and policy arenas. As a result, resilience has been referred to as a boundary object or a bridging concept that is able to facilitate communication and understanding across disciplines, coordinate groups of actors or stakeholders, and build consensus around particular policy issues. We present a network analysis of bibliometric data to understand the extent to which resilience can be considered as a boundary object or a bridging concept in terms of its links across disciplines and scientific fields. We analyzed 994 papers and 35,952 citations between them to reveal the connectedness and links between and within fields. We analyzed the network according to different fields, modules, and sub-fields, showing a highly clustered citation network. Analyzing betweenness allowed us to identify how particular papers bridge across fields and how different fields are linked. With the exception of a few specific papers, most papers cite exclusively within their own field. We conclude that resilience is to an extent a boundary object because there are shared understandings across diverse disciplines and fields. However, it is more limited as a bridging concept because the citations across fields are concentrated among particular disciplines and papers, so the distinct fields do not widely or routinely refer to each other. There are some signs of resilience being used as an interdisciplinary concept to bridge scientific fields, particularly in social- ecological systems, which may itself constitute an emerging sub-field.","author":[{"dropping-particle":"","family":"Baggio","given":"Jacopo A.","non-dropping-particle":"","parse-names":false,"suffix":""},{"dropping-particle":"","family":"Brown","given":"Katrina","non-dropping-particle":"","parse-names":false,"suffix":""},{"dropping-particle":"","family":"Hellebrandt","given":"Denis","non-dropping-particle":"","parse-names":false,"suffix":""}],"container-title":"Ecology and Society","id":"ITEM-3","issue":"2","issued":{"date-parts":[["2015"]]},"page":"1-12","title":"Boundary object or bridging concept? A citation network analysis of resilience","type":"article-journal","volume":"20"},"uris":["http://www.mendeley.com/documents/?uuid=3ce811e4-fc48-42ae-bfde-60ef65f528b9"]}],"mendeley":{"formattedCitation":"(Patel et al., 2017; Baggio, Brown, &amp; Hellebrandt, 2015; Brand &amp; Jax, 2007)","plainTextFormattedCitation":"(Patel et al., 2017; Baggio, Brown, &amp; Hellebrandt, 2015; Brand &amp; Jax, 2007)","previouslyFormattedCitation":"(Patel et al., 2017; Baggio, Brown, &amp; Hellebrandt, 2015; Brand &amp; Jax, 2007)"},"properties":{"noteIndex":0},"schema":"https://github.com/citation-style-language/schema/raw/master/csl-citation.json"}</w:instrText>
      </w:r>
      <w:r>
        <w:rPr>
          <w:rFonts w:cs="Calibri"/>
        </w:rPr>
        <w:fldChar w:fldCharType="separate"/>
      </w:r>
      <w:r>
        <w:rPr>
          <w:rFonts w:cs="Calibri"/>
          <w:noProof/>
        </w:rPr>
        <w:t>(Patel et al., 2017; Baggio, Brown, &amp; Hellebrandt, 2015; Brand &amp; Jax, 2007)</w:t>
      </w:r>
      <w:r>
        <w:rPr>
          <w:rFonts w:cs="Calibri"/>
        </w:rPr>
        <w:fldChar w:fldCharType="end"/>
      </w:r>
      <w:r>
        <w:rPr>
          <w:rFonts w:cs="Calibri"/>
        </w:rPr>
        <w:t xml:space="preserve">. </w:t>
      </w:r>
    </w:p>
    <w:p w14:paraId="47642956" w14:textId="77777777" w:rsidR="00787F73" w:rsidRDefault="00787F73" w:rsidP="00866155">
      <w:pPr>
        <w:rPr>
          <w:rFonts w:cs="Calibri"/>
        </w:rPr>
      </w:pPr>
    </w:p>
    <w:p w14:paraId="68929531" w14:textId="77777777" w:rsidR="00787F73" w:rsidRDefault="00742FB7" w:rsidP="00866155">
      <w:r>
        <w:rPr>
          <w:rFonts w:cs="Calibri"/>
        </w:rPr>
        <w:t xml:space="preserve">Using an institutional logics approach as a lens, one can view community resilience as a series of logics. Not only is community one of the seven macro societal institutions </w:t>
      </w:r>
      <w:r>
        <w:fldChar w:fldCharType="begin" w:fldLock="1"/>
      </w:r>
      <w:r>
        <w:rPr>
          <w:rFonts w:cs="Calibri"/>
        </w:rPr>
        <w:instrText>ADDIN CSL_CITATION {"citationItems":[{"id":"ITEM-1","itemData":{"DOI":"10.1111/joms.12070","ISBN":"7804923325","ISSN":"14676486","abstract":"In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Studies","id":"ITEM-1","issue":"7","issued":{"date-parts":[["2014"]]},"page":"1206-1220","title":"Rethinking institutions and organizations","type":"article-journal","volume":"51"},"uris":["http://www.mendeley.com/documents/?uuid=0af2a191-4e5d-48b8-8f8d-ce7200539d20"]},{"id":"ITEM-2","itemData":{"DOI":"10.1080/03075079.2021.1946032","ISSN":"1470174X","abstract":"While institutional logics theory has increasingly been applied in higher education research, especially in the past five years, agreement is lacking on how to approach institutional logics analysis. This results in proliferating institutional logics in higher education studies and often confuses newcomers to the field as to how to use institutional logics in their empirical research. As a response to this situation, our study outlines the state-of-the-art application of institutional logics in higher education studies through scrutinising 59 articles that apply institutional logics in organisation studies in the field of higher education. Specifically, we ask the following research questions: What approaches to institutional logics analysis are used in higher education studies? What institutional logics are identified/applied in higher education studies? What challenges are evident in applying institutional logics in higher education studies? How does the use of institutional logics in higher education research contribute to institutional logics theory? The most profound outcomes of our literature analysis are: First, we construct a novel typology of approaches to institutional logics analysis that is positioned on two-dimensions: the reasoning applied (deductive vs. inductive), and the level at which the logic is examined (societal vs. field/local); Second, we create an exhaustive list of institutional logics (over 50) applied and identified in these studies; Third, we discover major challenges in using institutional logics in higher education research. Finally, we clearly define societal-level and field-level logics and suggest a rationalisation of institutional logics approaches in order to fully utilise the explanatory power of institutional logics.","author":[{"dropping-particle":"","family":"Cai","given":"Yuzhuo","non-dropping-particle":"","parse-names":false,"suffix":""},{"dropping-particle":"","family":"Mountford","given":"Nicola","non-dropping-particle":"","parse-names":false,"suffix":""}],"container-title":"Studies in Higher Education","id":"ITEM-2","issue":"8","issued":{"date-parts":[["2022"]]},"page":"1627-1651","title":"Institutional logics analysis in higher education research","type":"article-journal","volume":"47"},"uris":["http://www.mendeley.com/documents/?uuid=b02524ae-b3f4-409c-8ba0-8ba3e0859742"]}],"mendeley":{"formattedCitation":"(Cai &amp; Mountford, 2022; Greenwood, Hinings, &amp; Whetten, 2014)","plainTextFormattedCitation":"(Cai &amp; Mountford, 2022; Greenwood, Hinings, &amp; Whetten, 2014)","previouslyFormattedCitation":"(Cai &amp; Mountford, 2022; Greenwood, Hinings, &amp; Whetten, 2014)"},"properties":{"noteIndex":0},"schema":"https://github.com/citation-style-language/schema/raw/master/csl-citation.json"}</w:instrText>
      </w:r>
      <w:r>
        <w:rPr>
          <w:rFonts w:cs="Calibri"/>
        </w:rPr>
        <w:fldChar w:fldCharType="separate"/>
      </w:r>
      <w:r>
        <w:rPr>
          <w:rFonts w:cs="Calibri"/>
          <w:noProof/>
        </w:rPr>
        <w:t>(Cai &amp; Mountford, 2022; Greenwood, Hinings, &amp; Whetten, 2014)</w:t>
      </w:r>
      <w:r>
        <w:rPr>
          <w:rFonts w:cs="Calibri"/>
        </w:rPr>
        <w:fldChar w:fldCharType="end"/>
      </w:r>
      <w:r>
        <w:rPr>
          <w:rFonts w:cs="Calibri"/>
        </w:rPr>
        <w:t xml:space="preserve">, but the process of developing resilience can be viewed as the community logic changing and adapting to accommodate new contextual information, such as an impending disaster. Developing community resilience is also increasingly seen as a guiding principle of disaster governance </w:t>
      </w:r>
      <w:r>
        <w:fldChar w:fldCharType="begin" w:fldLock="1"/>
      </w:r>
      <w:r>
        <w:rPr>
          <w:rFonts w:cs="Calibri"/>
        </w:rPr>
        <w:instrText>ADDIN CSL_CITATION {"citationItems":[{"id":"ITEM-1","itemData":{"DOI":"10.1016/j.apgeog.2021.102578","ISSN":"01436228","abstract":"In this paper, we engage with the ‘good disaster governance’ imperative and we attempt to empirically capture the (socio-)institutional dimensions and dynamics producing, reproducing or responding to social-ecological change and disasters. Viewing the disaster situation as a project of collective endeavour, we propose a conceptual framing of institutions building on disaster and development studies, governance of social-ecological systems, adaptive institutions research, and sociological institutionalist scholarship. We apply our analytical framework to Christchurch (New Zealand), Groningen (The Netherlands) and the island of Rhodes (Greece) through a relational comparative approach that builds on previous analyses and in-depth interviews with stakeholders. The three case-studies face diverse types of disasters that we conceptually approach around moments of ‘abrupt change’. For Christchurch, the abrupt change refers to the earthquake of February 2011. For Groningen, it is a ‘big’ earthquake with a magnitude of 3.6 in 2012, and for Rhodes the intense water shortages or ‘water crisis’ in July 2017. The results reveal commonalities among the case studies around the crucial role institutions play in creating or exacerbating disasters; technical and structural challenges hindering institutions' adaptiveness; and institutional logics with lock-in effects leading to maladaptation. Our framing and discussion elucidate under-examined and under-theorized aspects of the ‘adaptive governance’ and ‘adaptive institutions’ concepts, and provides the basis for a socio-ecologically and socio-institutionally nuanced analytical approach to the pragmatics of disaster governance.","author":[{"dropping-particle":"","family":"Skrimizea","given":"Eirini","non-dropping-particle":"","parse-names":false,"suffix":""},{"dropping-particle":"","family":"Bakema","given":"Melanie","non-dropping-particle":"","parse-names":false,"suffix":""},{"dropping-particle":"","family":"McCann","given":"Philip","non-dropping-particle":"","parse-names":false,"suffix":""},{"dropping-particle":"","family":"Parra","given":"Constanza","non-dropping-particle":"","parse-names":false,"suffix":""}],"container-title":"Applied Geography","id":"ITEM-1","issued":{"date-parts":[["2021"]]},"page":"1-10","title":"Disaster governance and institutional dynamics in times of social-ecological change: Insights from New Zealand, the Netherlands and Greece","type":"article-journal","volume":"136"},"uris":["http://www.mendeley.com/documents/?uuid=e3a97332-6d98-441f-a452-0ecdf9079fac"]}],"mendeley":{"formattedCitation":"(Skrimizea et al., 2021)","plainTextFormattedCitation":"(Skrimizea et al., 2021)","previouslyFormattedCitation":"(Skrimizea et al., 2021)"},"properties":{"noteIndex":0},"schema":"https://github.com/citation-style-language/schema/raw/master/csl-citation.json"}</w:instrText>
      </w:r>
      <w:r>
        <w:rPr>
          <w:rFonts w:cs="Calibri"/>
        </w:rPr>
        <w:fldChar w:fldCharType="separate"/>
      </w:r>
      <w:r>
        <w:rPr>
          <w:rFonts w:cs="Calibri"/>
          <w:noProof/>
        </w:rPr>
        <w:t>(Skrimizea et al., 2021)</w:t>
      </w:r>
      <w:r>
        <w:rPr>
          <w:rFonts w:cs="Calibri"/>
        </w:rPr>
        <w:fldChar w:fldCharType="end"/>
      </w:r>
      <w:r>
        <w:rPr>
          <w:rFonts w:cs="Calibri"/>
        </w:rPr>
        <w:t xml:space="preserve">, which suggests a shifting governance and wider state logics. The following section will explore this, while discussing the history of the term, different approaches to understanding and researching resilience, and the neoliberal undertones of the term. </w:t>
      </w:r>
    </w:p>
    <w:p w14:paraId="5A72678B" w14:textId="77777777" w:rsidR="00787F73" w:rsidRDefault="00787F73" w:rsidP="00866155">
      <w:pPr>
        <w:rPr>
          <w:rFonts w:cs="Calibri"/>
        </w:rPr>
      </w:pPr>
    </w:p>
    <w:p w14:paraId="71FB2B2A" w14:textId="77777777" w:rsidR="00787F73" w:rsidRDefault="00742FB7" w:rsidP="00866155">
      <w:pPr>
        <w:pStyle w:val="Heading3"/>
      </w:pPr>
      <w:bookmarkStart w:id="350" w:name="_Toc22633724"/>
      <w:bookmarkStart w:id="351" w:name="_Toc98148351"/>
      <w:bookmarkStart w:id="352" w:name="_Toc140071596"/>
      <w:bookmarkStart w:id="353" w:name="_Toc93336014"/>
      <w:bookmarkStart w:id="354" w:name="_Toc153554317"/>
      <w:bookmarkStart w:id="355" w:name="_Toc158823558"/>
      <w:bookmarkStart w:id="356" w:name="_Toc193367199"/>
      <w:r>
        <w:rPr>
          <w:rFonts w:ascii="Calibri" w:hAnsi="Calibri" w:cs="Calibri"/>
        </w:rPr>
        <w:t xml:space="preserve">2.4.2: </w:t>
      </w:r>
      <w:bookmarkEnd w:id="350"/>
      <w:bookmarkEnd w:id="351"/>
      <w:bookmarkEnd w:id="352"/>
      <w:bookmarkEnd w:id="353"/>
      <w:r>
        <w:rPr>
          <w:rFonts w:ascii="Calibri" w:hAnsi="Calibri" w:cs="Calibri"/>
        </w:rPr>
        <w:t>The definition of Community Resilience</w:t>
      </w:r>
      <w:bookmarkEnd w:id="354"/>
      <w:bookmarkEnd w:id="355"/>
      <w:bookmarkEnd w:id="356"/>
    </w:p>
    <w:p w14:paraId="4BB3EB22" w14:textId="77777777" w:rsidR="00787F73" w:rsidRDefault="00742FB7" w:rsidP="00866155">
      <w:pPr>
        <w:pStyle w:val="Heading4"/>
        <w:spacing w:line="360" w:lineRule="auto"/>
      </w:pPr>
      <w:r>
        <w:rPr>
          <w:rFonts w:ascii="Calibri" w:hAnsi="Calibri" w:cs="Calibri"/>
        </w:rPr>
        <w:t>Community</w:t>
      </w:r>
    </w:p>
    <w:p w14:paraId="50506160" w14:textId="427F0827" w:rsidR="00787F73" w:rsidRDefault="00742FB7" w:rsidP="00866155">
      <w:r>
        <w:rPr>
          <w:rFonts w:cs="Calibri"/>
        </w:rPr>
        <w:t xml:space="preserve">Community resilience as a phrase combines two words that are individually contested. The word </w:t>
      </w:r>
      <w:r>
        <w:rPr>
          <w:rFonts w:cs="Calibri"/>
          <w:i/>
          <w:iCs/>
        </w:rPr>
        <w:t>community</w:t>
      </w:r>
      <w:r>
        <w:rPr>
          <w:rFonts w:cs="Calibri"/>
        </w:rPr>
        <w:t xml:space="preserve"> comes from the Latin roots of </w:t>
      </w:r>
      <w:r>
        <w:rPr>
          <w:rFonts w:cs="Calibri"/>
          <w:i/>
        </w:rPr>
        <w:t xml:space="preserve">com, </w:t>
      </w:r>
      <w:r>
        <w:rPr>
          <w:rFonts w:cs="Calibri"/>
        </w:rPr>
        <w:t xml:space="preserve">with the meaning of together or one, and </w:t>
      </w:r>
      <w:r>
        <w:rPr>
          <w:rFonts w:cs="Calibri"/>
          <w:i/>
        </w:rPr>
        <w:t>unus</w:t>
      </w:r>
      <w:r>
        <w:rPr>
          <w:rFonts w:cs="Calibri"/>
        </w:rPr>
        <w:t xml:space="preserve">, the notion of a singularity, suggesting that community is a group coming together as one body </w:t>
      </w:r>
      <w:r>
        <w:fldChar w:fldCharType="begin" w:fldLock="1"/>
      </w:r>
      <w:r>
        <w:rPr>
          <w:rFonts w:cs="Calibri"/>
        </w:rPr>
        <w:instrText>ADDIN CSL_CITATION {"citationItems":[{"id":"ITEM-1","itemData":{"ISBN":"0415496179","author":[{"dropping-particle":"","family":"Delanty","given":"Gerard","non-dropping-particle":"","parse-names":false,"suffix":""}],"edition":"2nd ed.","id":"ITEM-1","issued":{"date-parts":[["2010"]]},"note":"Includes bibliographical references and index.","publisher":"London : Routledge, 2010","publisher-place":"London","title":"Community","type":"book"},"uris":["http://www.mendeley.com/documents/?uuid=68ebda47-a18d-4ce2-9cee-e78e7646bf97"]}],"mendeley":{"formattedCitation":"(Delanty, 2010)","plainTextFormattedCitation":"(Delanty, 2010)","previouslyFormattedCitation":"(Delanty, 2010)"},"properties":{"noteIndex":0},"schema":"https://github.com/citation-style-language/schema/raw/master/csl-citation.json"}</w:instrText>
      </w:r>
      <w:r>
        <w:rPr>
          <w:rFonts w:cs="Calibri"/>
        </w:rPr>
        <w:fldChar w:fldCharType="separate"/>
      </w:r>
      <w:r>
        <w:rPr>
          <w:rFonts w:cs="Calibri"/>
          <w:noProof/>
        </w:rPr>
        <w:t>(Delanty, 2010)</w:t>
      </w:r>
      <w:r>
        <w:rPr>
          <w:rFonts w:cs="Calibri"/>
        </w:rPr>
        <w:fldChar w:fldCharType="end"/>
      </w:r>
      <w:r>
        <w:rPr>
          <w:rFonts w:cs="Calibri"/>
        </w:rPr>
        <w:t xml:space="preserve">. This immediately provokes the image of one functioning group, working </w:t>
      </w:r>
      <w:r w:rsidR="00CC0D6D">
        <w:rPr>
          <w:rFonts w:cs="Calibri"/>
        </w:rPr>
        <w:t>collectively., However</w:t>
      </w:r>
      <w:r>
        <w:rPr>
          <w:rFonts w:cs="Calibri"/>
        </w:rPr>
        <w:t xml:space="preserve">, the term has now been developed with various meanings and has been used within a variety of disciplines, leading to the word being frequently used, but rarely explained </w:t>
      </w:r>
      <w:r>
        <w:fldChar w:fldCharType="begin" w:fldLock="1"/>
      </w:r>
      <w:r>
        <w:rPr>
          <w:rFonts w:cs="Calibri"/>
        </w:rPr>
        <w:instrText>ADDIN CSL_CITATION {"citationItems":[{"id":"ITEM-1","itemData":{"DOI":"10.3390/soc8030071","ISSN":"2075-4698","abstract":"In all areas of academic or practical work related to disaster risk, climate change and development more generally, community and its adjunct community-based have become the default terminology when referring to the local level or working ‘with the people’. The terms are applied extensively to highlight what is believed to be a people-centred, participatory, or grassroot-level approach. Today, despite, or because of, its inherent ambiguity, ‘community’ tends to be used almost inflationarily. This paper aims to analyse the way the concept of ‘community’ has come into fashion, and to critically reflect on the problems that come with it. We are raising significant doubts about the usefulness of ‘community’ in development- and disaster-related work. Our approach is to first consider how ‘community’ has become popular in research and with humanitarian agencies and other organisations based on what can be considered a ‘moral licence’ that supposedly guarantees that the actions being taken are genuinely people-centred and ethically justified. We then explore several theoretical approaches to ‘community’, highlight the vast scope of different (and contested) views on what ‘community’ entails, and explain how ‘community’ is framing practical attempts to mitigate vulnerability and inequity. We demonstrate how these attempts are usually futile, and sometimes harmful, due to the blurriness of ‘community’ concepts and their inherent failure to address the root causes of vulnerability. From two antagonistic positions, we finally advocate more meaningful ways to acknowledge vulnerable people’s views and needs appropriately.","author":[{"dropping-particle":"","family":"Titz","given":"Alexandra","non-dropping-particle":"","parse-names":false,"suffix":""},{"dropping-particle":"","family":"Cannon","given":"Terry","non-dropping-particle":"","parse-names":false,"suffix":""},{"dropping-particle":"","family":"Krüger","given":"Fred","non-dropping-particle":"","parse-names":false,"suffix":""}],"container-title":"Societies","id":"ITEM-1","issue":"3","issued":{"date-parts":[["2018"]]},"page":"1 - 28","title":"Uncovering ‘Community’: Challenging an Elusive Concept in Development and Disaster Related Work","type":"article-journal","volume":"8"},"uris":["http://www.mendeley.com/documents/?uuid=f9599f8d-2339-4d46-9072-6514bdefdc30"]}],"mendeley":{"formattedCitation":"(Titz, Cannon, &amp; Krüger, 2018)","plainTextFormattedCitation":"(Titz, Cannon, &amp; Krüger, 2018)","previouslyFormattedCitation":"(Titz, Cannon, &amp; Krüger, 2018)"},"properties":{"noteIndex":0},"schema":"https://github.com/citation-style-language/schema/raw/master/csl-citation.json"}</w:instrText>
      </w:r>
      <w:r>
        <w:rPr>
          <w:rFonts w:cs="Calibri"/>
        </w:rPr>
        <w:fldChar w:fldCharType="separate"/>
      </w:r>
      <w:r>
        <w:rPr>
          <w:rFonts w:cs="Calibri"/>
          <w:noProof/>
        </w:rPr>
        <w:t>(Titz, Cannon, &amp; Krüger, 2018)</w:t>
      </w:r>
      <w:r>
        <w:rPr>
          <w:rFonts w:cs="Calibri"/>
        </w:rPr>
        <w:fldChar w:fldCharType="end"/>
      </w:r>
      <w:r>
        <w:rPr>
          <w:rFonts w:cs="Calibri"/>
        </w:rPr>
        <w:t xml:space="preserve">. This includes viewing community as a territorial (geographical) or relational (social) entity, however, it is important to note that the two are not exclusive from one another </w:t>
      </w:r>
      <w:r>
        <w:fldChar w:fldCharType="begin" w:fldLock="1"/>
      </w:r>
      <w:r w:rsidR="00974B75">
        <w:rPr>
          <w:rFonts w:cs="Calibri"/>
        </w:rPr>
        <w:instrText>ADDIN CSL_CITATION {"citationItems":[{"id":"ITEM-1","itemData":{"DOI":"10.1002/1520-6629(198601)14:1&lt;6::AID-JCOP2290140103&gt;3.0.CO;2-I","ISBN":"00904392","ISSN":"00904392","PMID":"276","author":[{"dropping-particle":"","family":"McMillan","given":"David W","non-dropping-particle":"","parse-names":false,"suffix":""},{"dropping-particle":"","family":"Chavis","given":"David M","non-dropping-particle":"","parse-names":false,"suffix":""}],"container-title":"Journal of Community Psychology","id":"ITEM-1","issue":"1","issued":{"date-parts":[["1986"]]},"page":"6-23","title":"Sense of Community - A Definition and Theory","type":"article-journal","volume":"14"},"uris":["http://www.mendeley.com/documents/?uuid=e5c3724d-bbdc-4841-bd4c-f274a8efad00"]}],"mendeley":{"formattedCitation":"(McMillan &amp; Chavis, 1986)","plainTextFormattedCitation":"(McMillan &amp; Chavis, 1986)","previouslyFormattedCitation":"(McMillan &amp; Chavis, 1986)"},"properties":{"noteIndex":0},"schema":"https://github.com/citation-style-language/schema/raw/master/csl-citation.json"}</w:instrText>
      </w:r>
      <w:r>
        <w:rPr>
          <w:rFonts w:cs="Calibri"/>
        </w:rPr>
        <w:fldChar w:fldCharType="separate"/>
      </w:r>
      <w:r>
        <w:rPr>
          <w:rFonts w:cs="Calibri"/>
          <w:noProof/>
        </w:rPr>
        <w:t>(McMillan &amp; Chavis, 1986)</w:t>
      </w:r>
      <w:r>
        <w:rPr>
          <w:rFonts w:cs="Calibri"/>
        </w:rPr>
        <w:fldChar w:fldCharType="end"/>
      </w:r>
      <w:r>
        <w:rPr>
          <w:rFonts w:cs="Calibri"/>
        </w:rPr>
        <w:t xml:space="preserve">.  A definition which is broad and inclusive is the UNHCR’s definition of a community as: </w:t>
      </w:r>
    </w:p>
    <w:p w14:paraId="36B47A8A" w14:textId="77777777" w:rsidR="00787F73" w:rsidRDefault="00742FB7" w:rsidP="00866155">
      <w:pPr>
        <w:pStyle w:val="Quote"/>
        <w:spacing w:line="360" w:lineRule="auto"/>
        <w:jc w:val="both"/>
      </w:pPr>
      <w:r>
        <w:rPr>
          <w:rStyle w:val="QuoteChar"/>
          <w:rFonts w:cs="Calibri"/>
        </w:rPr>
        <w:t xml:space="preserve">“a group of people that recognizes itself or is recognized by outsiders as sharing common cultural, religious, or other social features, backgrounds and interests, and that forms a collective identity with shared goals. However, what is externally perceived as a community might in fact be an entity with many sub-groups or communities. It might be divided into clans or castes or by social class, language or religion. A community might be </w:t>
      </w:r>
      <w:r>
        <w:rPr>
          <w:rStyle w:val="QuoteChar"/>
          <w:rFonts w:cs="Calibri"/>
        </w:rPr>
        <w:lastRenderedPageBreak/>
        <w:t xml:space="preserve">inclusive and protective of its members; but it might also be socially controlling, making it difficult for sub-groups, particularly minorities and marginalized groups, to express their opinions and claim their rights”. </w:t>
      </w:r>
      <w:r>
        <w:rPr>
          <w:color w:val="385623"/>
        </w:rPr>
        <w:t>(</w:t>
      </w:r>
      <w:r>
        <w:t xml:space="preserve">UNHCR; p. 14 cited in </w:t>
      </w:r>
      <w:r>
        <w:fldChar w:fldCharType="begin" w:fldLock="1"/>
      </w:r>
      <w:r>
        <w:instrText>ADDIN CSL_CITATION {"citationItems":[{"id":"ITEM-1","itemData":{"DOI":"10.3390/soc8030071","ISSN":"2075-4698","abstract":"In all areas of academic or practical work related to disaster risk, climate change and development more generally, community and its adjunct community-based have become the default terminology when referring to the local level or working ‘with the people’. The terms are applied extensively to highlight what is believed to be a people-centred, participatory, or grassroot-level approach. Today, despite, or because of, its inherent ambiguity, ‘community’ tends to be used almost inflationarily. This paper aims to analyse the way the concept of ‘community’ has come into fashion, and to critically reflect on the problems that come with it. We are raising significant doubts about the usefulness of ‘community’ in development- and disaster-related work. Our approach is to first consider how ‘community’ has become popular in research and with humanitarian agencies and other organisations based on what can be considered a ‘moral licence’ that supposedly guarantees that the actions being taken are genuinely people-centred and ethically justified. We then explore several theoretical approaches to ‘community’, highlight the vast scope of different (and contested) views on what ‘community’ entails, and explain how ‘community’ is framing practical attempts to mitigate vulnerability and inequity. We demonstrate how these attempts are usually futile, and sometimes harmful, due to the blurriness of ‘community’ concepts and their inherent failure to address the root causes of vulnerability. From two antagonistic positions, we finally advocate more meaningful ways to acknowledge vulnerable people’s views and needs appropriately.","author":[{"dropping-particle":"","family":"Titz","given":"Alexandra","non-dropping-particle":"","parse-names":false,"suffix":""},{"dropping-particle":"","family":"Cannon","given":"Terry","non-dropping-particle":"","parse-names":false,"suffix":""},{"dropping-particle":"","family":"Krüger","given":"Fred","non-dropping-particle":"","parse-names":false,"suffix":""}],"container-title":"Societies","id":"ITEM-1","issue":"3","issued":{"date-parts":[["2018"]]},"page":"1 - 28","title":"Uncovering ‘Community’: Challenging an Elusive Concept in Development and Disaster Related Work","type":"article-journal","volume":"8"},"uris":["http://www.mendeley.com/documents/?uuid=f9599f8d-2339-4d46-9072-6514bdefdc30"]}],"mendeley":{"formattedCitation":"(Titz, Cannon, &amp; Krüger, 2018)","manualFormatting":"Titz, Cannon, &amp; Krüger, 2018)","plainTextFormattedCitation":"(Titz, Cannon, &amp; Krüger, 2018)","previouslyFormattedCitation":"(Titz, Cannon, &amp; Krüger, 2018)"},"properties":{"noteIndex":0},"schema":"https://github.com/citation-style-language/schema/raw/master/csl-citation.json"}</w:instrText>
      </w:r>
      <w:r>
        <w:fldChar w:fldCharType="separate"/>
      </w:r>
      <w:r>
        <w:rPr>
          <w:i w:val="0"/>
          <w:noProof/>
        </w:rPr>
        <w:t>Titz, Cannon, &amp; Krüger, 2018)</w:t>
      </w:r>
      <w:r>
        <w:fldChar w:fldCharType="end"/>
      </w:r>
      <w:r>
        <w:t>.</w:t>
      </w:r>
    </w:p>
    <w:p w14:paraId="44CDD1BB" w14:textId="2F983D00" w:rsidR="00787F73" w:rsidRDefault="00742FB7" w:rsidP="00866155">
      <w:r>
        <w:rPr>
          <w:rFonts w:cs="Calibri"/>
        </w:rPr>
        <w:t xml:space="preserve">This definition’s broadness highlights the challenge of describing groups of people as a community, namely that what one person considers a community, may not be the same for someone else </w:t>
      </w:r>
      <w:r>
        <w:fldChar w:fldCharType="begin" w:fldLock="1"/>
      </w:r>
      <w:r>
        <w:rPr>
          <w:rFonts w:cs="Calibri"/>
        </w:rPr>
        <w:instrText>ADDIN CSL_CITATION {"citationItems":[{"id":"ITEM-1","itemData":{"DOI":"10.3390/soc8030071","ISSN":"2075-4698","abstract":"In all areas of academic or practical work related to disaster risk, climate change and development more generally, community and its adjunct community-based have become the default terminology when referring to the local level or working ‘with the people’. The terms are applied extensively to highlight what is believed to be a people-centred, participatory, or grassroot-level approach. Today, despite, or because of, its inherent ambiguity, ‘community’ tends to be used almost inflationarily. This paper aims to analyse the way the concept of ‘community’ has come into fashion, and to critically reflect on the problems that come with it. We are raising significant doubts about the usefulness of ‘community’ in development- and disaster-related work. Our approach is to first consider how ‘community’ has become popular in research and with humanitarian agencies and other organisations based on what can be considered a ‘moral licence’ that supposedly guarantees that the actions being taken are genuinely people-centred and ethically justified. We then explore several theoretical approaches to ‘community’, highlight the vast scope of different (and contested) views on what ‘community’ entails, and explain how ‘community’ is framing practical attempts to mitigate vulnerability and inequity. We demonstrate how these attempts are usually futile, and sometimes harmful, due to the blurriness of ‘community’ concepts and their inherent failure to address the root causes of vulnerability. From two antagonistic positions, we finally advocate more meaningful ways to acknowledge vulnerable people’s views and needs appropriately.","author":[{"dropping-particle":"","family":"Titz","given":"Alexandra","non-dropping-particle":"","parse-names":false,"suffix":""},{"dropping-particle":"","family":"Cannon","given":"Terry","non-dropping-particle":"","parse-names":false,"suffix":""},{"dropping-particle":"","family":"Krüger","given":"Fred","non-dropping-particle":"","parse-names":false,"suffix":""}],"container-title":"Societies","id":"ITEM-1","issue":"3","issued":{"date-parts":[["2018"]]},"page":"1 - 28","title":"Uncovering ‘Community’: Challenging an Elusive Concept in Development and Disaster Related Work","type":"article-journal","volume":"8"},"uris":["http://www.mendeley.com/documents/?uuid=f9599f8d-2339-4d46-9072-6514bdefdc30"]}],"mendeley":{"formattedCitation":"(Titz, Cannon, &amp; Krüger, 2018)","plainTextFormattedCitation":"(Titz, Cannon, &amp; Krüger, 2018)","previouslyFormattedCitation":"(Titz, Cannon, &amp; Krüger, 2018)"},"properties":{"noteIndex":0},"schema":"https://github.com/citation-style-language/schema/raw/master/csl-citation.json"}</w:instrText>
      </w:r>
      <w:r>
        <w:rPr>
          <w:rFonts w:cs="Calibri"/>
        </w:rPr>
        <w:fldChar w:fldCharType="separate"/>
      </w:r>
      <w:r>
        <w:rPr>
          <w:rFonts w:cs="Calibri"/>
          <w:noProof/>
        </w:rPr>
        <w:t>(Titz, Cannon, &amp; Krüger, 2018)</w:t>
      </w:r>
      <w:r>
        <w:rPr>
          <w:rFonts w:cs="Calibri"/>
        </w:rPr>
        <w:fldChar w:fldCharType="end"/>
      </w:r>
      <w:r>
        <w:rPr>
          <w:rFonts w:cs="Calibri"/>
        </w:rPr>
        <w:t xml:space="preserve">. This definition emphasises a variety of themes, including an internal and external lens, identity, power, and a need for an intersectional approach in exploring communities. </w:t>
      </w:r>
      <w:r w:rsidR="00863EBA">
        <w:rPr>
          <w:rFonts w:cs="Calibri"/>
        </w:rPr>
        <w:t>This thesis has adopted this definition due to its broad understanding of what communities can encompass</w:t>
      </w:r>
      <w:r w:rsidR="00CC0D6D">
        <w:rPr>
          <w:rFonts w:cs="Calibri"/>
        </w:rPr>
        <w:t>, and</w:t>
      </w:r>
      <w:r>
        <w:rPr>
          <w:rFonts w:cs="Calibri"/>
        </w:rPr>
        <w:t xml:space="preserve"> is using the institutional logics perspective, </w:t>
      </w:r>
      <w:r w:rsidR="00863EBA">
        <w:rPr>
          <w:rFonts w:cs="Calibri"/>
        </w:rPr>
        <w:t xml:space="preserve">which explores seven macro societal logics, one of which is </w:t>
      </w:r>
      <w:r w:rsidR="00863EBA" w:rsidRPr="00A0151B">
        <w:rPr>
          <w:rFonts w:cs="Calibri"/>
          <w:i/>
          <w:iCs/>
        </w:rPr>
        <w:t>community</w:t>
      </w:r>
      <w:r w:rsidR="00863EBA">
        <w:rPr>
          <w:rFonts w:cs="Calibri"/>
        </w:rPr>
        <w:t>.</w:t>
      </w:r>
      <w:r>
        <w:rPr>
          <w:rFonts w:cs="Calibri"/>
        </w:rPr>
        <w:t xml:space="preserve">. </w:t>
      </w:r>
    </w:p>
    <w:p w14:paraId="26F3C55B" w14:textId="77777777" w:rsidR="00787F73" w:rsidRDefault="00787F73" w:rsidP="00866155">
      <w:pPr>
        <w:rPr>
          <w:rFonts w:cs="Calibri"/>
        </w:rPr>
      </w:pPr>
    </w:p>
    <w:p w14:paraId="70E70667" w14:textId="4025B362" w:rsidR="00787F73" w:rsidRDefault="00742FB7" w:rsidP="00866155">
      <w:r>
        <w:t xml:space="preserve">The institutional logics literature notes that there are different types of community logics, communities of place, practice, users, and firms </w:t>
      </w:r>
      <w:r>
        <w:fldChar w:fldCharType="begin" w:fldLock="1"/>
      </w:r>
      <w:r w:rsidR="00974B75">
        <w:instrText>ADDIN CSL_CITATION {"citationItems":[{"id":"ITEM-1","itemData":{"DOI":"10.1177/26317877231153189","ISSN":"26317877","abstract":"More than a decade ago, Thornton and colleagues added community to the inter-institutional system and argued that the community logic shapes individual and organizational behavior, determines organizing principles, and influences community–organization relationships. In justifying this addition and defining the ideal type, they drew mostly upon the literature on local communities and organizations. However, the increasing relevance of other types of communities to organization studies necessitates a re-examination and further specification of this framework. This article starts with a review of 172 papers from highly ranked organization and management journals over the last 30 years and summarizes insights on four types of communities for which discussion has flourished: communities of place, of practice, of users, and of firms. This is followed by pattern matching to explore whether these four types follow the initial description of the community logic. We find four variants of the community logic, one for each type of community. We show that all the reviewed types organize around a common boundary, which yields a new definition of the community logic. This commonality also offers scope for comparative research and reconceptualization of community–organization relationships. Furthermore, by specifying the organizing principles that vary, we extend previous research and explicate the main underpinnings of community organizing. The paper ends by suggesting avenues for future research that further embrace an institutional logics perspective on communities.","author":[{"dropping-particle":"","family":"Georgiou","given":"Andreas","non-dropping-particle":"","parse-names":false,"suffix":""},{"dropping-particle":"","family":"Arenas","given":"Daniel","non-dropping-particle":"","parse-names":false,"suffix":""}],"container-title":"Organization Theory","id":"ITEM-1","issue":"1","issued":{"date-parts":[["2023"]]},"page":"1 - 22","title":"Community in Organizational Research: A Review and an Institutional Logics Perspective","type":"article-journal","volume":"4"},"uris":["http://www.mendeley.com/documents/?uuid=274159f8-f7d3-48e3-b741-3084622498f1"]}],"mendeley":{"formattedCitation":"(Georgiou &amp; Arenas, 2023)","plainTextFormattedCitation":"(Georgiou &amp; Arenas, 2023)","previouslyFormattedCitation":"(Georgiou &amp; Arenas, 2023)"},"properties":{"noteIndex":0},"schema":"https://github.com/citation-style-language/schema/raw/master/csl-citation.json"}</w:instrText>
      </w:r>
      <w:r>
        <w:fldChar w:fldCharType="separate"/>
      </w:r>
      <w:r>
        <w:rPr>
          <w:noProof/>
        </w:rPr>
        <w:t>(Georgiou &amp; Arenas, 2023)</w:t>
      </w:r>
      <w:r>
        <w:fldChar w:fldCharType="end"/>
      </w:r>
      <w:r w:rsidR="00CC0D6D">
        <w:t>,</w:t>
      </w:r>
      <w:r>
        <w:t xml:space="preserve"> each describing a different grouping and collective of people. </w:t>
      </w:r>
      <w:r w:rsidR="00C84401">
        <w:rPr>
          <w:rFonts w:cs="Calibri"/>
        </w:rPr>
        <w:t>While</w:t>
      </w:r>
      <w:r>
        <w:t xml:space="preserve"> there are different types of community, they all have a similar central approach, namely trust, reciprocity and moral responsibility </w:t>
      </w:r>
      <w:r>
        <w:fldChar w:fldCharType="begin" w:fldLock="1"/>
      </w:r>
      <w:r w:rsidR="00974B75">
        <w:instrText>ADDIN CSL_CITATION {"citationItems":[{"id":"ITEM-1","itemData":{"DOI":"10.1177/26317877231153189","ISSN":"26317877","abstract":"More than a decade ago, Thornton and colleagues added community to the inter-institutional system and argued that the community logic shapes individual and organizational behavior, determines organizing principles, and influences community–organization relationships. In justifying this addition and defining the ideal type, they drew mostly upon the literature on local communities and organizations. However, the increasing relevance of other types of communities to organization studies necessitates a re-examination and further specification of this framework. This article starts with a review of 172 papers from highly ranked organization and management journals over the last 30 years and summarizes insights on four types of communities for which discussion has flourished: communities of place, of practice, of users, and of firms. This is followed by pattern matching to explore whether these four types follow the initial description of the community logic. We find four variants of the community logic, one for each type of community. We show that all the reviewed types organize around a common boundary, which yields a new definition of the community logic. This commonality also offers scope for comparative research and reconceptualization of community–organization relationships. Furthermore, by specifying the organizing principles that vary, we extend previous research and explicate the main underpinnings of community organizing. The paper ends by suggesting avenues for future research that further embrace an institutional logics perspective on communities.","author":[{"dropping-particle":"","family":"Georgiou","given":"Andreas","non-dropping-particle":"","parse-names":false,"suffix":""},{"dropping-particle":"","family":"Arenas","given":"Daniel","non-dropping-particle":"","parse-names":false,"suffix":""}],"container-title":"Organization Theory","id":"ITEM-1","issue":"1","issued":{"date-parts":[["2023"]]},"page":"1 - 22","title":"Community in Organizational Research: A Review and an Institutional Logics Perspective","type":"article-journal","volume":"4"},"uris":["http://www.mendeley.com/documents/?uuid=274159f8-f7d3-48e3-b741-3084622498f1"]}],"mendeley":{"formattedCitation":"(Georgiou &amp; Arenas, 2023)","plainTextFormattedCitation":"(Georgiou &amp; Arenas, 2023)","previouslyFormattedCitation":"(Georgiou &amp; Arenas, 2023)"},"properties":{"noteIndex":0},"schema":"https://github.com/citation-style-language/schema/raw/master/csl-citation.json"}</w:instrText>
      </w:r>
      <w:r>
        <w:fldChar w:fldCharType="separate"/>
      </w:r>
      <w:r>
        <w:rPr>
          <w:noProof/>
        </w:rPr>
        <w:t>(Georgiou &amp; Arenas, 2023)</w:t>
      </w:r>
      <w:r>
        <w:fldChar w:fldCharType="end"/>
      </w:r>
      <w:r>
        <w:t>. Examining each type of community logic, one can examine the variation in the logics of each group</w:t>
      </w:r>
      <w:r w:rsidR="00863EBA">
        <w:t>. C</w:t>
      </w:r>
      <w:r>
        <w:t xml:space="preserve">ommunities of place have a root metaphor of a shared geographical boundary, such as a town boundary or a county boundary, such as South Yorkshire </w:t>
      </w:r>
      <w:r>
        <w:fldChar w:fldCharType="begin" w:fldLock="1"/>
      </w:r>
      <w:r>
        <w:instrText>ADDIN CSL_CITATION {"citationItems":[{"id":"ITEM-1","itemData":{"DOI":"10.1287/orsc.2014.0959","ISSN":"15265455","abstract":"Although many recent studies have emphasized the multiplicity of institutional logics and the competition among them, how some institutional logics become prioritized over others in shaping organizational decisions is undertheorized. Drawing on panel data of 118 industrial facilities across 34 communities in Texas and Louisiana, we show that the saliency of different kinds of community logics significantly affects environmental practices—specifically, toxic waste emissions—of facilities in a community. Our results show that community logics not only have direct effects but also have indirect effects by filtering organizational reactions to broader field-level institutional logics. We theorize how community logics can amplify or dampen the influence of broader field-level logics and discuss the implications for the study of institutional complexity, social movements, and values in the configuration of institutional logics.","author":[{"dropping-particle":"","family":"Lee","given":"Min Dong Paul","non-dropping-particle":"","parse-names":false,"suffix":""},{"dropping-particle":"","family":"Lounsbury","given":"Michael","non-dropping-particle":"","parse-names":false,"suffix":""}],"container-title":"Organization Science","id":"ITEM-1","issue":"3","issued":{"date-parts":[["2015"]]},"page":"847-866","title":"Filtering institutional logics: Community logic variation and differential responses to the institutional complexity of toxic waste","type":"article-journal","volume":"26"},"uris":["http://www.mendeley.com/documents/?uuid=6fffd1e7-139b-41ab-8559-e3c3555001c2"]}],"mendeley":{"formattedCitation":"(Lee &amp; Lounsbury, 2015)","plainTextFormattedCitation":"(Lee &amp; Lounsbury, 2015)","previouslyFormattedCitation":"(Lee &amp; Lounsbury, 2015)"},"properties":{"noteIndex":0},"schema":"https://github.com/citation-style-language/schema/raw/master/csl-citation.json"}</w:instrText>
      </w:r>
      <w:r>
        <w:fldChar w:fldCharType="separate"/>
      </w:r>
      <w:r>
        <w:rPr>
          <w:noProof/>
        </w:rPr>
        <w:t>(Lee &amp; Lounsbury, 2015)</w:t>
      </w:r>
      <w:r>
        <w:fldChar w:fldCharType="end"/>
      </w:r>
      <w:r w:rsidR="00863EBA">
        <w:t>. W</w:t>
      </w:r>
      <w:r>
        <w:t>hereas</w:t>
      </w:r>
      <w:r w:rsidR="00863EBA">
        <w:t>,</w:t>
      </w:r>
      <w:r>
        <w:t xml:space="preserve"> communities of users have a shared boundary of a platform or service </w:t>
      </w:r>
      <w:r>
        <w:fldChar w:fldCharType="begin" w:fldLock="1"/>
      </w:r>
      <w:r w:rsidR="00974B75">
        <w:instrText>ADDIN CSL_CITATION {"citationItems":[{"id":"ITEM-1","itemData":{"DOI":"10.1177/26317877231153189","ISSN":"26317877","abstract":"More than a decade ago, Thornton and colleagues added community to the inter-institutional system and argued that the community logic shapes individual and organizational behavior, determines organizing principles, and influences community–organization relationships. In justifying this addition and defining the ideal type, they drew mostly upon the literature on local communities and organizations. However, the increasing relevance of other types of communities to organization studies necessitates a re-examination and further specification of this framework. This article starts with a review of 172 papers from highly ranked organization and management journals over the last 30 years and summarizes insights on four types of communities for which discussion has flourished: communities of place, of practice, of users, and of firms. This is followed by pattern matching to explore whether these four types follow the initial description of the community logic. We find four variants of the community logic, one for each type of community. We show that all the reviewed types organize around a common boundary, which yields a new definition of the community logic. This commonality also offers scope for comparative research and reconceptualization of community–organization relationships. Furthermore, by specifying the organizing principles that vary, we extend previous research and explicate the main underpinnings of community organizing. The paper ends by suggesting avenues for future research that further embrace an institutional logics perspective on communities.","author":[{"dropping-particle":"","family":"Georgiou","given":"Andreas","non-dropping-particle":"","parse-names":false,"suffix":""},{"dropping-particle":"","family":"Arenas","given":"Daniel","non-dropping-particle":"","parse-names":false,"suffix":""}],"container-title":"Organization Theory","id":"ITEM-1","issue":"1","issued":{"date-parts":[["2023"]]},"page":"1 - 22","title":"Community in Organizational Research: A Review and an Institutional Logics Perspective","type":"article-journal","volume":"4"},"uris":["http://www.mendeley.com/documents/?uuid=274159f8-f7d3-48e3-b741-3084622498f1"]}],"mendeley":{"formattedCitation":"(Georgiou &amp; Arenas, 2023)","plainTextFormattedCitation":"(Georgiou &amp; Arenas, 2023)","previouslyFormattedCitation":"(Georgiou &amp; Arenas, 2023)"},"properties":{"noteIndex":0},"schema":"https://github.com/citation-style-language/schema/raw/master/csl-citation.json"}</w:instrText>
      </w:r>
      <w:r>
        <w:fldChar w:fldCharType="separate"/>
      </w:r>
      <w:r>
        <w:rPr>
          <w:noProof/>
        </w:rPr>
        <w:t>(Georgiou &amp; Arenas, 2023)</w:t>
      </w:r>
      <w:r>
        <w:fldChar w:fldCharType="end"/>
      </w:r>
      <w:r>
        <w:t xml:space="preserve">. However, </w:t>
      </w:r>
      <w:r w:rsidR="00C84401">
        <w:t xml:space="preserve">while </w:t>
      </w:r>
      <w:r>
        <w:t>this divides communities into separate groups of places, practice, users and so on</w:t>
      </w:r>
      <w:r w:rsidR="00B24A85">
        <w:t>.</w:t>
      </w:r>
      <w:r>
        <w:t xml:space="preserve"> </w:t>
      </w:r>
      <w:r w:rsidR="00B24A85">
        <w:t>I</w:t>
      </w:r>
      <w:r>
        <w:t xml:space="preserve">t suggests a binary relationship for communities and community members, where in fact these groups are more flexible and fluid; for instance, a geographical community can have a Facebook page and therefore there are combined community logics for place and users, such as in this research. This binary approach of examining communities as either online </w:t>
      </w:r>
      <w:r w:rsidR="00B24A85">
        <w:t xml:space="preserve">or </w:t>
      </w:r>
      <w:r>
        <w:t xml:space="preserve">offline has been widely disputed within the literature </w:t>
      </w:r>
      <w:r>
        <w:fldChar w:fldCharType="begin" w:fldLock="1"/>
      </w:r>
      <w:r w:rsidR="00D177B9">
        <w:instrText>ADDIN CSL_CITATION {"citationItems":[{"id":"ITEM-1","itemData":{"ISBN":"9780745643328","abstract":"\"The internet and the mobile phone have disrupted many of our conventional understandings of our selves and our relationships, raising anxieties and hopes about their effects on our lives. This timely and vibrant book provides frameworks for thinking critically about the roles of digital media in personal relationships. Rather than providing exuberant accounts or cautionary tales, it offers a data-grounded primer on how to make sense of these important changes in relational life. The book identifies the core relational issues these media disturb and shows how the ways we talk about them echo historical discussions about earlier communication technologies. Chapters explore how we use mediated language and nonverbal behavior to develop and maintain communities, social networks, new relationships, and to maintain relationships in our everyday lives. It combines research findings with lively examples to address questions such as whether mediated interaction can be warm and personal, whether people are honest about themselves online, whether relationships that start online can work, and whether using these media damages the other relationships in our lives. Throughout, the book argues for approaching these questions with firm understandings of the qualities of media as well as the social and personal contexts in which they are developed and used. Personal Connections in the Digital Age will be required reading for all students and scholars of media, communication studies, and sociology, as well as all those who want a firmer understanding of digital media and everyday life.\"--Back cover. New forms of personal connection -- Making new media make sense -- Communication in digital spaces -- Communities and networks -- New relationships, new selves? -- Digital media in relational development and maintenance -- Conclusion : The myth of cyberspace.","author":[{"dropping-particle":"","family":"Baym","given":"Nancy K.","non-dropping-particle":"","parse-names":false,"suffix":""}],"edition":"First","id":"ITEM-1","issued":{"date-parts":[["2015"]]},"number-of-pages":"286","publisher":"Polity Press","publisher-place":"Cambridge","title":"Personal Connections in the Digital Age","type":"book"},"uris":["http://www.mendeley.com/documents/?uuid=c714c08f-3dce-3d34-b65f-746be99fc8f6"]},{"id":"ITEM-2","itemData":{"author":[{"dropping-particle":"","family":"Rainie","given":"Lee","non-dropping-particle":"","parse-names":false,"suffix":""},{"dropping-particle":"","family":"Wellman","given":"Barry","non-dropping-particle":"","parse-names":false,"suffix":""}],"chapter-number":"5","container-title":"Networked: The New Social Operating System","id":"ITEM-2","issued":{"date-parts":[["2012"]]},"note":"&amp;quot;Networked relationships on and offline reinforce networked individual- ism.&amp;quot; (pp145)\n\n&amp;quot;People ’ s lives offline and online are now integrated — it no longer makes sense to make a distinction.&amp;quot; (pp146)","page":"117 - 146","publisher":"MIT Press","title":"Networked Relationships","type":"chapter"},"uris":["http://www.mendeley.com/documents/?uuid=541cf531-c923-4ffd-8704-07b0c3f903cb"]},{"id":"ITEM-3","itemData":{"DOI":"10.1093/acprof","ISBN":"9780199970773","abstract":"This book theorizes social media platforms as distinct microsystems that together form an ecosystem of connective media. To capture the interdependence and interoperability between microsystems and ecosystem, Chapter 2 introduces a multi-layered model, which helps analyze the history of a complex phenomenon. Two theoretical approaches that inspired this book, actor-network theory (Latour) and political economy (Castells), offer valid perspectives on the transformation of technology and society, and their combination informs the design of a heuristic model. The proposed model takes apart single platforms into their techno-cultural components (coding technologies, users, and content) and their socio-economic elements (ownership status, governance, business models). But disassembling platforms is not enough: we also need to reassemble the ecosystem of interoperating platforms in order to recognize which norms and mechanisms undergird the construction of online sociality and creativity. A connective approach can only succeed if we take into account the larger cultural matrix in which this assemblage emerged.","author":[{"dropping-particle":"","family":"Dijck","given":"José","non-dropping-particle":"van","parse-names":false,"suffix":""}],"chapter-number":"2","container-title":"The Culture of Connectivity: A Critical History of Social Media","id":"ITEM-3","issued":{"date-parts":[["2013"]]},"page":"24 - 44","publisher":"Oxford University Press","publisher-place":"Oxford","title":"Disassembling Platforms, Reassembling Sociality","type":"chapter"},"uris":["http://www.mendeley.com/documents/?uuid=cc3b5de1-4faa-4c64-ba9e-806669ea0564"]}],"mendeley":{"formattedCitation":"(Baym, 2015; van Dijck, 2013a; Rainie &amp; Wellman, 2012)","plainTextFormattedCitation":"(Baym, 2015; van Dijck, 2013a; Rainie &amp; Wellman, 2012)","previouslyFormattedCitation":"(Baym, 2015; van Dijck, 2013a; Rainie &amp; Wellman, 2012)"},"properties":{"noteIndex":0},"schema":"https://github.com/citation-style-language/schema/raw/master/csl-citation.json"}</w:instrText>
      </w:r>
      <w:r>
        <w:fldChar w:fldCharType="separate"/>
      </w:r>
      <w:r w:rsidR="00E37B0E" w:rsidRPr="00E37B0E">
        <w:rPr>
          <w:noProof/>
        </w:rPr>
        <w:t>(Baym, 2015; van Dijck, 2013a; Rainie &amp; Wellman, 2012)</w:t>
      </w:r>
      <w:r>
        <w:fldChar w:fldCharType="end"/>
      </w:r>
      <w:r>
        <w:t>. Using a community logic or creating categories of communities can also be misleading as it implies a homogeneity within the group</w:t>
      </w:r>
      <w:r w:rsidR="00B24A85">
        <w:t>.</w:t>
      </w:r>
      <w:r>
        <w:t xml:space="preserve"> </w:t>
      </w:r>
      <w:r w:rsidR="00B24A85">
        <w:t>This</w:t>
      </w:r>
      <w:r>
        <w:t xml:space="preserve"> is simply not the case, with many communities comprising individuals with a variety of social intersections, and therefore lived experiences </w:t>
      </w:r>
      <w:r>
        <w:fldChar w:fldCharType="begin" w:fldLock="1"/>
      </w:r>
      <w:r>
        <w:instrText>ADDIN CSL_CITATION {"citationItems":[{"id":"ITEM-1","itemData":{"DOI":"10.3390/soc8030071","ISSN":"2075-4698","abstract":"In all areas of academic or practical work related to disaster risk, climate change and development more generally, community and its adjunct community-based have become the default terminology when referring to the local level or working ‘with the people’. The terms are applied extensively to highlight what is believed to be a people-centred, participatory, or grassroot-level approach. Today, despite, or because of, its inherent ambiguity, ‘community’ tends to be used almost inflationarily. This paper aims to analyse the way the concept of ‘community’ has come into fashion, and to critically reflect on the problems that come with it. We are raising significant doubts about the usefulness of ‘community’ in development- and disaster-related work. Our approach is to first consider how ‘community’ has become popular in research and with humanitarian agencies and other organisations based on what can be considered a ‘moral licence’ that supposedly guarantees that the actions being taken are genuinely people-centred and ethically justified. We then explore several theoretical approaches to ‘community’, highlight the vast scope of different (and contested) views on what ‘community’ entails, and explain how ‘community’ is framing practical attempts to mitigate vulnerability and inequity. We demonstrate how these attempts are usually futile, and sometimes harmful, due to the blurriness of ‘community’ concepts and their inherent failure to address the root causes of vulnerability. From two antagonistic positions, we finally advocate more meaningful ways to acknowledge vulnerable people’s views and needs appropriately.","author":[{"dropping-particle":"","family":"Titz","given":"Alexandra","non-dropping-particle":"","parse-names":false,"suffix":""},{"dropping-particle":"","family":"Cannon","given":"Terry","non-dropping-particle":"","parse-names":false,"suffix":""},{"dropping-particle":"","family":"Krüger","given":"Fred","non-dropping-particle":"","parse-names":false,"suffix":""}],"container-title":"Societies","id":"ITEM-1","issue":"3","issued":{"date-parts":[["2018"]]},"page":"1 - 28","title":"Uncovering ‘Community’: Challenging an Elusive Concept in Development and Disaster Related Work","type":"article-journal","volume":"8"},"uris":["http://www.mendeley.com/documents/?uuid=f9599f8d-2339-4d46-9072-6514bdefdc30"]},{"id":"ITEM-2","itemData":{"DOI":"10.1080/13698230701660220","ISBN":"1369-8230\\r1743-8772","ISSN":"1369-8230","PMID":"25650308","abstract":"The paper examines the effects of intersecting social divisions on constructions of multi-layered citizenships and the politics of belonging in contemporary Britain. It starts with conceptual clarifications of the notions of citizenship, belonging and intersectionality and then turns to examine contemporary politics of belonging in contemporary Britain, focus- ing on the current debate on the ‘death of multiculturalism’ and on ‘social cohesion’. It illus- trates how the use of civic and democratic values as signifiers of belonging can end up as exclusionary, rather than inclusionary in that discourse. K","author":[{"dropping-particle":"","family":"Yuval‐Davis","given":"Nira","non-dropping-particle":"","parse-names":false,"suffix":""}],"container-title":"Critical Review of International Social and Political Philosophy","id":"ITEM-2","issue":"4","issued":{"date-parts":[["2007"]]},"page":"561-574","title":"Intersectionality, Citizenship and Contemporary Politics of Belonging","type":"article-journal","volume":"10"},"uris":["http://www.mendeley.com/documents/?uuid=553a05d6-78f0-4a87-8a7f-d7dd1694f17a"]},{"id":"ITEM-3","itemData":{"DOI":"10.1111/j.1467-9272.2007.00587.x","ISBN":"00330124","ISSN":"00330124","PMID":"23750159","abstract":"This article focuses on the concept of intersectionality, which is being used within the wider social sciences by feminists to theorize the relationship between different social categories: gender, race, sexuality, and so forth. Although research within the field of feminist geography has explored particular interconnections such as those between gender and race, the theoretical concept of intersectionality as debated in the wider social sciences has not been addressed. This article attempts to respond to that omission. It begins by tracing the emergence of debates about the interconnections between gender and other identities. It goes on to reflect on attempts tomap geometries of oppressions.Theemphasis thenmovesfromtheorizing intersectionality to questioninghowit can be researched in practice by presenting a case study to illustrate intersectionality as lived experience. The conclusion demonstrates the contribution that feminist geography can make to advance the theorization of intersectionality throughits appreciation of the significance of space in processes of subject formation. It calls for feminist geography to pay more attention to questions of power and social inequalities.","author":[{"dropping-particle":"","family":"Valentine","given":"Gill","non-dropping-particle":"","parse-names":false,"suffix":""}],"container-title":"The Professional Geographer","id":"ITEM-3","issue":"1","issued":{"date-parts":[["2007"]]},"page":"10 - 21","title":"Theorizing and Researching Intersectionality: A Challenge for Feminist Geography","type":"article-journal","volume":"59"},"uris":["http://www.mendeley.com/documents/?uuid=33533b8f-b858-4321-96f6-432feeb05d24"]},{"id":"ITEM-4","itemData":{"ISSN":"2052-1499","abstract":"[published feb. 2018] [...]an underlying aim was to contest the assumed 'colour-blindness, neutrality and objectivity' of the criminal justice system in the US (Nash, 2008: 2; Crenshaw, 1989).Besides its root in the legal field, the term 'intersectionality' mirrors debates brought about by radical black feminists in the previous decades and which centres on a critique of a western, white feminism that claims universal reach.[...]as there is no unified approach to studying intersectionality empirically, there is a still unseized opportunity to experiment with and develop approaches that are suited to and fruitful for management and organization studies.[...]we invited fellow researchers to consider intersectionality from an ethical and political standpoint, connecting the individual-level embodiment on intersectionality to more collective projects of emancipation and inclusion.[...]echoing the sociological principle known as the 'Matthew effect' (Merton, 1968; Rigney, 2010), that is the fact that certain individuals tend to experience cumulative privilege, researchers in organization studies could also pay more attention to the intersection of privileges so as to gain a deeper understanding of the dynamics of power and social-symbolic work, and how these are contingent to the sociohistorical context of intersections.[...]given the long-deplored scarcity and underdevelopment of methodological tools to deploy intersectionality in empirical work (Marfelt, 2016), there is ample room for innovation and creativity.","author":[{"dropping-particle":"","family":"Villesèche","given":"Florence","non-dropping-particle":"","parse-names":false,"suffix":""},{"dropping-particle":"","family":"Muhr","given":"Sara Louise","non-dropping-particle":"","parse-names":false,"suffix":""},{"dropping-particle":"","family":"Śliwa","given":"Martyna","non-dropping-particle":"","parse-names":false,"suffix":""}],"container-title":"Ephemera : Theory and Politics in Organization","id":"ITEM-4","issue":"1","issued":{"date-parts":[["2018"]]},"page":"1-16","title":"From radical black feminism to postfeminist hashtags: Re-claiming intersectionality","type":"article-journal","volume":"18"},"uris":["http://www.mendeley.com/documents/?uuid=9c9f661a-ade2-462c-bac1-cb7cfd52fded"]}],"mendeley":{"formattedCitation":"(Titz, Cannon, &amp; Krüger, 2018; Villesèche, Muhr, &amp; Śliwa, 2018; Valentine, 2007; Yuval‐Davis, 2007)","plainTextFormattedCitation":"(Titz, Cannon, &amp; Krüger, 2018; Villesèche, Muhr, &amp; Śliwa, 2018; Valentine, 2007; Yuval‐Davis, 2007)","previouslyFormattedCitation":"(Titz, Cannon, &amp; Krüger, 2018; Villesèche, Muhr, &amp; Śliwa, 2018; Valentine, 2007; Yuval‐Davis, 2007)"},"properties":{"noteIndex":0},"schema":"https://github.com/citation-style-language/schema/raw/master/csl-citation.json"}</w:instrText>
      </w:r>
      <w:r>
        <w:fldChar w:fldCharType="separate"/>
      </w:r>
      <w:r>
        <w:rPr>
          <w:noProof/>
        </w:rPr>
        <w:t xml:space="preserve">(Titz, Cannon, &amp; Krüger, 2018; Villesèche, Muhr, &amp; Śliwa, 2018; </w:t>
      </w:r>
      <w:r>
        <w:rPr>
          <w:noProof/>
        </w:rPr>
        <w:lastRenderedPageBreak/>
        <w:t>Valentine, 2007; Yuval‐Davis, 2007)</w:t>
      </w:r>
      <w:r>
        <w:fldChar w:fldCharType="end"/>
      </w:r>
      <w:r>
        <w:t>. The challenge of defining community is also examined within the institutional logics literature</w:t>
      </w:r>
      <w:r w:rsidR="00B24A85">
        <w:t>.</w:t>
      </w:r>
      <w:r>
        <w:t xml:space="preserve"> </w:t>
      </w:r>
      <w:r w:rsidR="00B24A85">
        <w:t>S</w:t>
      </w:r>
      <w:r>
        <w:t>ome authors argu</w:t>
      </w:r>
      <w:r w:rsidR="00B24A85">
        <w:t>e</w:t>
      </w:r>
      <w:r>
        <w:t xml:space="preserve"> that community is not a societal logic, but</w:t>
      </w:r>
      <w:r w:rsidR="00B24A85">
        <w:t xml:space="preserve"> instead</w:t>
      </w:r>
      <w:r>
        <w:t xml:space="preserve"> should be viewed as context</w:t>
      </w:r>
      <w:r w:rsidR="00B24A85">
        <w:t>.</w:t>
      </w:r>
      <w:r>
        <w:t xml:space="preserve"> </w:t>
      </w:r>
      <w:r w:rsidR="00B24A85">
        <w:t xml:space="preserve">It is argued that community should </w:t>
      </w:r>
      <w:r>
        <w:t xml:space="preserve">be examined for how logics are received by </w:t>
      </w:r>
      <w:r w:rsidR="00B24A85">
        <w:t xml:space="preserve">its </w:t>
      </w:r>
      <w:r>
        <w:t>members,</w:t>
      </w:r>
      <w:r w:rsidR="00B24A85">
        <w:t xml:space="preserve"> and how the logics are</w:t>
      </w:r>
      <w:r>
        <w:t xml:space="preserve"> contested and blended into the wider group </w:t>
      </w:r>
      <w:r>
        <w:fldChar w:fldCharType="begin" w:fldLock="1"/>
      </w:r>
      <w:r w:rsidR="00974B75">
        <w:instrText>ADDIN CSL_CITATION {"citationItems":[{"id":"ITEM-1","itemData":{"DOI":"10.1177/26317877211004602","ISSN":"26317877","abstract":"In their 2012 book The Institutional Logics Perspective, Patricia Thornton, William Ocasio and Michael Lounsbury proposed the addition of community as a logic to more traditional candidates such as religion and family. This article argues that an examination of the wider sociological and historical literature indicates that community is indeed an important category of analysis, but as the context shaping action rather than as a logic. The literature that Thornton, Ocasio and Lounsbury draw on tends to conflate community as a form of informal social structure with community as geographically bounded space. Using Friedland’s characterization of logics as a combination of substance and practices, I argue that community lacks the coherence necessary to function as a logic. While community remains an important part of our conceptual armoury, I argue that as well as being aware of the connotations of the term it may be more productive to consider it as the context in which logics are received, contested and blended. Attention is thus directed to the ways in which a range of organizational forms might foster or negate shared feelings of groupness.","author":[{"dropping-particle":"","family":"Mutch","given":"Alistair","non-dropping-particle":"","parse-names":false,"suffix":""}],"container-title":"Organization Theory","id":"ITEM-1","issue":"2","issued":{"date-parts":[["2021"]]},"page":"1 - 18","title":"Challenging Community: Logic or Context?","type":"article-journal","volume":"2"},"uris":["http://www.mendeley.com/documents/?uuid=e7cf665a-0525-445a-b70a-82b92ea0afad"]}],"mendeley":{"formattedCitation":"(Mutch, 2021)","plainTextFormattedCitation":"(Mutch, 2021)","previouslyFormattedCitation":"(Mutch, 2021)"},"properties":{"noteIndex":0},"schema":"https://github.com/citation-style-language/schema/raw/master/csl-citation.json"}</w:instrText>
      </w:r>
      <w:r>
        <w:fldChar w:fldCharType="separate"/>
      </w:r>
      <w:r>
        <w:rPr>
          <w:noProof/>
        </w:rPr>
        <w:t>(Mutch, 2021)</w:t>
      </w:r>
      <w:r>
        <w:fldChar w:fldCharType="end"/>
      </w:r>
      <w:r>
        <w:t>.</w:t>
      </w:r>
    </w:p>
    <w:p w14:paraId="69ED8F28" w14:textId="77777777" w:rsidR="00787F73" w:rsidRDefault="00787F73" w:rsidP="00866155">
      <w:pPr>
        <w:rPr>
          <w:rFonts w:cs="Calibri"/>
        </w:rPr>
      </w:pPr>
    </w:p>
    <w:p w14:paraId="5999E78B" w14:textId="77777777" w:rsidR="00787F73" w:rsidRDefault="00742FB7" w:rsidP="00866155">
      <w:r>
        <w:rPr>
          <w:rFonts w:cs="Calibri"/>
        </w:rPr>
        <w:t xml:space="preserve">With these themes in mind, this project has used a largely geographical approach to communities, focusing on individual locations and the people that live there as the physical impact of disasters are experienced hyper-locally, which is the foundation of RQ3.  </w:t>
      </w:r>
    </w:p>
    <w:p w14:paraId="00549C90" w14:textId="77777777" w:rsidR="00787F73" w:rsidRDefault="00787F73" w:rsidP="00866155">
      <w:pPr>
        <w:rPr>
          <w:rFonts w:cs="Calibri"/>
        </w:rPr>
      </w:pPr>
    </w:p>
    <w:p w14:paraId="4906E45A" w14:textId="77777777" w:rsidR="00787F73" w:rsidRDefault="00742FB7" w:rsidP="00866155">
      <w:pPr>
        <w:pStyle w:val="Heading4"/>
        <w:spacing w:line="360" w:lineRule="auto"/>
      </w:pPr>
      <w:r>
        <w:rPr>
          <w:rFonts w:ascii="Calibri" w:hAnsi="Calibri" w:cs="Calibri"/>
        </w:rPr>
        <w:t>Resilience</w:t>
      </w:r>
    </w:p>
    <w:p w14:paraId="287338B3" w14:textId="0D929E6E" w:rsidR="00787F73" w:rsidRDefault="008D4E4E" w:rsidP="00866155">
      <w:pPr>
        <w:rPr>
          <w:rFonts w:cs="Calibri"/>
          <w:color w:val="000000"/>
        </w:rPr>
      </w:pPr>
      <w:r>
        <w:rPr>
          <w:rFonts w:cs="Calibri"/>
          <w:color w:val="000000"/>
        </w:rPr>
        <w:t xml:space="preserve">Resilience as a term is often used and rarely defined, this is due to the varying conceptual roots of the definition. To gain an understanding of the word </w:t>
      </w:r>
      <w:r>
        <w:rPr>
          <w:rFonts w:cs="Calibri"/>
          <w:i/>
          <w:iCs/>
          <w:color w:val="000000"/>
        </w:rPr>
        <w:t>resilience</w:t>
      </w:r>
      <w:r w:rsidR="00B24A85">
        <w:rPr>
          <w:rFonts w:cs="Calibri"/>
          <w:i/>
          <w:iCs/>
          <w:color w:val="000000"/>
        </w:rPr>
        <w:t>,</w:t>
      </w:r>
      <w:r>
        <w:rPr>
          <w:rFonts w:cs="Calibri"/>
          <w:color w:val="000000"/>
        </w:rPr>
        <w:t xml:space="preserve"> one can take it to its Latin root, </w:t>
      </w:r>
      <w:r>
        <w:rPr>
          <w:rFonts w:cs="Calibri"/>
          <w:i/>
          <w:color w:val="000000"/>
        </w:rPr>
        <w:t>resiliere</w:t>
      </w:r>
      <w:r w:rsidR="00B24A85">
        <w:rPr>
          <w:rFonts w:cs="Calibri"/>
          <w:i/>
          <w:color w:val="000000"/>
        </w:rPr>
        <w:t>,</w:t>
      </w:r>
      <w:r>
        <w:rPr>
          <w:rFonts w:cs="Calibri"/>
          <w:color w:val="000000"/>
        </w:rPr>
        <w:t xml:space="preserve"> which translates to </w:t>
      </w:r>
      <w:r>
        <w:rPr>
          <w:rFonts w:cs="Calibri"/>
          <w:i/>
          <w:color w:val="000000"/>
        </w:rPr>
        <w:t>jump back</w:t>
      </w:r>
      <w:r>
        <w:rPr>
          <w:rFonts w:cs="Calibri"/>
          <w:color w:val="000000"/>
        </w:rPr>
        <w:t xml:space="preserve"> </w:t>
      </w:r>
      <w:r>
        <w:fldChar w:fldCharType="begin" w:fldLock="1"/>
      </w:r>
      <w:r>
        <w:rPr>
          <w:rFonts w:cs="Calibri"/>
          <w:color w:val="000000"/>
        </w:rPr>
        <w:instrText>ADDIN CSL_CITATION {"citationItems":[{"id":"ITEM-1","itemData":{"DOI":"10.1146/annurev.energy.32.051807.090348","ISBN":"1708-3087","ISSN":"0954-5794","PMID":"7615","abstract":"Despite the recent popularity and frequent use of the disaster resilience concept in the academic, re- search, and policy programs, there is a limited theoretical understanding of this concept. For instance, it is not clear how this concept should be operationalized and what its determinant factors are or how they can be measured. Al- though the recent literatures on hazard and disaster frequently refer to resilience concept as a guiding principle behind an effective hazard risk management, making it operational for policies raises critical challenges in terms of its as- sessment. This paper is an attempt to develop a conceptual and methodological framework for the analysis, measure- ment, and mapping of community disaster resilience. The paper specifically intends to archive three objectives. Firstly, it examines the general definitional issues of the concept of resilience with a focus on community disaster re- silience. Secondly, it reviews the frameworks that are currently used to measure community resilience. Thirdly, it evaluates the existing methods that are used to develop resilience indices, and based on this review, a methodology on how to measure community disaster resilience is proposed. Finally, it summarizes the limitations and recommen- dations for further improvement of the methodology.","author":[{"dropping-particle":"","family":"Mayunga","given":"Joseph S","non-dropping-particle":"","parse-names":false,"suffix":""}],"container-title":"Summer academy for social vulnerability and resilience building","id":"ITEM-1","issue":"1","issued":{"date-parts":[["2007"]]},"number-of-pages":"1-16","publisher-place":"Munich","title":"Understanding and Applying the Concept of Community Disaster Resilience : A capital-based approach","type":"report"},"uris":["http://www.mendeley.com/documents/?uuid=8d9105d9-093b-4ab1-98f2-8230311a4cbf"]}],"mendeley":{"formattedCitation":"(Mayunga, 2007)","plainTextFormattedCitation":"(Mayunga, 2007)","previouslyFormattedCitation":"(Mayunga, 2007)"},"properties":{"noteIndex":0},"schema":"https://github.com/citation-style-language/schema/raw/master/csl-citation.json"}</w:instrText>
      </w:r>
      <w:r>
        <w:rPr>
          <w:rFonts w:cs="Calibri"/>
          <w:color w:val="000000"/>
        </w:rPr>
        <w:fldChar w:fldCharType="separate"/>
      </w:r>
      <w:r>
        <w:rPr>
          <w:rFonts w:cs="Calibri"/>
          <w:noProof/>
          <w:color w:val="000000"/>
        </w:rPr>
        <w:t>(Mayunga, 2007)</w:t>
      </w:r>
      <w:r>
        <w:rPr>
          <w:rFonts w:cs="Calibri"/>
          <w:color w:val="000000"/>
        </w:rPr>
        <w:fldChar w:fldCharType="end"/>
      </w:r>
      <w:r>
        <w:rPr>
          <w:rFonts w:cs="Calibri"/>
          <w:color w:val="000000"/>
        </w:rPr>
        <w:t>. This definition of resilience has changed and been adapted as it has moved through different disciplines including</w:t>
      </w:r>
      <w:r w:rsidR="00B24A85">
        <w:rPr>
          <w:rFonts w:cs="Calibri"/>
          <w:color w:val="000000"/>
        </w:rPr>
        <w:t>:</w:t>
      </w:r>
      <w:r>
        <w:rPr>
          <w:rFonts w:cs="Calibri"/>
          <w:color w:val="000000"/>
        </w:rPr>
        <w:t xml:space="preserve"> the physical sciences with the understanding of returning to a previous state </w:t>
      </w:r>
      <w:r>
        <w:fldChar w:fldCharType="begin" w:fldLock="1"/>
      </w:r>
      <w:r w:rsidR="00974B75">
        <w:rPr>
          <w:rFonts w:cs="Calibri"/>
          <w:color w:val="000000"/>
        </w:rPr>
        <w:instrText>ADDIN CSL_CITATION {"citationItems":[{"id":"ITEM-1","itemData":{"DOI":"10.1007/s10464-007-9156-6","ISBN":"0091-0562 (Print)","ISSN":"00910562","PMID":"18157631","abstract":"Communities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unknowns.","author":[{"dropping-particle":"","family":"Norris","given":"Fran H.","non-dropping-particle":"","parse-names":false,"suffix":""},{"dropping-particle":"","family":"Stevens","given":"Susan P.","non-dropping-particle":"","parse-names":false,"suffix":""},{"dropping-particle":"","family":"Pfefferbaum","given":"Betty","non-dropping-particle":"","parse-names":false,"suffix":""},{"dropping-particle":"","family":"Wyche","given":"Karen F.","non-dropping-particle":"","parse-names":false,"suffix":""},{"dropping-particle":"","family":"Pfefferbaum","given":"Rose L.","non-dropping-particle":"","parse-names":false,"suffix":""}],"container-title":"American Journal of Community Psychology","id":"ITEM-1","issued":{"date-parts":[["2008"]]},"page":"127-150","title":"Community resilience as a metaphor, theory, set of capacities, and strategy for disaster readiness","type":"article-journal","volume":"41"},"uris":["http://www.mendeley.com/documents/?uuid=ce971e9c-40de-4c41-9d71-39c5bbe61334"]},{"id":"ITEM-2","itemData":{"DOI":"10.1016/j.gloenvcha.2006.04.002","ISBN":"0959-3780","ISSN":"09593780","PMID":"5114078529503471760","abstract":"The resilience perspective is increasingly used as an approach for understanding the dynamics of social-ecological systems. This article presents the origin of the resilience perspective and provides an overview of its development to date. With roots in one branch of ecology and the discovery of multiple basins of attraction in ecosystems in the 1960-1970s, it inspired social and environmental scientists to challenge the dominant stable equilibrium view. The resilience approach emphasizes non-linear dynamics, thresholds, uncertainty and surprise, how periods of gradual change interplay with periods of rapid change and how such dynamics interact across temporal and spatial scales. The history was dominated by empirical observations of ecosystem dynamics interpreted in mathematical models, developing into the adaptive management approach for responding to ecosystem change. Serious attempts to integrate the social dimension is currently taking place in resilience work reflected in the large numbers of sciences involved in explorative studies and new discoveries of linked social-ecological systems. Recent advances include understanding of social processes like, social learning and social memory, mental models and knowledge-system integration, visioning and scenario building, leadership, agents and actor groups, social networks, institutional and organizational inertia and change, adaptive capacity, transformability and systems of adaptive governance that allow for management of essential ecosystem services. © 2006.","author":[{"dropping-particle":"","family":"Folke","given":"Carl","non-dropping-particle":"","parse-names":false,"suffix":""}],"container-title":"Global Environmental Change","id":"ITEM-2","issue":"3","issued":{"date-parts":[["2006"]]},"page":"253-267","title":"Resilience: The emergence of a perspective for social-ecological systems analyses","type":"article-journal","volume":"16"},"uris":["http://www.mendeley.com/documents/?uuid=d1252e50-9f34-4dab-9ba0-b7c60a11ef5a"]}],"mendeley":{"formattedCitation":"(Norris et al., 2008; Folke, 2006)","plainTextFormattedCitation":"(Norris et al., 2008; Folke, 2006)","previouslyFormattedCitation":"(Norris et al., 2008; Folke, 2006)"},"properties":{"noteIndex":0},"schema":"https://github.com/citation-style-language/schema/raw/master/csl-citation.json"}</w:instrText>
      </w:r>
      <w:r>
        <w:rPr>
          <w:rFonts w:cs="Calibri"/>
          <w:color w:val="000000"/>
        </w:rPr>
        <w:fldChar w:fldCharType="separate"/>
      </w:r>
      <w:r>
        <w:rPr>
          <w:rFonts w:cs="Calibri"/>
          <w:noProof/>
          <w:color w:val="000000"/>
        </w:rPr>
        <w:t>(Norris et al., 2008; Folke, 2006)</w:t>
      </w:r>
      <w:r>
        <w:rPr>
          <w:rFonts w:cs="Calibri"/>
          <w:color w:val="000000"/>
        </w:rPr>
        <w:fldChar w:fldCharType="end"/>
      </w:r>
      <w:r>
        <w:rPr>
          <w:rFonts w:cs="Calibri"/>
          <w:color w:val="000000"/>
        </w:rPr>
        <w:t xml:space="preserve">; the ecological discipline with returning to multiple states </w:t>
      </w:r>
      <w:r>
        <w:fldChar w:fldCharType="begin" w:fldLock="1"/>
      </w:r>
      <w:r w:rsidR="00974B75">
        <w:rPr>
          <w:rFonts w:cs="Calibri"/>
          <w:color w:val="000000"/>
        </w:rPr>
        <w:instrText>ADDIN CSL_CITATION {"citationItems":[{"id":"ITEM-1","itemData":{"DOI":"10.1016/j.gloenvcha.2006.04.002","ISBN":"0959-3780","ISSN":"09593780","PMID":"5114078529503471760","abstract":"The resilience perspective is increasingly used as an approach for understanding the dynamics of social-ecological systems. This article presents the origin of the resilience perspective and provides an overview of its development to date. With roots in one branch of ecology and the discovery of multiple basins of attraction in ecosystems in the 1960-1970s, it inspired social and environmental scientists to challenge the dominant stable equilibrium view. The resilience approach emphasizes non-linear dynamics, thresholds, uncertainty and surprise, how periods of gradual change interplay with periods of rapid change and how such dynamics interact across temporal and spatial scales. The history was dominated by empirical observations of ecosystem dynamics interpreted in mathematical models, developing into the adaptive management approach for responding to ecosystem change. Serious attempts to integrate the social dimension is currently taking place in resilience work reflected in the large numbers of sciences involved in explorative studies and new discoveries of linked social-ecological systems. Recent advances include understanding of social processes like, social learning and social memory, mental models and knowledge-system integration, visioning and scenario building, leadership, agents and actor groups, social networks, institutional and organizational inertia and change, adaptive capacity, transformability and systems of adaptive governance that allow for management of essential ecosystem services. © 2006.","author":[{"dropping-particle":"","family":"Folke","given":"Carl","non-dropping-particle":"","parse-names":false,"suffix":""}],"container-title":"Global Environmental Change","id":"ITEM-1","issue":"3","issued":{"date-parts":[["2006"]]},"page":"253-267","title":"Resilience: The emergence of a perspective for social-ecological systems analyses","type":"article-journal","volume":"16"},"uris":["http://www.mendeley.com/documents/?uuid=d1252e50-9f34-4dab-9ba0-b7c60a11ef5a"]},{"id":"ITEM-2","itemData":{"DOI":"10.1080/14649357.2012.677124","author":[{"dropping-particle":"","family":"Davoudi","given":"Simin","non-dropping-particle":"","parse-names":false,"suffix":""},{"dropping-particle":"","family":"Shaw","given":"Keith","non-dropping-particle":"","parse-names":false,"suffix":""},{"dropping-particle":"","family":"Haider","given":"L. Jamila","non-dropping-particle":"","parse-names":false,"suffix":""},{"dropping-particle":"","family":"Quinlan","given":"Allyson E.","non-dropping-particle":"","parse-names":false,"suffix":""},{"dropping-particle":"","family":"Peterson","given":"Garry D.","non-dropping-particle":"","parse-names":false,"suffix":""},{"dropping-particle":"","family":"Wilkinson","given":"Cathy","non-dropping-particle":"","parse-names":false,"suffix":""},{"dropping-particle":"","family":"Funfgeld","given":"Hartmut","non-dropping-particle":"","parse-names":false,"suffix":""},{"dropping-particle":"","family":"McEvoy","given":"Darryn","non-dropping-particle":"","parse-names":false,"suffix":""},{"dropping-particle":"","family":"Porter","given":"Libby","non-dropping-particle":"","parse-names":false,"suffix":""}],"container-title":"Planning Theory &amp; Practice","id":"ITEM-2","issue":"2","issued":{"date-parts":[["2012"]]},"page":"299-333","title":"Resilience: A Bridging Concept or a Dead End? “Reframing” Resilience: Challenges for Planning Theory and Practice Interacting Traps: Resilience Assessment of a Pasture Management System in Northern Afghanistan Urban Resilience: What Does it Mean in Planni","type":"article-journal","volume":"13"},"uris":["http://www.mendeley.com/documents/?uuid=ef14a777-bf62-3db5-9e0e-8005b26f5cf9"]}],"mendeley":{"formattedCitation":"(Davoudi et al., 2012; Folke, 2006)","plainTextFormattedCitation":"(Davoudi et al., 2012; Folke, 2006)","previouslyFormattedCitation":"(Davoudi et al., 2012; Folke, 2006)"},"properties":{"noteIndex":0},"schema":"https://github.com/citation-style-language/schema/raw/master/csl-citation.json"}</w:instrText>
      </w:r>
      <w:r>
        <w:rPr>
          <w:rFonts w:cs="Calibri"/>
          <w:color w:val="000000"/>
        </w:rPr>
        <w:fldChar w:fldCharType="separate"/>
      </w:r>
      <w:r w:rsidR="00974B75" w:rsidRPr="00974B75">
        <w:rPr>
          <w:rFonts w:cs="Calibri"/>
          <w:noProof/>
          <w:color w:val="000000"/>
        </w:rPr>
        <w:t>(Davoudi et al., 2012; Folke, 2006)</w:t>
      </w:r>
      <w:r>
        <w:rPr>
          <w:rFonts w:cs="Calibri"/>
          <w:color w:val="000000"/>
        </w:rPr>
        <w:fldChar w:fldCharType="end"/>
      </w:r>
      <w:r>
        <w:rPr>
          <w:rFonts w:cs="Calibri"/>
          <w:color w:val="000000"/>
        </w:rPr>
        <w:t xml:space="preserve">; and the social sciences with </w:t>
      </w:r>
      <w:r>
        <w:rPr>
          <w:rFonts w:cs="Calibri"/>
          <w:color w:val="000000"/>
          <w:highlight w:val="white"/>
        </w:rPr>
        <w:t>the literature focusing on personal and community resilience</w:t>
      </w:r>
      <w:r>
        <w:rPr>
          <w:rFonts w:cs="Calibri"/>
          <w:color w:val="000000"/>
        </w:rPr>
        <w:t>.</w:t>
      </w:r>
      <w:r>
        <w:rPr>
          <w:rFonts w:cs="Calibri"/>
          <w:color w:val="000000"/>
          <w:highlight w:val="white"/>
        </w:rPr>
        <w:t xml:space="preserve"> </w:t>
      </w:r>
      <w:bookmarkStart w:id="357" w:name="_Hlk155299966"/>
      <w:r>
        <w:rPr>
          <w:rFonts w:cs="Calibri"/>
          <w:color w:val="000000"/>
          <w:highlight w:val="white"/>
        </w:rPr>
        <w:t xml:space="preserve">The changing nature of the term resilience has led to confusion within the literature: whether </w:t>
      </w:r>
      <w:r>
        <w:rPr>
          <w:rFonts w:cs="Calibri"/>
          <w:i/>
          <w:iCs/>
          <w:color w:val="000000"/>
          <w:highlight w:val="white"/>
        </w:rPr>
        <w:t>resilience</w:t>
      </w:r>
      <w:r>
        <w:rPr>
          <w:rFonts w:cs="Calibri"/>
          <w:color w:val="000000"/>
          <w:highlight w:val="white"/>
        </w:rPr>
        <w:t xml:space="preserve"> describes a process or an outcome </w:t>
      </w:r>
      <w:r>
        <w:fldChar w:fldCharType="begin" w:fldLock="1"/>
      </w:r>
      <w:r w:rsidR="00974B75">
        <w:rPr>
          <w:rFonts w:cs="Calibri"/>
          <w:color w:val="000000"/>
          <w:highlight w:val="white"/>
        </w:rPr>
        <w:instrText>ADDIN CSL_CITATION {"citationItems":[{"id":"ITEM-1","itemData":{"DOI":"10.1007/s10464-007-9156-6","ISBN":"0091-0562 (Print)","ISSN":"00910562","PMID":"18157631","abstract":"Communities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unknowns.","author":[{"dropping-particle":"","family":"Norris","given":"Fran H.","non-dropping-particle":"","parse-names":false,"suffix":""},{"dropping-particle":"","family":"Stevens","given":"Susan P.","non-dropping-particle":"","parse-names":false,"suffix":""},{"dropping-particle":"","family":"Pfefferbaum","given":"Betty","non-dropping-particle":"","parse-names":false,"suffix":""},{"dropping-particle":"","family":"Wyche","given":"Karen F.","non-dropping-particle":"","parse-names":false,"suffix":""},{"dropping-particle":"","family":"Pfefferbaum","given":"Rose L.","non-dropping-particle":"","parse-names":false,"suffix":""}],"container-title":"American Journal of Community Psychology","id":"ITEM-1","issued":{"date-parts":[["2008"]]},"page":"127-150","title":"Community resilience as a metaphor, theory, set of capacities, and strategy for disaster readiness","type":"article-journal","volume":"41"},"uris":["http://www.mendeley.com/documents/?uuid=ce971e9c-40de-4c41-9d71-39c5bbe61334"]},{"id":"ITEM-2","itemData":{"DOI":"10.1007/s10464-011-9427-0","ISBN":"1573-2770 (Electronic)\\r0091-0562 (Linking)","ISSN":"00910562","PMID":"21287261","abstract":"In this paper we draw on the findings of a critical, multi-sited ethnographic study of two rural communities affected by a wildfire in British Columbia, Canada to examine the salience of place, identity, and social capital to the disaster recovery process and community disaster resilience. We argue that a reconfiguration of disaster recovery is required that more meaningfully considers the role of place in the disaster recovery process and opens up the space for a more reflective and intentional consideration of the disorientation and disruption associated with disasters and our organized response to that disorientation. We describe a social-psychological process, reorientation, in which affected individuals and communities navigate the psychological, social and emotional responses to the symbolic and material changes to social and geographic place that result from the fire's destruction. The reorientation process emphasizes the critical importance of place not only as an orienting framework in recovery but also as the ground upon which social capital and community disaster resilience are built. This approach to understanding and responding to the disorientation of disasters has implications for community psychologists and other service providers engaged in supporting disaster survivors. This includes the need to consider the complex dynamic of contextual and cultural factors that influence the disaster recovery process.","author":[{"dropping-particle":"","family":"Cox","given":"Robin S.","non-dropping-particle":"","parse-names":false,"suffix":""},{"dropping-particle":"","family":"Perry","given":"Karen Marie Elah","non-dropping-particle":"","parse-names":false,"suffix":""}],"container-title":"American Journal of Community Psychology","id":"ITEM-2","issued":{"date-parts":[["2011"]]},"page":"395-411","title":"Like a Fish Out of Water: Reconsidering Disaster Recovery and the Role of Place and Social Capital in Community Disaster Resilience","type":"article-journal","volume":"48"},"uris":["http://www.mendeley.com/documents/?uuid=7cc0bc64-5b6c-47d3-b8e2-087a2c2fd9f6"]},{"id":"ITEM-3","itemData":{"DOI":"10.1146/annurev.energy.32.051807.090348","ISBN":"1708-3087","ISSN":"0954-5794","PMID":"7615","abstract":"Despite the recent popularity and frequent use of the disaster resilience concept in the academic, re- search, and policy programs, there is a limited theoretical understanding of this concept. For instance, it is not clear how this concept should be operationalized and what its determinant factors are or how they can be measured. Al- though the recent literatures on hazard and disaster frequently refer to resilience concept as a guiding principle behind an effective hazard risk management, making it operational for policies raises critical challenges in terms of its as- sessment. This paper is an attempt to develop a conceptual and methodological framework for the analysis, measure- ment, and mapping of community disaster resilience. The paper specifically intends to archive three objectives. Firstly, it examines the general definitional issues of the concept of resilience with a focus on community disaster re- silience. Secondly, it reviews the frameworks that are currently used to measure community resilience. Thirdly, it evaluates the existing methods that are used to develop resilience indices, and based on this review, a methodology on how to measure community disaster resilience is proposed. Finally, it summarizes the limitations and recommen- dations for further improvement of the methodology.","author":[{"dropping-particle":"","family":"Mayunga","given":"Joseph S","non-dropping-particle":"","parse-names":false,"suffix":""}],"container-title":"Summer academy for social vulnerability and resilience building","id":"ITEM-3","issue":"1","issued":{"date-parts":[["2007"]]},"number-of-pages":"1-16","publisher-place":"Munich","title":"Understanding and Applying the Concept of Community Disaster Resilience : A capital-based approach","type":"report"},"uris":["http://www.mendeley.com/documents/?uuid=8d9105d9-093b-4ab1-98f2-8230311a4cbf"]},{"id":"ITEM-4","itemData":{"DOI":"10.1016/j.ijdrr.2021.102664","ISBN":"2548607003","ISSN":"22124209","abstract":"Against the backdrop of the COVID-19 pandemic, there is widespread agreement in the field of public health that community resilience should be maintained and strengthened. However, there are significant differences in the pandemic prevention effects between different communities in different areas. To explore the main influencing factors on community resilience and the magnitude of their impact during the pandemic, this study collected 650 valid questionnaires from Shanghai, Wuhan and Chengdu by using the Communities Advancing Resilience Toolkit Assessment Survey (CART). Data collection was conducted from February to March 2020 when this three cities activated a Level One public health emergency response. The data were analyzed by using multiple linear regression analysis and structural equation model. Results indicate that: (1) Domains such as Information and Communication, and Connection and Caring scored higher, while Disaster Management, Resources and Transformative Potential scored lower; (2) A community got higher resilience scores if it took more effective measures to prevent and control the pandemic(Shanghai &gt; Chengdu &gt; Wuhan), people within the community participated more actively in disaster risk reduction activities and activities of volunteer responder groups, and people were more closely connected with the community; (3) Variables such as the participation in affiliated volunteer responder groups, and community disaster risk reduction activities exerted the biggest impact on community resilience. Therefore, it is urgent to establish a community-based, resilience-centered framework of community resilience in the post-pandemic era. This framework will strengthen a community's capacity to cope with disasters and risks.","author":[{"dropping-particle":"","family":"Fenxia","given":"Zhang","non-dropping-particle":"","parse-names":false,"suffix":""}],"container-title":"International Journal of Disaster Risk Reduction","id":"ITEM-4","issued":{"date-parts":[["2022"]]},"page":"1 - 17","title":"The community resilience measurement throughout the COVID-19 pandemic and beyond -an empirical study based on data from Shanghai, Wuhan and Chengdu","type":"article-journal","volume":"67"},"uris":["http://www.mendeley.com/documents/?uuid=75366718-c1b6-4e53-8728-6262ea99eff8"]}],"mendeley":{"formattedCitation":"(Fenxia, 2022; Cox &amp; Perry, 2011; Norris et al., 2008; Mayunga, 2007)","plainTextFormattedCitation":"(Fenxia, 2022; Cox &amp; Perry, 2011; Norris et al., 2008; Mayunga, 2007)","previouslyFormattedCitation":"(Fenxia, 2022; Cox &amp; Perry, 2011; Norris et al., 2008; Mayunga, 2007)"},"properties":{"noteIndex":0},"schema":"https://github.com/citation-style-language/schema/raw/master/csl-citation.json"}</w:instrText>
      </w:r>
      <w:r>
        <w:rPr>
          <w:rFonts w:cs="Calibri"/>
          <w:color w:val="000000"/>
          <w:highlight w:val="white"/>
        </w:rPr>
        <w:fldChar w:fldCharType="separate"/>
      </w:r>
      <w:r>
        <w:rPr>
          <w:rFonts w:cs="Calibri"/>
          <w:noProof/>
          <w:color w:val="000000"/>
          <w:highlight w:val="white"/>
        </w:rPr>
        <w:t>(Fenxia, 2022; Cox &amp; Perry, 2011; Norris et al., 2008; Mayunga, 2007)</w:t>
      </w:r>
      <w:r>
        <w:rPr>
          <w:rFonts w:cs="Calibri"/>
          <w:color w:val="000000"/>
          <w:highlight w:val="white"/>
        </w:rPr>
        <w:fldChar w:fldCharType="end"/>
      </w:r>
      <w:r>
        <w:rPr>
          <w:rFonts w:cs="Calibri"/>
          <w:color w:val="000000"/>
          <w:highlight w:val="white"/>
        </w:rPr>
        <w:t xml:space="preserve">. I believe that it can be both. In the case of the FRS, they have an obligation to prevent fire. This means that supporting individuals and the wider community to be aware of fire risk would mean the outcome is either having a house fire or </w:t>
      </w:r>
      <w:r w:rsidR="0035515B">
        <w:rPr>
          <w:rFonts w:cs="Calibri"/>
          <w:color w:val="000000"/>
          <w:highlight w:val="white"/>
        </w:rPr>
        <w:t>not and</w:t>
      </w:r>
      <w:r>
        <w:rPr>
          <w:rFonts w:cs="Calibri"/>
          <w:color w:val="000000"/>
          <w:highlight w:val="white"/>
        </w:rPr>
        <w:t xml:space="preserve"> is therefore a binary condition. However, taking the focus away from fire onto more community wide challenges</w:t>
      </w:r>
      <w:r w:rsidR="00B24A85">
        <w:rPr>
          <w:rFonts w:cs="Calibri"/>
          <w:color w:val="000000"/>
          <w:highlight w:val="white"/>
        </w:rPr>
        <w:t xml:space="preserve"> (</w:t>
      </w:r>
      <w:r>
        <w:rPr>
          <w:rFonts w:cs="Calibri"/>
          <w:color w:val="000000"/>
          <w:highlight w:val="white"/>
        </w:rPr>
        <w:t>such as flooding, wildfires, or pandemics</w:t>
      </w:r>
      <w:r w:rsidR="00B24A85">
        <w:rPr>
          <w:rFonts w:cs="Calibri"/>
          <w:color w:val="000000"/>
          <w:highlight w:val="white"/>
        </w:rPr>
        <w:t>)</w:t>
      </w:r>
      <w:r>
        <w:rPr>
          <w:rFonts w:cs="Calibri"/>
          <w:color w:val="000000"/>
          <w:highlight w:val="white"/>
        </w:rPr>
        <w:t xml:space="preserve"> they are not static and have varying scales of impact and therefore the community needs to adapt to changes as and when they happen. </w:t>
      </w:r>
    </w:p>
    <w:p w14:paraId="6752F162" w14:textId="77777777" w:rsidR="00DA57F7" w:rsidRDefault="00DA57F7" w:rsidP="00866155"/>
    <w:p w14:paraId="0178BDE0" w14:textId="32411F7C" w:rsidR="00787F73" w:rsidRDefault="00742FB7" w:rsidP="00AD4FD8">
      <w:r>
        <w:rPr>
          <w:rFonts w:cs="Calibri"/>
          <w:color w:val="000000"/>
          <w:highlight w:val="white"/>
        </w:rPr>
        <w:t xml:space="preserve">This has also been developed further with three different time scales of resilience: reactive resilience, referring to resilience happening immediately after the event; responsive resilience, which is based on learning from an event; and finally, proactive resilience, which </w:t>
      </w:r>
      <w:r>
        <w:rPr>
          <w:rFonts w:cs="Calibri"/>
          <w:color w:val="000000"/>
          <w:highlight w:val="white"/>
        </w:rPr>
        <w:lastRenderedPageBreak/>
        <w:t xml:space="preserve">looks towards the future and includes experimentation, reflection and learning </w:t>
      </w:r>
      <w:r>
        <w:fldChar w:fldCharType="begin" w:fldLock="1"/>
      </w:r>
      <w:r>
        <w:rPr>
          <w:rFonts w:cs="Calibri"/>
          <w:color w:val="000000"/>
          <w:highlight w:val="white"/>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Pr>
          <w:rFonts w:cs="Calibri"/>
          <w:color w:val="000000"/>
          <w:highlight w:val="white"/>
        </w:rPr>
        <w:fldChar w:fldCharType="separate"/>
      </w:r>
      <w:r>
        <w:rPr>
          <w:rFonts w:cs="Calibri"/>
          <w:noProof/>
          <w:color w:val="000000"/>
          <w:highlight w:val="white"/>
        </w:rPr>
        <w:t>(Carmen et al., 2022)</w:t>
      </w:r>
      <w:r>
        <w:rPr>
          <w:rFonts w:cs="Calibri"/>
          <w:color w:val="000000"/>
          <w:highlight w:val="white"/>
        </w:rPr>
        <w:fldChar w:fldCharType="end"/>
      </w:r>
      <w:r>
        <w:rPr>
          <w:rFonts w:cs="Calibri"/>
          <w:color w:val="000000"/>
          <w:highlight w:val="white"/>
        </w:rPr>
        <w:t xml:space="preserve">. This theme of temporality is continued with the use of the </w:t>
      </w:r>
      <w:r w:rsidR="0038275C">
        <w:rPr>
          <w:rFonts w:cs="Calibri"/>
        </w:rPr>
        <w:t xml:space="preserve">Disaster Management Cycle </w:t>
      </w:r>
      <w:r>
        <w:rPr>
          <w:rFonts w:cs="Calibri"/>
          <w:color w:val="000000"/>
          <w:highlight w:val="white"/>
        </w:rPr>
        <w:t xml:space="preserve">and examines at which point the resilience can begin, with recent research suggesting that the post-disaster phase is an important stage for community resilience </w:t>
      </w:r>
      <w:r>
        <w:fldChar w:fldCharType="begin" w:fldLock="1"/>
      </w:r>
      <w:r>
        <w:rPr>
          <w:rFonts w:cs="Calibri"/>
          <w:color w:val="000000"/>
          <w:highlight w:val="white"/>
        </w:rPr>
        <w:instrText>ADDIN CSL_CITATION {"citationItems":[{"id":"ITEM-1","itemData":{"DOI":"10.1080/23789689.2020.1722546","ISSN":"23789697","abstract":"Floods can be devastating to communities and result in fatalities and injuries, negatively impacting the economy, and quality of life. This paper presents a review of community resilience research with a focus on flood hazard including recent advances in flood risk quantification methods and trends to integrate socio-economic factors. The focus of this review was placed on flood risk components including hazard, exposure, and vulnerability to move the current research from deterministic to probabilistic approaches in order to propagate uncertainties through flood modeling, damage, loss, and recovery. Both short-term and long-term impacts of different flood resilience measures are included. The largest gap identified in flood risk research was the need for a standardized quantitative assessment tool or framework that could measure the impact of approaches to improve resilience at the community level. That tool should include the interactions between the different community systems (physical infrastructure, economic systems, and social systems).","author":[{"dropping-particle":"","family":"Nofal","given":"Omar M.","non-dropping-particle":"","parse-names":false,"suffix":""},{"dropping-particle":"","family":"Lindt","given":"John W.","non-dropping-particle":"van de","parse-names":false,"suffix":""}],"container-title":"Sustainable and Resilient Infrastructure","id":"ITEM-1","issue":"3","issued":{"date-parts":[["2022"]]},"page":"171-187","title":"Understanding flood risk in the context of community resilience modeling for the built environment: research needs and trends","type":"article-journal","volume":"7"},"uris":["http://www.mendeley.com/documents/?uuid=6738e6e3-5c34-45fa-8d91-c43de1d0a89c"]}],"mendeley":{"formattedCitation":"(Nofal &amp; van de Lindt, 2022)","plainTextFormattedCitation":"(Nofal &amp; van de Lindt, 2022)","previouslyFormattedCitation":"(Nofal &amp; van de Lindt, 2022)"},"properties":{"noteIndex":0},"schema":"https://github.com/citation-style-language/schema/raw/master/csl-citation.json"}</w:instrText>
      </w:r>
      <w:bookmarkStart w:id="358" w:name="_Hlk153266691"/>
      <w:r>
        <w:rPr>
          <w:rFonts w:cs="Calibri"/>
          <w:color w:val="000000"/>
          <w:highlight w:val="white"/>
        </w:rPr>
        <w:fldChar w:fldCharType="separate"/>
      </w:r>
      <w:r>
        <w:rPr>
          <w:rFonts w:cs="Calibri"/>
          <w:noProof/>
        </w:rPr>
        <w:t>(Nofal &amp; van de Lindt, 2022)</w:t>
      </w:r>
      <w:r>
        <w:rPr>
          <w:rFonts w:cs="Calibri"/>
          <w:color w:val="000000"/>
          <w:highlight w:val="white"/>
        </w:rPr>
        <w:fldChar w:fldCharType="end"/>
      </w:r>
      <w:r>
        <w:rPr>
          <w:rFonts w:cs="Calibri"/>
        </w:rPr>
        <w:t xml:space="preserve">. </w:t>
      </w:r>
      <w:bookmarkEnd w:id="357"/>
      <w:bookmarkEnd w:id="358"/>
      <w:r w:rsidR="00AD4FD8">
        <w:rPr>
          <w:rFonts w:cs="Calibri"/>
        </w:rPr>
        <w:t>T</w:t>
      </w:r>
      <w:r>
        <w:rPr>
          <w:rFonts w:cs="Calibri"/>
        </w:rPr>
        <w:t xml:space="preserve">hese categorisations of resilience show how large and amorphous the concept of resilience is </w:t>
      </w:r>
      <w:r>
        <w:fldChar w:fldCharType="begin" w:fldLock="1"/>
      </w:r>
      <w:r>
        <w:rPr>
          <w:rFonts w:cs="Calibri"/>
        </w:rPr>
        <w:instrText>ADDIN CSL_CITATION {"citationItems":[{"id":"ITEM-1","itemData":{"author":[{"dropping-particle":"","family":"Ludin","given":"Salizar M.","non-dropping-particle":"","parse-names":false,"suffix":""},{"dropping-particle":"","family":"Rohaizat","given":"Munirah","non-dropping-particle":"","parse-names":false,"suffix":""},{"dropping-particle":"","family":"Arbon","given":"Paul","non-dropping-particle":"","parse-names":false,"suffix":""}],"container-title":"Health and Social Care in the Community","id":"ITEM-1","issue":"3","issued":{"date-parts":[["2019"]]},"page":"621 - 631","title":"The association between social cohesion and community disaster resilience: A cross‐sectional study","type":"article-journal","volume":"27"},"uris":["http://www.mendeley.com/documents/?uuid=818d7348-40a6-4380-acb5-bd2c514990f2"]}],"mendeley":{"formattedCitation":"(Ludin, Rohaizat, &amp; Arbon, 2019)","plainTextFormattedCitation":"(Ludin, Rohaizat, &amp; Arbon, 2019)","previouslyFormattedCitation":"(Ludin, Rohaizat, &amp; Arbon, 2019)"},"properties":{"noteIndex":0},"schema":"https://github.com/citation-style-language/schema/raw/master/csl-citation.json"}</w:instrText>
      </w:r>
      <w:r>
        <w:rPr>
          <w:rFonts w:cs="Calibri"/>
        </w:rPr>
        <w:fldChar w:fldCharType="separate"/>
      </w:r>
      <w:r>
        <w:rPr>
          <w:rFonts w:cs="Calibri"/>
          <w:noProof/>
        </w:rPr>
        <w:t>(Ludin, Rohaizat, &amp; Arbon, 2019)</w:t>
      </w:r>
      <w:r>
        <w:rPr>
          <w:rFonts w:cs="Calibri"/>
        </w:rPr>
        <w:fldChar w:fldCharType="end"/>
      </w:r>
      <w:r w:rsidR="00AD4FD8">
        <w:rPr>
          <w:rFonts w:cs="Calibri"/>
        </w:rPr>
        <w:t xml:space="preserve">. </w:t>
      </w:r>
      <w:r w:rsidR="00AD4FD8">
        <w:rPr>
          <w:rFonts w:cs="Calibri"/>
          <w:color w:val="000000"/>
        </w:rPr>
        <w:t>This highlights how resilience can be both an outcome and a process and can also be developed at different stages (reactive, responsive, or proactive). This suggests that a definition of resilience is dependent on the context. Therefore, it will be challenging to create a definition which encompasses the different conceptual features of resilience.</w:t>
      </w:r>
      <w:r w:rsidR="001B677D">
        <w:rPr>
          <w:rFonts w:cs="Calibri"/>
        </w:rPr>
        <w:t xml:space="preserve"> </w:t>
      </w:r>
      <w:r w:rsidR="00AD4FD8">
        <w:rPr>
          <w:rFonts w:cs="Calibri"/>
        </w:rPr>
        <w:t>T</w:t>
      </w:r>
      <w:r>
        <w:rPr>
          <w:rFonts w:cs="Calibri"/>
        </w:rPr>
        <w:t xml:space="preserve">his requires a wider understanding of resilience that focuses on the individual properties that add up to resilience. </w:t>
      </w:r>
    </w:p>
    <w:p w14:paraId="1018F4BF" w14:textId="77777777" w:rsidR="00787F73" w:rsidRDefault="00787F73" w:rsidP="00866155">
      <w:pPr>
        <w:rPr>
          <w:rFonts w:cs="Calibri"/>
        </w:rPr>
      </w:pPr>
    </w:p>
    <w:p w14:paraId="287209F9" w14:textId="77777777" w:rsidR="00787F73" w:rsidRDefault="00742FB7" w:rsidP="00866155">
      <w:pPr>
        <w:pStyle w:val="Heading4"/>
        <w:spacing w:line="360" w:lineRule="auto"/>
      </w:pPr>
      <w:bookmarkStart w:id="359" w:name="_Hlk155300118"/>
      <w:r>
        <w:rPr>
          <w:rFonts w:ascii="Calibri" w:hAnsi="Calibri" w:cs="Calibri"/>
        </w:rPr>
        <w:t>Community resilience</w:t>
      </w:r>
    </w:p>
    <w:p w14:paraId="14503FAA" w14:textId="47D2DB94" w:rsidR="00787F73" w:rsidRDefault="00742FB7" w:rsidP="001B677D">
      <w:pPr>
        <w:rPr>
          <w:rFonts w:cs="Calibri"/>
        </w:rPr>
      </w:pPr>
      <w:r>
        <w:rPr>
          <w:rFonts w:cs="Calibri"/>
        </w:rPr>
        <w:t>Community resilience is a complex concept, and as such can be broken down into smaller factors which combine to create community resilience. This is again a contested space, with various researchers suggesting different combinations of elements combining to create resilience. Patel et al.’s (2017) systematic literature review explored the different characteristics of resilience and suggested that there were nine main elements and 19 sub-elements of resilience within the literature at the time, as shown in Table 1.</w:t>
      </w:r>
    </w:p>
    <w:tbl>
      <w:tblPr>
        <w:tblW w:w="8926" w:type="dxa"/>
        <w:jc w:val="center"/>
        <w:tblLayout w:type="fixed"/>
        <w:tblLook w:val="04A0" w:firstRow="1" w:lastRow="0" w:firstColumn="1" w:lastColumn="0" w:noHBand="0" w:noVBand="1"/>
      </w:tblPr>
      <w:tblGrid>
        <w:gridCol w:w="4388"/>
        <w:gridCol w:w="4538"/>
      </w:tblGrid>
      <w:tr w:rsidR="00787F73" w14:paraId="47885EF1" w14:textId="77777777">
        <w:trPr>
          <w:jc w:val="center"/>
        </w:trPr>
        <w:tc>
          <w:tcPr>
            <w:tcW w:w="4388" w:type="dxa"/>
            <w:tcBorders>
              <w:top w:val="single" w:sz="4" w:space="0" w:color="70AD47"/>
              <w:left w:val="single" w:sz="4" w:space="0" w:color="70AD47"/>
            </w:tcBorders>
            <w:shd w:val="clear" w:color="auto" w:fill="70AD47"/>
          </w:tcPr>
          <w:p w14:paraId="65A717CD" w14:textId="77777777" w:rsidR="00787F73" w:rsidRDefault="00742FB7" w:rsidP="00866155">
            <w:pPr>
              <w:pageBreakBefore/>
              <w:jc w:val="center"/>
            </w:pPr>
            <w:r>
              <w:rPr>
                <w:rFonts w:cs="Calibri"/>
                <w:b/>
                <w:bCs/>
                <w:lang w:eastAsia="en-US"/>
              </w:rPr>
              <w:lastRenderedPageBreak/>
              <w:t>Element</w:t>
            </w:r>
          </w:p>
        </w:tc>
        <w:tc>
          <w:tcPr>
            <w:tcW w:w="4537" w:type="dxa"/>
            <w:tcBorders>
              <w:top w:val="single" w:sz="4" w:space="0" w:color="70AD47"/>
              <w:right w:val="single" w:sz="4" w:space="0" w:color="70AD47"/>
            </w:tcBorders>
            <w:shd w:val="clear" w:color="auto" w:fill="70AD47"/>
          </w:tcPr>
          <w:p w14:paraId="5648F268" w14:textId="77777777" w:rsidR="00787F73" w:rsidRDefault="00742FB7" w:rsidP="00866155">
            <w:pPr>
              <w:jc w:val="center"/>
            </w:pPr>
            <w:r>
              <w:rPr>
                <w:rFonts w:cs="Calibri"/>
                <w:b/>
                <w:bCs/>
                <w:lang w:eastAsia="en-US"/>
              </w:rPr>
              <w:t>Sub Element</w:t>
            </w:r>
          </w:p>
        </w:tc>
      </w:tr>
      <w:tr w:rsidR="00787F73" w14:paraId="7E127219" w14:textId="77777777">
        <w:trPr>
          <w:jc w:val="center"/>
        </w:trPr>
        <w:tc>
          <w:tcPr>
            <w:tcW w:w="4388" w:type="dxa"/>
            <w:vMerge w:val="restart"/>
            <w:tcBorders>
              <w:top w:val="single" w:sz="4" w:space="0" w:color="70AD47"/>
              <w:left w:val="single" w:sz="4" w:space="0" w:color="70AD47"/>
              <w:bottom w:val="single" w:sz="4" w:space="0" w:color="70AD47"/>
              <w:right w:val="single" w:sz="4" w:space="0" w:color="70AD47"/>
            </w:tcBorders>
            <w:shd w:val="clear" w:color="auto" w:fill="FFFFFF"/>
          </w:tcPr>
          <w:p w14:paraId="55AF1140" w14:textId="77777777" w:rsidR="00787F73" w:rsidRDefault="00742FB7" w:rsidP="00866155">
            <w:r>
              <w:rPr>
                <w:rFonts w:cs="Calibri"/>
                <w:b/>
                <w:bCs/>
                <w:lang w:eastAsia="en-US"/>
              </w:rPr>
              <w:t>Local knowledge</w:t>
            </w:r>
          </w:p>
        </w:tc>
        <w:tc>
          <w:tcPr>
            <w:tcW w:w="4537" w:type="dxa"/>
            <w:tcBorders>
              <w:top w:val="single" w:sz="4" w:space="0" w:color="70AD47"/>
              <w:left w:val="single" w:sz="4" w:space="0" w:color="70AD47"/>
              <w:bottom w:val="single" w:sz="4" w:space="0" w:color="70AD47"/>
              <w:right w:val="single" w:sz="4" w:space="0" w:color="70AD47"/>
            </w:tcBorders>
          </w:tcPr>
          <w:p w14:paraId="3835ABF4" w14:textId="77777777" w:rsidR="00787F73" w:rsidRDefault="00742FB7" w:rsidP="00866155">
            <w:r>
              <w:rPr>
                <w:rFonts w:cs="Calibri"/>
                <w:lang w:eastAsia="en-US"/>
              </w:rPr>
              <w:t>Factual knowledge</w:t>
            </w:r>
          </w:p>
        </w:tc>
      </w:tr>
      <w:tr w:rsidR="00787F73" w14:paraId="5757037B" w14:textId="77777777">
        <w:trPr>
          <w:jc w:val="center"/>
        </w:trPr>
        <w:tc>
          <w:tcPr>
            <w:tcW w:w="4388" w:type="dxa"/>
            <w:vMerge/>
            <w:tcBorders>
              <w:top w:val="single" w:sz="4" w:space="0" w:color="70AD47"/>
              <w:left w:val="single" w:sz="4" w:space="0" w:color="70AD47"/>
              <w:bottom w:val="single" w:sz="4" w:space="0" w:color="70AD47"/>
              <w:right w:val="single" w:sz="4" w:space="0" w:color="70AD47"/>
            </w:tcBorders>
            <w:shd w:val="clear" w:color="auto" w:fill="FFFFFF"/>
          </w:tcPr>
          <w:p w14:paraId="24B02DB5" w14:textId="77777777" w:rsidR="00787F73" w:rsidRDefault="00787F73" w:rsidP="00866155"/>
        </w:tc>
        <w:tc>
          <w:tcPr>
            <w:tcW w:w="4537" w:type="dxa"/>
            <w:tcBorders>
              <w:left w:val="single" w:sz="4" w:space="0" w:color="70AD47"/>
              <w:right w:val="single" w:sz="4" w:space="0" w:color="70AD47"/>
            </w:tcBorders>
          </w:tcPr>
          <w:p w14:paraId="15D63FB7" w14:textId="77777777" w:rsidR="00787F73" w:rsidRDefault="00742FB7" w:rsidP="00866155">
            <w:r>
              <w:rPr>
                <w:rFonts w:cs="Calibri"/>
                <w:lang w:eastAsia="en-US"/>
              </w:rPr>
              <w:t>Training and education</w:t>
            </w:r>
          </w:p>
        </w:tc>
      </w:tr>
      <w:tr w:rsidR="00787F73" w14:paraId="0834E3CF" w14:textId="77777777">
        <w:trPr>
          <w:jc w:val="center"/>
        </w:trPr>
        <w:tc>
          <w:tcPr>
            <w:tcW w:w="4388" w:type="dxa"/>
            <w:vMerge/>
            <w:tcBorders>
              <w:top w:val="single" w:sz="4" w:space="0" w:color="70AD47"/>
              <w:left w:val="single" w:sz="4" w:space="0" w:color="70AD47"/>
              <w:bottom w:val="single" w:sz="4" w:space="0" w:color="70AD47"/>
              <w:right w:val="single" w:sz="4" w:space="0" w:color="70AD47"/>
            </w:tcBorders>
            <w:shd w:val="clear" w:color="auto" w:fill="FFFFFF"/>
          </w:tcPr>
          <w:p w14:paraId="402D61C5" w14:textId="77777777" w:rsidR="00787F73" w:rsidRDefault="00787F73" w:rsidP="00866155"/>
        </w:tc>
        <w:tc>
          <w:tcPr>
            <w:tcW w:w="4537" w:type="dxa"/>
            <w:tcBorders>
              <w:top w:val="single" w:sz="4" w:space="0" w:color="70AD47"/>
              <w:left w:val="single" w:sz="4" w:space="0" w:color="70AD47"/>
              <w:bottom w:val="single" w:sz="4" w:space="0" w:color="70AD47"/>
              <w:right w:val="single" w:sz="4" w:space="0" w:color="70AD47"/>
            </w:tcBorders>
          </w:tcPr>
          <w:p w14:paraId="280CA579" w14:textId="77777777" w:rsidR="00787F73" w:rsidRDefault="00742FB7" w:rsidP="00866155">
            <w:r>
              <w:rPr>
                <w:rFonts w:cs="Calibri"/>
                <w:lang w:eastAsia="en-US"/>
              </w:rPr>
              <w:t>Collective Efficacy and empowerment</w:t>
            </w:r>
          </w:p>
        </w:tc>
      </w:tr>
      <w:tr w:rsidR="00787F73" w14:paraId="0893A355" w14:textId="77777777">
        <w:trPr>
          <w:jc w:val="center"/>
        </w:trPr>
        <w:tc>
          <w:tcPr>
            <w:tcW w:w="4388" w:type="dxa"/>
            <w:vMerge w:val="restart"/>
            <w:tcBorders>
              <w:left w:val="single" w:sz="4" w:space="0" w:color="70AD47"/>
              <w:bottom w:val="single" w:sz="4" w:space="0" w:color="70AD47"/>
            </w:tcBorders>
            <w:shd w:val="clear" w:color="auto" w:fill="FFFFFF"/>
          </w:tcPr>
          <w:p w14:paraId="70142F4C" w14:textId="77777777" w:rsidR="00787F73" w:rsidRDefault="00742FB7" w:rsidP="00866155">
            <w:r>
              <w:rPr>
                <w:rFonts w:cs="Calibri"/>
                <w:b/>
                <w:bCs/>
                <w:lang w:eastAsia="en-US"/>
              </w:rPr>
              <w:t>Community Networks and Relationships</w:t>
            </w:r>
          </w:p>
        </w:tc>
        <w:tc>
          <w:tcPr>
            <w:tcW w:w="4537" w:type="dxa"/>
            <w:tcBorders>
              <w:left w:val="single" w:sz="4" w:space="0" w:color="70AD47"/>
              <w:right w:val="single" w:sz="4" w:space="0" w:color="70AD47"/>
            </w:tcBorders>
          </w:tcPr>
          <w:p w14:paraId="5167722A" w14:textId="77777777" w:rsidR="00787F73" w:rsidRDefault="00742FB7" w:rsidP="00866155">
            <w:r>
              <w:rPr>
                <w:rFonts w:cs="Calibri"/>
                <w:lang w:eastAsia="en-US"/>
              </w:rPr>
              <w:t>Connectedness</w:t>
            </w:r>
          </w:p>
        </w:tc>
      </w:tr>
      <w:tr w:rsidR="00787F73" w14:paraId="60F225D5" w14:textId="77777777">
        <w:trPr>
          <w:jc w:val="center"/>
        </w:trPr>
        <w:tc>
          <w:tcPr>
            <w:tcW w:w="4388" w:type="dxa"/>
            <w:vMerge/>
            <w:tcBorders>
              <w:left w:val="single" w:sz="4" w:space="0" w:color="70AD47"/>
              <w:bottom w:val="single" w:sz="4" w:space="0" w:color="70AD47"/>
            </w:tcBorders>
            <w:shd w:val="clear" w:color="auto" w:fill="FFFFFF"/>
          </w:tcPr>
          <w:p w14:paraId="22EDA0D7" w14:textId="77777777" w:rsidR="00787F73" w:rsidRDefault="00787F73" w:rsidP="00866155"/>
        </w:tc>
        <w:tc>
          <w:tcPr>
            <w:tcW w:w="4537" w:type="dxa"/>
            <w:tcBorders>
              <w:top w:val="single" w:sz="4" w:space="0" w:color="70AD47"/>
              <w:left w:val="single" w:sz="4" w:space="0" w:color="70AD47"/>
              <w:bottom w:val="single" w:sz="4" w:space="0" w:color="70AD47"/>
              <w:right w:val="single" w:sz="4" w:space="0" w:color="70AD47"/>
            </w:tcBorders>
          </w:tcPr>
          <w:p w14:paraId="11400AFC" w14:textId="77777777" w:rsidR="00787F73" w:rsidRDefault="00742FB7" w:rsidP="00866155">
            <w:r>
              <w:rPr>
                <w:rFonts w:cs="Calibri"/>
                <w:lang w:eastAsia="en-US"/>
              </w:rPr>
              <w:t>Cohesion</w:t>
            </w:r>
          </w:p>
        </w:tc>
      </w:tr>
      <w:tr w:rsidR="00787F73" w14:paraId="7A5FFB63" w14:textId="77777777">
        <w:trPr>
          <w:jc w:val="center"/>
        </w:trPr>
        <w:tc>
          <w:tcPr>
            <w:tcW w:w="4388" w:type="dxa"/>
            <w:vMerge w:val="restart"/>
            <w:tcBorders>
              <w:left w:val="single" w:sz="4" w:space="0" w:color="70AD47"/>
            </w:tcBorders>
            <w:shd w:val="clear" w:color="auto" w:fill="FFFFFF"/>
          </w:tcPr>
          <w:p w14:paraId="44A256BD" w14:textId="77777777" w:rsidR="00787F73" w:rsidRDefault="00742FB7" w:rsidP="00866155">
            <w:r>
              <w:rPr>
                <w:rFonts w:cs="Calibri"/>
                <w:b/>
                <w:bCs/>
                <w:lang w:eastAsia="en-US"/>
              </w:rPr>
              <w:t>Communication</w:t>
            </w:r>
          </w:p>
        </w:tc>
        <w:tc>
          <w:tcPr>
            <w:tcW w:w="4537" w:type="dxa"/>
            <w:tcBorders>
              <w:left w:val="single" w:sz="4" w:space="0" w:color="70AD47"/>
              <w:right w:val="single" w:sz="4" w:space="0" w:color="70AD47"/>
            </w:tcBorders>
          </w:tcPr>
          <w:p w14:paraId="22E65BE4" w14:textId="77777777" w:rsidR="00787F73" w:rsidRDefault="00742FB7" w:rsidP="00866155">
            <w:r>
              <w:rPr>
                <w:rFonts w:cs="Calibri"/>
                <w:lang w:eastAsia="en-US"/>
              </w:rPr>
              <w:t>Risk communication</w:t>
            </w:r>
          </w:p>
        </w:tc>
      </w:tr>
      <w:tr w:rsidR="00787F73" w14:paraId="56CC73FC" w14:textId="77777777">
        <w:trPr>
          <w:jc w:val="center"/>
        </w:trPr>
        <w:tc>
          <w:tcPr>
            <w:tcW w:w="4388" w:type="dxa"/>
            <w:vMerge/>
            <w:tcBorders>
              <w:left w:val="single" w:sz="4" w:space="0" w:color="70AD47"/>
            </w:tcBorders>
            <w:shd w:val="clear" w:color="auto" w:fill="FFFFFF"/>
          </w:tcPr>
          <w:p w14:paraId="4F3C02B2" w14:textId="77777777" w:rsidR="00787F73" w:rsidRDefault="00787F73" w:rsidP="00866155"/>
        </w:tc>
        <w:tc>
          <w:tcPr>
            <w:tcW w:w="4537" w:type="dxa"/>
            <w:tcBorders>
              <w:top w:val="single" w:sz="4" w:space="0" w:color="70AD47"/>
              <w:left w:val="single" w:sz="4" w:space="0" w:color="70AD47"/>
              <w:bottom w:val="single" w:sz="4" w:space="0" w:color="70AD47"/>
              <w:right w:val="single" w:sz="4" w:space="0" w:color="70AD47"/>
            </w:tcBorders>
          </w:tcPr>
          <w:p w14:paraId="4C4038B6" w14:textId="77777777" w:rsidR="00787F73" w:rsidRDefault="00742FB7" w:rsidP="00866155">
            <w:r>
              <w:rPr>
                <w:rFonts w:cs="Calibri"/>
                <w:lang w:eastAsia="en-US"/>
              </w:rPr>
              <w:t>Effective communication</w:t>
            </w:r>
          </w:p>
        </w:tc>
      </w:tr>
      <w:tr w:rsidR="00787F73" w14:paraId="720560A3" w14:textId="77777777">
        <w:trPr>
          <w:jc w:val="center"/>
        </w:trPr>
        <w:tc>
          <w:tcPr>
            <w:tcW w:w="4388" w:type="dxa"/>
            <w:vMerge/>
            <w:tcBorders>
              <w:left w:val="single" w:sz="4" w:space="0" w:color="70AD47"/>
            </w:tcBorders>
            <w:shd w:val="clear" w:color="auto" w:fill="FFFFFF"/>
          </w:tcPr>
          <w:p w14:paraId="7C8A6A87" w14:textId="77777777" w:rsidR="00787F73" w:rsidRDefault="00787F73" w:rsidP="00866155"/>
        </w:tc>
        <w:tc>
          <w:tcPr>
            <w:tcW w:w="4537" w:type="dxa"/>
            <w:tcBorders>
              <w:left w:val="single" w:sz="4" w:space="0" w:color="70AD47"/>
              <w:right w:val="single" w:sz="4" w:space="0" w:color="70AD47"/>
            </w:tcBorders>
          </w:tcPr>
          <w:p w14:paraId="6525B108" w14:textId="77777777" w:rsidR="00787F73" w:rsidRDefault="00742FB7" w:rsidP="00866155">
            <w:r>
              <w:rPr>
                <w:rFonts w:cs="Calibri"/>
                <w:lang w:eastAsia="en-US"/>
              </w:rPr>
              <w:t>Crisis communication</w:t>
            </w:r>
          </w:p>
        </w:tc>
      </w:tr>
      <w:tr w:rsidR="00787F73" w14:paraId="5A44C6BA" w14:textId="77777777">
        <w:trPr>
          <w:jc w:val="center"/>
        </w:trPr>
        <w:tc>
          <w:tcPr>
            <w:tcW w:w="4388" w:type="dxa"/>
            <w:vMerge w:val="restart"/>
            <w:tcBorders>
              <w:top w:val="single" w:sz="4" w:space="0" w:color="70AD47"/>
              <w:left w:val="single" w:sz="4" w:space="0" w:color="70AD47"/>
              <w:bottom w:val="single" w:sz="4" w:space="0" w:color="70AD47"/>
            </w:tcBorders>
            <w:shd w:val="clear" w:color="auto" w:fill="FFFFFF"/>
          </w:tcPr>
          <w:p w14:paraId="53593A29" w14:textId="77777777" w:rsidR="00787F73" w:rsidRDefault="00742FB7" w:rsidP="00866155">
            <w:r>
              <w:rPr>
                <w:rFonts w:cs="Calibri"/>
                <w:b/>
                <w:bCs/>
                <w:lang w:eastAsia="en-US"/>
              </w:rPr>
              <w:t>Health</w:t>
            </w:r>
          </w:p>
        </w:tc>
        <w:tc>
          <w:tcPr>
            <w:tcW w:w="4537" w:type="dxa"/>
            <w:tcBorders>
              <w:top w:val="single" w:sz="4" w:space="0" w:color="70AD47"/>
              <w:left w:val="single" w:sz="4" w:space="0" w:color="70AD47"/>
              <w:bottom w:val="single" w:sz="4" w:space="0" w:color="70AD47"/>
              <w:right w:val="single" w:sz="4" w:space="0" w:color="70AD47"/>
            </w:tcBorders>
          </w:tcPr>
          <w:p w14:paraId="211914EF" w14:textId="77777777" w:rsidR="00787F73" w:rsidRDefault="00742FB7" w:rsidP="00866155">
            <w:r>
              <w:rPr>
                <w:rFonts w:cs="Calibri"/>
                <w:lang w:eastAsia="en-US"/>
              </w:rPr>
              <w:t>Health services</w:t>
            </w:r>
          </w:p>
        </w:tc>
      </w:tr>
      <w:tr w:rsidR="00787F73" w14:paraId="4435B8D9" w14:textId="77777777">
        <w:trPr>
          <w:jc w:val="center"/>
        </w:trPr>
        <w:tc>
          <w:tcPr>
            <w:tcW w:w="4388" w:type="dxa"/>
            <w:vMerge/>
            <w:tcBorders>
              <w:top w:val="single" w:sz="4" w:space="0" w:color="70AD47"/>
              <w:left w:val="single" w:sz="4" w:space="0" w:color="70AD47"/>
              <w:bottom w:val="single" w:sz="4" w:space="0" w:color="70AD47"/>
            </w:tcBorders>
            <w:shd w:val="clear" w:color="auto" w:fill="FFFFFF"/>
          </w:tcPr>
          <w:p w14:paraId="1B88A65D" w14:textId="77777777" w:rsidR="00787F73" w:rsidRDefault="00787F73" w:rsidP="00866155"/>
        </w:tc>
        <w:tc>
          <w:tcPr>
            <w:tcW w:w="4537" w:type="dxa"/>
            <w:tcBorders>
              <w:left w:val="single" w:sz="4" w:space="0" w:color="70AD47"/>
              <w:right w:val="single" w:sz="4" w:space="0" w:color="70AD47"/>
            </w:tcBorders>
          </w:tcPr>
          <w:p w14:paraId="6462FAA0" w14:textId="77777777" w:rsidR="00787F73" w:rsidRDefault="00742FB7" w:rsidP="00866155">
            <w:r>
              <w:rPr>
                <w:rFonts w:cs="Calibri"/>
                <w:lang w:eastAsia="en-US"/>
              </w:rPr>
              <w:t>Physical health</w:t>
            </w:r>
          </w:p>
        </w:tc>
      </w:tr>
      <w:tr w:rsidR="00787F73" w14:paraId="32966486" w14:textId="77777777">
        <w:trPr>
          <w:jc w:val="center"/>
        </w:trPr>
        <w:tc>
          <w:tcPr>
            <w:tcW w:w="4388" w:type="dxa"/>
            <w:vMerge/>
            <w:tcBorders>
              <w:top w:val="single" w:sz="4" w:space="0" w:color="70AD47"/>
              <w:left w:val="single" w:sz="4" w:space="0" w:color="70AD47"/>
              <w:bottom w:val="single" w:sz="4" w:space="0" w:color="70AD47"/>
            </w:tcBorders>
            <w:shd w:val="clear" w:color="auto" w:fill="FFFFFF"/>
          </w:tcPr>
          <w:p w14:paraId="5C0125D0" w14:textId="77777777" w:rsidR="00787F73" w:rsidRDefault="00787F73" w:rsidP="00866155"/>
        </w:tc>
        <w:tc>
          <w:tcPr>
            <w:tcW w:w="4537" w:type="dxa"/>
            <w:tcBorders>
              <w:top w:val="single" w:sz="4" w:space="0" w:color="70AD47"/>
              <w:left w:val="single" w:sz="4" w:space="0" w:color="70AD47"/>
              <w:bottom w:val="single" w:sz="4" w:space="0" w:color="70AD47"/>
              <w:right w:val="single" w:sz="4" w:space="0" w:color="70AD47"/>
            </w:tcBorders>
          </w:tcPr>
          <w:p w14:paraId="33147341" w14:textId="77777777" w:rsidR="00787F73" w:rsidRDefault="00742FB7" w:rsidP="00866155">
            <w:r>
              <w:rPr>
                <w:rFonts w:cs="Calibri"/>
                <w:lang w:eastAsia="en-US"/>
              </w:rPr>
              <w:t>Mental health</w:t>
            </w:r>
          </w:p>
        </w:tc>
      </w:tr>
      <w:tr w:rsidR="00787F73" w14:paraId="21A9144B" w14:textId="77777777">
        <w:trPr>
          <w:jc w:val="center"/>
        </w:trPr>
        <w:tc>
          <w:tcPr>
            <w:tcW w:w="4388" w:type="dxa"/>
            <w:vMerge w:val="restart"/>
            <w:tcBorders>
              <w:left w:val="single" w:sz="4" w:space="0" w:color="70AD47"/>
              <w:bottom w:val="single" w:sz="4" w:space="0" w:color="70AD47"/>
            </w:tcBorders>
            <w:shd w:val="clear" w:color="auto" w:fill="FFFFFF"/>
          </w:tcPr>
          <w:p w14:paraId="4E9B2F56" w14:textId="77777777" w:rsidR="00787F73" w:rsidRDefault="00742FB7" w:rsidP="00866155">
            <w:r>
              <w:rPr>
                <w:rFonts w:cs="Calibri"/>
                <w:b/>
                <w:bCs/>
                <w:lang w:eastAsia="en-US"/>
              </w:rPr>
              <w:t>Governance/leadership</w:t>
            </w:r>
          </w:p>
        </w:tc>
        <w:tc>
          <w:tcPr>
            <w:tcW w:w="4537" w:type="dxa"/>
            <w:tcBorders>
              <w:left w:val="single" w:sz="4" w:space="0" w:color="70AD47"/>
              <w:right w:val="single" w:sz="4" w:space="0" w:color="70AD47"/>
            </w:tcBorders>
          </w:tcPr>
          <w:p w14:paraId="3273DB19" w14:textId="77777777" w:rsidR="00787F73" w:rsidRDefault="00742FB7" w:rsidP="00866155">
            <w:r>
              <w:rPr>
                <w:rFonts w:cs="Calibri"/>
                <w:lang w:eastAsia="en-US"/>
              </w:rPr>
              <w:t>Infrastructure and services</w:t>
            </w:r>
          </w:p>
        </w:tc>
      </w:tr>
      <w:tr w:rsidR="00787F73" w14:paraId="3D154E29" w14:textId="77777777">
        <w:trPr>
          <w:jc w:val="center"/>
        </w:trPr>
        <w:tc>
          <w:tcPr>
            <w:tcW w:w="4388" w:type="dxa"/>
            <w:vMerge/>
            <w:tcBorders>
              <w:left w:val="single" w:sz="4" w:space="0" w:color="70AD47"/>
              <w:bottom w:val="single" w:sz="4" w:space="0" w:color="70AD47"/>
            </w:tcBorders>
            <w:shd w:val="clear" w:color="auto" w:fill="FFFFFF"/>
          </w:tcPr>
          <w:p w14:paraId="6E7C3C49" w14:textId="77777777" w:rsidR="00787F73" w:rsidRDefault="00787F73" w:rsidP="00866155"/>
        </w:tc>
        <w:tc>
          <w:tcPr>
            <w:tcW w:w="4537" w:type="dxa"/>
            <w:tcBorders>
              <w:top w:val="single" w:sz="4" w:space="0" w:color="70AD47"/>
              <w:left w:val="single" w:sz="4" w:space="0" w:color="70AD47"/>
              <w:bottom w:val="single" w:sz="4" w:space="0" w:color="70AD47"/>
              <w:right w:val="single" w:sz="4" w:space="0" w:color="70AD47"/>
            </w:tcBorders>
          </w:tcPr>
          <w:p w14:paraId="2F21C1D1" w14:textId="77777777" w:rsidR="00787F73" w:rsidRDefault="00742FB7" w:rsidP="00866155">
            <w:r>
              <w:rPr>
                <w:rFonts w:cs="Calibri"/>
                <w:lang w:eastAsia="en-US"/>
              </w:rPr>
              <w:t>Public involvement and support</w:t>
            </w:r>
          </w:p>
        </w:tc>
      </w:tr>
      <w:tr w:rsidR="00787F73" w14:paraId="3F73561A" w14:textId="77777777">
        <w:trPr>
          <w:jc w:val="center"/>
        </w:trPr>
        <w:tc>
          <w:tcPr>
            <w:tcW w:w="4388" w:type="dxa"/>
            <w:tcBorders>
              <w:left w:val="single" w:sz="4" w:space="0" w:color="70AD47"/>
            </w:tcBorders>
            <w:shd w:val="clear" w:color="auto" w:fill="FFFFFF"/>
          </w:tcPr>
          <w:p w14:paraId="75644F90" w14:textId="77777777" w:rsidR="00787F73" w:rsidRDefault="00742FB7" w:rsidP="00866155">
            <w:r>
              <w:rPr>
                <w:rFonts w:cs="Calibri"/>
                <w:b/>
                <w:bCs/>
                <w:lang w:eastAsia="en-US"/>
              </w:rPr>
              <w:t>Resources</w:t>
            </w:r>
          </w:p>
        </w:tc>
        <w:tc>
          <w:tcPr>
            <w:tcW w:w="4537" w:type="dxa"/>
            <w:tcBorders>
              <w:left w:val="single" w:sz="4" w:space="0" w:color="70AD47"/>
              <w:right w:val="single" w:sz="4" w:space="0" w:color="70AD47"/>
            </w:tcBorders>
          </w:tcPr>
          <w:p w14:paraId="244D2AE5" w14:textId="77777777" w:rsidR="00787F73" w:rsidRDefault="00787F73" w:rsidP="00866155">
            <w:pPr>
              <w:rPr>
                <w:rFonts w:cs="Calibri"/>
                <w:lang w:eastAsia="en-US"/>
              </w:rPr>
            </w:pPr>
          </w:p>
        </w:tc>
      </w:tr>
      <w:tr w:rsidR="00787F73" w14:paraId="0CFCBEB7" w14:textId="77777777">
        <w:trPr>
          <w:jc w:val="center"/>
        </w:trPr>
        <w:tc>
          <w:tcPr>
            <w:tcW w:w="4388" w:type="dxa"/>
            <w:vMerge w:val="restart"/>
            <w:tcBorders>
              <w:top w:val="single" w:sz="4" w:space="0" w:color="70AD47"/>
              <w:left w:val="single" w:sz="4" w:space="0" w:color="70AD47"/>
            </w:tcBorders>
            <w:shd w:val="clear" w:color="auto" w:fill="FFFFFF"/>
          </w:tcPr>
          <w:p w14:paraId="46BB0527" w14:textId="77777777" w:rsidR="00787F73" w:rsidRDefault="00742FB7" w:rsidP="00866155">
            <w:r>
              <w:rPr>
                <w:rFonts w:cs="Calibri"/>
                <w:b/>
                <w:bCs/>
                <w:lang w:eastAsia="en-US"/>
              </w:rPr>
              <w:t>Economic investment</w:t>
            </w:r>
          </w:p>
        </w:tc>
        <w:tc>
          <w:tcPr>
            <w:tcW w:w="4537" w:type="dxa"/>
            <w:tcBorders>
              <w:top w:val="single" w:sz="4" w:space="0" w:color="70AD47"/>
              <w:left w:val="single" w:sz="4" w:space="0" w:color="70AD47"/>
              <w:bottom w:val="single" w:sz="4" w:space="0" w:color="70AD47"/>
              <w:right w:val="single" w:sz="4" w:space="0" w:color="70AD47"/>
            </w:tcBorders>
          </w:tcPr>
          <w:p w14:paraId="0FC17D9E" w14:textId="77777777" w:rsidR="00787F73" w:rsidRDefault="00742FB7" w:rsidP="00866155">
            <w:r>
              <w:rPr>
                <w:rFonts w:cs="Calibri"/>
                <w:lang w:eastAsia="en-US"/>
              </w:rPr>
              <w:t>Post-disaster economic programming</w:t>
            </w:r>
          </w:p>
        </w:tc>
      </w:tr>
      <w:tr w:rsidR="00787F73" w14:paraId="0D097EC4" w14:textId="77777777">
        <w:trPr>
          <w:jc w:val="center"/>
        </w:trPr>
        <w:tc>
          <w:tcPr>
            <w:tcW w:w="4388" w:type="dxa"/>
            <w:vMerge/>
            <w:tcBorders>
              <w:top w:val="single" w:sz="4" w:space="0" w:color="70AD47"/>
              <w:left w:val="single" w:sz="4" w:space="0" w:color="70AD47"/>
            </w:tcBorders>
            <w:shd w:val="clear" w:color="auto" w:fill="FFFFFF"/>
          </w:tcPr>
          <w:p w14:paraId="572D1B51" w14:textId="77777777" w:rsidR="00787F73" w:rsidRDefault="00787F73" w:rsidP="00866155"/>
        </w:tc>
        <w:tc>
          <w:tcPr>
            <w:tcW w:w="4537" w:type="dxa"/>
            <w:tcBorders>
              <w:left w:val="single" w:sz="4" w:space="0" w:color="70AD47"/>
              <w:right w:val="single" w:sz="4" w:space="0" w:color="70AD47"/>
            </w:tcBorders>
          </w:tcPr>
          <w:p w14:paraId="787DCC09" w14:textId="77777777" w:rsidR="00787F73" w:rsidRDefault="00742FB7" w:rsidP="00866155">
            <w:r>
              <w:rPr>
                <w:rFonts w:cs="Calibri"/>
                <w:lang w:eastAsia="en-US"/>
              </w:rPr>
              <w:t>Post-disaster economic development</w:t>
            </w:r>
          </w:p>
        </w:tc>
      </w:tr>
      <w:tr w:rsidR="00787F73" w14:paraId="011B5200" w14:textId="77777777">
        <w:trPr>
          <w:jc w:val="center"/>
        </w:trPr>
        <w:tc>
          <w:tcPr>
            <w:tcW w:w="4388" w:type="dxa"/>
            <w:tcBorders>
              <w:top w:val="single" w:sz="4" w:space="0" w:color="70AD47"/>
              <w:left w:val="single" w:sz="4" w:space="0" w:color="70AD47"/>
              <w:bottom w:val="single" w:sz="4" w:space="0" w:color="70AD47"/>
            </w:tcBorders>
            <w:shd w:val="clear" w:color="auto" w:fill="FFFFFF"/>
          </w:tcPr>
          <w:p w14:paraId="4050E4AB" w14:textId="77777777" w:rsidR="00787F73" w:rsidRDefault="00742FB7" w:rsidP="00866155">
            <w:r>
              <w:rPr>
                <w:rFonts w:cs="Calibri"/>
                <w:b/>
                <w:bCs/>
                <w:lang w:eastAsia="en-US"/>
              </w:rPr>
              <w:t>Preparedness</w:t>
            </w:r>
          </w:p>
        </w:tc>
        <w:tc>
          <w:tcPr>
            <w:tcW w:w="4537" w:type="dxa"/>
            <w:tcBorders>
              <w:top w:val="single" w:sz="4" w:space="0" w:color="70AD47"/>
              <w:left w:val="single" w:sz="4" w:space="0" w:color="70AD47"/>
              <w:bottom w:val="single" w:sz="4" w:space="0" w:color="70AD47"/>
              <w:right w:val="single" w:sz="4" w:space="0" w:color="70AD47"/>
            </w:tcBorders>
          </w:tcPr>
          <w:p w14:paraId="7A614830" w14:textId="77777777" w:rsidR="00787F73" w:rsidRDefault="00742FB7" w:rsidP="00866155">
            <w:r>
              <w:rPr>
                <w:rFonts w:cs="Calibri"/>
                <w:lang w:eastAsia="en-US"/>
              </w:rPr>
              <w:t>Planning and mitigation</w:t>
            </w:r>
          </w:p>
        </w:tc>
      </w:tr>
      <w:tr w:rsidR="00787F73" w14:paraId="69C89C83" w14:textId="77777777">
        <w:trPr>
          <w:jc w:val="center"/>
        </w:trPr>
        <w:tc>
          <w:tcPr>
            <w:tcW w:w="4388" w:type="dxa"/>
            <w:vMerge w:val="restart"/>
            <w:tcBorders>
              <w:left w:val="single" w:sz="4" w:space="0" w:color="70AD47"/>
              <w:bottom w:val="single" w:sz="4" w:space="0" w:color="70AD47"/>
            </w:tcBorders>
            <w:shd w:val="clear" w:color="auto" w:fill="FFFFFF"/>
          </w:tcPr>
          <w:p w14:paraId="10258785" w14:textId="77777777" w:rsidR="00787F73" w:rsidRDefault="00742FB7" w:rsidP="00866155">
            <w:r>
              <w:rPr>
                <w:rFonts w:cs="Calibri"/>
                <w:b/>
                <w:bCs/>
                <w:lang w:eastAsia="en-US"/>
              </w:rPr>
              <w:t>Mental Outlook</w:t>
            </w:r>
          </w:p>
        </w:tc>
        <w:tc>
          <w:tcPr>
            <w:tcW w:w="4537" w:type="dxa"/>
            <w:tcBorders>
              <w:left w:val="single" w:sz="4" w:space="0" w:color="70AD47"/>
              <w:right w:val="single" w:sz="4" w:space="0" w:color="70AD47"/>
            </w:tcBorders>
          </w:tcPr>
          <w:p w14:paraId="0ACCB1AB" w14:textId="77777777" w:rsidR="00787F73" w:rsidRDefault="00742FB7" w:rsidP="00866155">
            <w:r>
              <w:rPr>
                <w:rFonts w:cs="Calibri"/>
                <w:lang w:eastAsia="en-US"/>
              </w:rPr>
              <w:t>Hope</w:t>
            </w:r>
          </w:p>
        </w:tc>
      </w:tr>
      <w:tr w:rsidR="00787F73" w14:paraId="3AEA639A" w14:textId="77777777">
        <w:trPr>
          <w:jc w:val="center"/>
        </w:trPr>
        <w:tc>
          <w:tcPr>
            <w:tcW w:w="4388" w:type="dxa"/>
            <w:vMerge/>
            <w:tcBorders>
              <w:left w:val="single" w:sz="4" w:space="0" w:color="70AD47"/>
              <w:bottom w:val="single" w:sz="4" w:space="0" w:color="70AD47"/>
            </w:tcBorders>
            <w:shd w:val="clear" w:color="auto" w:fill="FFFFFF"/>
          </w:tcPr>
          <w:p w14:paraId="5029364D" w14:textId="77777777" w:rsidR="00787F73" w:rsidRDefault="00787F73" w:rsidP="00866155"/>
        </w:tc>
        <w:tc>
          <w:tcPr>
            <w:tcW w:w="4537" w:type="dxa"/>
            <w:tcBorders>
              <w:top w:val="single" w:sz="4" w:space="0" w:color="70AD47"/>
              <w:left w:val="single" w:sz="4" w:space="0" w:color="70AD47"/>
              <w:bottom w:val="single" w:sz="4" w:space="0" w:color="70AD47"/>
              <w:right w:val="single" w:sz="4" w:space="0" w:color="70AD47"/>
            </w:tcBorders>
          </w:tcPr>
          <w:p w14:paraId="58150EEC" w14:textId="77777777" w:rsidR="00787F73" w:rsidRDefault="00742FB7" w:rsidP="00866155">
            <w:pPr>
              <w:keepNext/>
            </w:pPr>
            <w:r>
              <w:rPr>
                <w:rFonts w:cs="Calibri"/>
                <w:lang w:eastAsia="en-US"/>
              </w:rPr>
              <w:t>Adaptability</w:t>
            </w:r>
          </w:p>
        </w:tc>
      </w:tr>
    </w:tbl>
    <w:p w14:paraId="4CFBEC0D" w14:textId="2C9A8832" w:rsidR="00787F73" w:rsidRDefault="00742FB7" w:rsidP="00866155">
      <w:pPr>
        <w:pStyle w:val="caption1"/>
        <w:jc w:val="center"/>
      </w:pPr>
      <w:bookmarkStart w:id="360" w:name="_Toc22627923"/>
      <w:bookmarkStart w:id="361" w:name="_Toc90567305"/>
      <w:bookmarkStart w:id="362" w:name="_Toc193367278"/>
      <w:r>
        <w:rPr>
          <w:rFonts w:cs="Calibri"/>
        </w:rPr>
        <w:t xml:space="preserve">Table </w:t>
      </w:r>
      <w:r>
        <w:rPr>
          <w:rFonts w:cs="Calibri"/>
        </w:rPr>
        <w:fldChar w:fldCharType="begin"/>
      </w:r>
      <w:r>
        <w:rPr>
          <w:rFonts w:cs="Calibri"/>
        </w:rPr>
        <w:instrText xml:space="preserve"> SEQ Table \* ARABIC </w:instrText>
      </w:r>
      <w:r>
        <w:rPr>
          <w:rFonts w:cs="Calibri"/>
        </w:rPr>
        <w:fldChar w:fldCharType="separate"/>
      </w:r>
      <w:r w:rsidR="00132F53">
        <w:rPr>
          <w:rFonts w:cs="Calibri"/>
          <w:noProof/>
        </w:rPr>
        <w:t>1</w:t>
      </w:r>
      <w:r>
        <w:rPr>
          <w:rFonts w:cs="Calibri"/>
        </w:rPr>
        <w:fldChar w:fldCharType="end"/>
      </w:r>
      <w:r>
        <w:rPr>
          <w:rFonts w:cs="Calibri"/>
        </w:rPr>
        <w:t>: Elements and sub-elements within definitions of community resilience</w:t>
      </w:r>
      <w:bookmarkEnd w:id="360"/>
      <w:bookmarkEnd w:id="361"/>
      <w:r>
        <w:rPr>
          <w:rFonts w:cs="Calibri"/>
        </w:rPr>
        <w:t>; source: Patel et al. (2017)</w:t>
      </w:r>
      <w:bookmarkEnd w:id="362"/>
    </w:p>
    <w:p w14:paraId="779B9825" w14:textId="77777777" w:rsidR="00130391" w:rsidRDefault="00742FB7" w:rsidP="00866155">
      <w:pPr>
        <w:rPr>
          <w:rFonts w:cs="Calibri"/>
        </w:rPr>
      </w:pPr>
      <w:r>
        <w:rPr>
          <w:rFonts w:cs="Calibri"/>
        </w:rPr>
        <w:t xml:space="preserve">This illustrates the wide variety of elements that have been linked to creating, building, and developing community resilience prior to 2017. Even more recent literature added additional elements to this, such as belief in leadership and belief in collective efficacy </w:t>
      </w:r>
      <w:r>
        <w:fldChar w:fldCharType="begin" w:fldLock="1"/>
      </w:r>
      <w:bookmarkStart w:id="363" w:name="_Hlk153266754"/>
      <w:r w:rsidR="00974B75">
        <w:rPr>
          <w:rFonts w:cs="Calibri"/>
        </w:rPr>
        <w:instrText>ADDIN CSL_CITATION {"citationItems":[{"id":"ITEM-1","itemData":{"DOI":"10.1016/j.chb.2022.107294","ISSN":"07475632","abstract":"Facing the Covid outbreaks, public health researchers share a consensus that community resilience should be maintained and strengthened because it helps mitigate the physical and emotional tolls on individuals and communities. One way to achieve the goal is to build and strengthen community resilience through social media. However, social media's role in building community resilience has been poorly understood from a behavioral perspective. Guiding by uses and gratification theory and the coping literature, we build a model to examine how social media behaviors may influence community members' perceived community resilience, providing a “bottom-up” voice to deepen our understanding of community resilience and its implications for public health. The results shows that community members' social media engagement was significantly associated with their perceived community resilience. While helping others on social media led people to perceive their communities as less resilient, the use of social media for social support helped foster social capital, leading to more perceived resilience at the collective level. Overall, social media use played important roles in shaping people's perception of community resilience, helping community members and organizations evaluate their strengths and weaknesses, and make improvement to better address future challenges in the times of global disasters.","author":[{"dropping-particle":"","family":"Xie","given":"Lola","non-dropping-particle":"","parse-names":false,"suffix":""},{"dropping-particle":"","family":"Pinto","given":"Juliet","non-dropping-particle":"","parse-names":false,"suffix":""},{"dropping-particle":"","family":"Zhong","given":"Bu","non-dropping-particle":"","parse-names":false,"suffix":""}],"container-title":"Computers in Human Behavior","id":"ITEM-1","issued":{"date-parts":[["2022"]]},"page":"1 - 9","title":"Building community resilience on social media to help recover from the COVID-19 pandemic","type":"article-journal","volume":"134"},"uris":["http://www.mendeley.com/documents/?uuid=625f072e-ec3a-410e-b53c-06c711464573"]}],"mendeley":{"formattedCitation":"(Xie, Pinto, &amp; Zhong, 2022)","plainTextFormattedCitation":"(Xie, Pinto, &amp; Zhong, 2022)","previouslyFormattedCitation":"(Xie, Pinto, &amp; Zhong, 2022)"},"properties":{"noteIndex":0},"schema":"https://github.com/citation-style-language/schema/raw/master/csl-citation.json"}</w:instrText>
      </w:r>
      <w:r>
        <w:rPr>
          <w:rFonts w:cs="Calibri"/>
        </w:rPr>
        <w:fldChar w:fldCharType="separate"/>
      </w:r>
      <w:r>
        <w:rPr>
          <w:rFonts w:cs="Calibri"/>
          <w:noProof/>
        </w:rPr>
        <w:t>(Xie, Pinto, &amp; Zhong, 2022)</w:t>
      </w:r>
      <w:r>
        <w:rPr>
          <w:rFonts w:cs="Calibri"/>
        </w:rPr>
        <w:fldChar w:fldCharType="end"/>
      </w:r>
      <w:r>
        <w:rPr>
          <w:rFonts w:cs="Calibri"/>
        </w:rPr>
        <w:t xml:space="preserve">. </w:t>
      </w:r>
      <w:bookmarkEnd w:id="363"/>
    </w:p>
    <w:p w14:paraId="2728B316" w14:textId="77777777" w:rsidR="00130391" w:rsidRDefault="00130391" w:rsidP="00866155">
      <w:pPr>
        <w:rPr>
          <w:rFonts w:cs="Calibri"/>
        </w:rPr>
      </w:pPr>
    </w:p>
    <w:p w14:paraId="5F6B1F58" w14:textId="77777777" w:rsidR="00B24A85" w:rsidRDefault="00B2797D" w:rsidP="00B2797D">
      <w:bookmarkStart w:id="364" w:name="_Hlk179383702"/>
      <w:bookmarkStart w:id="365" w:name="_Hlk179556520"/>
      <w:r>
        <w:t xml:space="preserve">Patel et al’s assessment of the community resilience literature demonstrates a wide range of ways that communities can develop resilience, and the importance of looking at a range of factors. While this study has focused on risk communication and preparedness, each of these elements </w:t>
      </w:r>
      <w:r w:rsidR="00B24A85">
        <w:t>are</w:t>
      </w:r>
      <w:r>
        <w:t xml:space="preserve"> important to </w:t>
      </w:r>
      <w:r w:rsidR="00807AC3">
        <w:t>consider</w:t>
      </w:r>
      <w:r>
        <w:t xml:space="preserve">. For instance, governance, leadership and the importance of infrastructure and services. While many elements of community resilience </w:t>
      </w:r>
      <w:r>
        <w:lastRenderedPageBreak/>
        <w:t xml:space="preserve">focus on what the communities can do for themselves, there are wider structural challenges and implications for top-down governance. This includes the need to understand wider infrastructure challenges, such as </w:t>
      </w:r>
      <w:r w:rsidR="00863EBA">
        <w:t>developing</w:t>
      </w:r>
      <w:r>
        <w:t xml:space="preserve"> buildings to withstand extreme natural events </w:t>
      </w:r>
      <w:r>
        <w:fldChar w:fldCharType="begin" w:fldLock="1"/>
      </w:r>
      <w:r w:rsidR="00E735C1">
        <w:instrText>ADDIN CSL_CITATION {"citationItems":[{"id":"ITEM-1","itemData":{"DOI":"10.1109/GHTC.2014.6970347","ISBN":"9781479971930","abstract":"solve this long-term housing and community creation challenge. Victims of these terrible events need housing to cover their heads, protect their families, and provide security. The HHi House elevates the family off the wet and cold ground and gives them a drier living space. It accommodates up to eleven adults and withstands strong winds, rain, and offers a dry, easily cleaned durable, raised floor. The rigged wall version of the house provides for improved security and privacy. The vision has the house as the cornerstone of a larger integrated, culturally sensitive, planned community that integrates with affordable water, waste, and energy systems. Unlike a tent, the HHi House is a durable, long-term housing solution that revitalizes communities and empowers the families in these communities. This technical paper will describe the team's experience designing, engineering, manufacturing, and funding the HHi House. It includes a description of the five prototypes created to date, the learning from each phase, and a description of the structure and its components.\nTyphoons, earthquakes, and war displace millions of people. Typhoon Haiyan left 1.9 million homeless [1]. There are over 2 million homeless Syrian refugees [2]. Housing these people is a challenge because these rapidly created emergency communities may last 12 years. Tents are the solution; they deploy fast and provide immediate shelter. However, they only last 6 months [3]. Colorado based Humanitarian House International [4] created the HHi House","author":[{"dropping-particle":"","family":"Ohlson","given":"Stuart","non-dropping-particle":"","parse-names":false,"suffix":""},{"dropping-particle":"","family":"Melich","given":"Robert","non-dropping-particle":"","parse-names":false,"suffix":""}],"container-title":"Proceedings of the 4th IEEE Global Humanitarian Technology Conference, GHTC 2014","id":"ITEM-1","issued":{"date-parts":[["2014"]]},"page":"614-619","title":"Designing and developing sustainable housing for refugee and disaster communities","type":"article-journal"},"uris":["http://www.mendeley.com/documents/?uuid=3d3b2a36-0c07-4861-b4d6-eef8f683f189"]},{"id":"ITEM-2","itemData":{"DOI":"10.1002/WAT2.1404","ISSN":"20491948","abstract":"Hydrometeorological events are highly costly and have strong impacts on the human-environment system. Effective response requires effective risk management concepts and strategies at individual and watershed level to increase community resilience. Focusing on flood risk and the information associated with it, individual risk behavior in the shape of implementing property-level flood risk adaptation (PLFRA) measures is often overlooked. For this research, a comprehensive over-view of possible PLFRA measures for homeowners in flood risk areas was made, as well as the possible costs and technical feasibility for new and existing build-ings. To complement this, insights into risk mitigation behavior are essential due to the ongoing shift to risk-based and individualized flood risk management, which require a contribution from flood-prone households to risk reduction. Results show that PLFRA measures differentiate in their effectiveness, cost-efficiency and technical feasibility, and full protection can never be guaranteed. Considering risk mitigation behavior, literature generally distinguishes between situational factors (such as communication and economic subsidies) and personal factors (such as personal and psychological components influencing individual behavior). This article is categorized under: Engineering Water &gt; Planning Water Science of Water &gt; Water Extremes.","author":[{"dropping-particle":"","family":"Attems","given":"Marie Sophie","non-dropping-particle":"","parse-names":false,"suffix":""},{"dropping-particle":"","family":"Thaler","given":"Thomas","non-dropping-particle":"","parse-names":false,"suffix":""},{"dropping-particle":"","family":"Genovese","given":"Elisabetta","non-dropping-particle":"","parse-names":false,"suffix":""},{"dropping-particle":"","family":"Fuchs","given":"Sven","non-dropping-particle":"","parse-names":false,"suffix":""}],"container-title":"Wiley Interdisciplinary Reviews: Water","id":"ITEM-2","issue":"1","issued":{"date-parts":[["2020"]]},"page":"1-19","title":"Implementation of property-level flood risk adaptation (PLFRA) measures: Choices and decisions","type":"article-journal","volume":"7"},"uris":["http://www.mendeley.com/documents/?uuid=082b7266-fb55-4282-8010-a90101a6cb1a"]}],"mendeley":{"formattedCitation":"(Attems et al., 2020; Ohlson &amp; Melich, 2014)","plainTextFormattedCitation":"(Attems et al., 2020; Ohlson &amp; Melich, 2014)","previouslyFormattedCitation":"(Attems et al., 2020; Ohlson &amp; Melich, 2014)"},"properties":{"noteIndex":0},"schema":"https://github.com/citation-style-language/schema/raw/master/csl-citation.json"}</w:instrText>
      </w:r>
      <w:r>
        <w:fldChar w:fldCharType="separate"/>
      </w:r>
      <w:r w:rsidRPr="004A21A0">
        <w:rPr>
          <w:noProof/>
        </w:rPr>
        <w:t>(Attems et al., 2020; Ohlson &amp; Melich, 2014)</w:t>
      </w:r>
      <w:r>
        <w:fldChar w:fldCharType="end"/>
      </w:r>
      <w:r>
        <w:t xml:space="preserve"> or supply chains </w:t>
      </w:r>
      <w:r>
        <w:fldChar w:fldCharType="begin" w:fldLock="1"/>
      </w:r>
      <w:r w:rsidR="00E735C1">
        <w:instrText>ADDIN CSL_CITATION {"citationItems":[{"id":"ITEM-1","itemData":{"DOI":"10.1007/s11069-022-05226-w","ISBN":"0123456789","ISSN":"15730840","abstract":"Resilience has become important in disaster preparedness and response. Unfortunately, little is known about resilience at the household level. This study presents the results of a survey into individual and household level preparedness to disaster events in Yangon, Myanmar, which is prone to natural disasters such as tropical cyclones, flooding, and earthquakes. The study aimed to understand societal resilience and to provide information that could be used to develop a holistic framework. In four different Yangon townships, 440 households were interviewed. The results of the survey indicate how risk preparedness could be improved by specific measures related to the following five factors: (1) increasing the general public’s knowledge of first aid and its role in preparedness; (2) improving mobile phone infrastructure and capacity building in its usage so that it can be used for communication during disasters, along with building up a redundant communication structure; (3) better use and organisation of volunteer potential; (4) more specific involvement of religious and public buildings for disaster response; and (5) developing specific measures for improving preparedness in urban areas, where the population often has reduced capacities for coping with food supply insufficiencies due to the high and immediate availability of food, shops and goods in regular times. The findings of this survey have led to specific recommendations for Yangon. The identified measures represent a first step in developing a more general framework. Future research could investigate the transferability of these measures to other areas and thus their suitability as a basis for a framework.","author":[{"dropping-particle":"","family":"Heinkel","given":"Sophie Bo","non-dropping-particle":"","parse-names":false,"suffix":""},{"dropping-particle":"","family":"Thiebes","given":"Benni","non-dropping-particle":"","parse-names":false,"suffix":""},{"dropping-particle":"","family":"Zin Mar Than","given":"","non-dropping-particle":"","parse-names":false,"suffix":""},{"dropping-particle":"","family":"Toe Aung","given":"","non-dropping-particle":"","parse-names":false,"suffix":""},{"dropping-particle":"","family":"Tin Tin Kyi","given":"","non-dropping-particle":"","parse-names":false,"suffix":""},{"dropping-particle":"","family":"Win Lei Mar","given":"","non-dropping-particle":"","parse-names":false,"suffix":""},{"dropping-particle":"","family":"Saw Sandar Oo","given":"","non-dropping-particle":"","parse-names":false,"suffix":""},{"dropping-particle":"","family":"Miller","given":"Christian","non-dropping-particle":"","parse-names":false,"suffix":""},{"dropping-particle":"","family":"Willkomm","given":"Marlene","non-dropping-particle":"","parse-names":false,"suffix":""},{"dropping-particle":"","family":"Win Maung","given":"","non-dropping-particle":"","parse-names":false,"suffix":""},{"dropping-particle":"","family":"Zin Nwe Myint","given":"","non-dropping-particle":"","parse-names":false,"suffix":""},{"dropping-particle":"","family":"Khin Khin Soe","given":"","non-dropping-particle":"","parse-names":false,"suffix":""},{"dropping-particle":"","family":"Spohner","given":"Regine","non-dropping-particle":"","parse-names":false,"suffix":""},{"dropping-particle":"","family":"Kraas","given":"Frauke","non-dropping-particle":"","parse-names":false,"suffix":""}],"container-title":"Natural Hazards","id":"ITEM-1","issue":"2","issued":{"date-parts":[["2022"]]},"page":"1273-1294","title":"Disaster preparedness and resilience at household level in Yangon, Myanmar","type":"article-journal","volume":"112"},"uris":["http://www.mendeley.com/documents/?uuid=7f82767f-68d4-4f36-b9c3-22688b496c14"]},{"id":"ITEM-2","itemData":{"DOI":"10.1080/13675567.2023.2209030","ISSN":"1469848X","abstract":"Emergency logistics supply chains (ELSC) can help to restore normal activities in disaster-affected areas, thus helping to increase the resilience of communities. In order to develop resilient supply chains there needs to be an analysis of the factors affecting the vulnerability of supply chains. In this study, the interlinkages between 15 factors found to influence the vulnerability of both within and outside the ELSC were analysed through the D- Decision Making Trial and Evaluation Laboratory (D-DEMATEL)-Adversarial Interpretive Structure Model (AISM) modelling techniques. The results show that coordination and cooperation, information and communication mechanisms, and organisational operating environment are among the most important factors, based on the AISM hierarchy. This study will help policy makers to effectively identify vulnerabilities in emergency logistics supply chains and develop stronger strategies to build more resilient supply chains thereby helping to reduce the losses to society caused by disasters.","author":[{"dropping-particle":"","family":"Xu","given":"Wenping","non-dropping-particle":"","parse-names":false,"suffix":""},{"dropping-particle":"","family":"Lu","given":"Yu","non-dropping-particle":"","parse-names":false,"suffix":""},{"dropping-particle":"","family":"Proverbs","given":"David","non-dropping-particle":"","parse-names":false,"suffix":""}],"container-title":"International Journal of Logistics Research and Applications","id":"ITEM-2","issue":"10","issued":{"date-parts":[["2024"]]},"page":"1891-1924","title":"An evaluation of factors influencing the vulnerability of emergency logistics supply chains","type":"article-journal","volume":"27"},"uris":["http://www.mendeley.com/documents/?uuid=4edd49e8-1088-4682-8d99-aeb94857dd1c"]},{"id":"ITEM-3","itemData":{"abstract":"Persepsi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Umar","given":"Muhammad","non-dropping-particle":"","parse-names":false,"suffix":""},{"dropping-particle":"","family":"Wilson","given":"Mark","non-dropping-particle":"","parse-names":false,"suffix":""}],"container-title":"Sustainability","id":"ITEM-3","issue":"19","issued":{"date-parts":[["2021"]]},"page":"1- 20","title":"Supply Chain Resilience: Unleashing the Power of Collaboration in Disaster Management","type":"article-journal","volume":"13"},"uris":["http://www.mendeley.com/documents/?uuid=b9afa31e-5baf-4896-adf6-498840d37a87"]}],"mendeley":{"formattedCitation":"(Xu, Lu, &amp; Proverbs, 2024; Heinkel et al., 2022; Umar &amp; Wilson, 2021)","plainTextFormattedCitation":"(Xu, Lu, &amp; Proverbs, 2024; Heinkel et al., 2022; Umar &amp; Wilson, 2021)","previouslyFormattedCitation":"(Xu, Lu, &amp; Proverbs, 2024; Heinkel et al., 2022; Umar &amp; Wilson, 2021)"},"properties":{"noteIndex":0},"schema":"https://github.com/citation-style-language/schema/raw/master/csl-citation.json"}</w:instrText>
      </w:r>
      <w:r>
        <w:fldChar w:fldCharType="separate"/>
      </w:r>
      <w:r w:rsidR="00E735C1" w:rsidRPr="00E735C1">
        <w:rPr>
          <w:noProof/>
        </w:rPr>
        <w:t>(Xu, Lu, &amp; Proverbs, 2024; Heinkel et al., 2022; Umar &amp; Wilson, 2021)</w:t>
      </w:r>
      <w:r>
        <w:fldChar w:fldCharType="end"/>
      </w:r>
      <w:r>
        <w:t xml:space="preserve">. </w:t>
      </w:r>
    </w:p>
    <w:p w14:paraId="2B9E5055" w14:textId="77777777" w:rsidR="00B24A85" w:rsidRDefault="00B24A85" w:rsidP="00B2797D"/>
    <w:p w14:paraId="737C8CCA" w14:textId="0219CDEB" w:rsidR="00FF6B1A" w:rsidRDefault="00B2797D" w:rsidP="00B2797D">
      <w:r>
        <w:t xml:space="preserve">For communities to be resilient to a range of incidents and disasters they need their threat appraisal to be activated, which can be </w:t>
      </w:r>
      <w:r w:rsidR="00B24A85">
        <w:t xml:space="preserve">achieved through </w:t>
      </w:r>
      <w:r>
        <w:t xml:space="preserve">risk communication. However, to then develop coping appraisal, they </w:t>
      </w:r>
      <w:r w:rsidRPr="000C528A">
        <w:t>need to be able to rely on</w:t>
      </w:r>
      <w:r>
        <w:t xml:space="preserve"> different infrastructures, such as</w:t>
      </w:r>
      <w:r w:rsidRPr="000C528A">
        <w:t xml:space="preserve"> supply chains</w:t>
      </w:r>
      <w:r>
        <w:t>. These infrastructural challenges are not experienced uniformly</w:t>
      </w:r>
      <w:r w:rsidRPr="004D50B0">
        <w:t>, such as the difference between rural and urban communities.</w:t>
      </w:r>
      <w:r w:rsidR="00CB70A3">
        <w:t xml:space="preserve"> For instance, for a household to become resilient to a disaster which affects their water supply, they need to be able to buy a supply of water, either before or during the event.</w:t>
      </w:r>
      <w:r w:rsidRPr="004D50B0">
        <w:t xml:space="preserve"> Within urban communities</w:t>
      </w:r>
      <w:r w:rsidR="000D66C3">
        <w:t>,</w:t>
      </w:r>
      <w:r w:rsidRPr="004D50B0">
        <w:t xml:space="preserve"> they are more likely to be able to access a range of shops and providers of services</w:t>
      </w:r>
      <w:r w:rsidR="00CB70A3">
        <w:t xml:space="preserve"> where they can purchase the water. However, due to the speed of the supply chain, homes within urban areas </w:t>
      </w:r>
      <w:r w:rsidRPr="004D50B0">
        <w:t xml:space="preserve">are less likely to have space to stockpile necessary supplies, such as water and food </w:t>
      </w:r>
      <w:r w:rsidRPr="004D50B0">
        <w:fldChar w:fldCharType="begin" w:fldLock="1"/>
      </w:r>
      <w:r w:rsidRPr="004D50B0">
        <w:instrText>ADDIN CSL_CITATION {"citationItems":[{"id":"ITEM-1","itemData":{"DOI":"10.1007/s11069-022-05226-w","ISBN":"0123456789","ISSN":"15730840","abstract":"Resilience has become important in disaster preparedness and response. Unfortunately, little is known about resilience at the household level. This study presents the results of a survey into individual and household level preparedness to disaster events in Yangon, Myanmar, which is prone to natural disasters such as tropical cyclones, flooding, and earthquakes. The study aimed to understand societal resilience and to provide information that could be used to develop a holistic framework. In four different Yangon townships, 440 households were interviewed. The results of the survey indicate how risk preparedness could be improved by specific measures related to the following five factors: (1) increasing the general public’s knowledge of first aid and its role in preparedness; (2) improving mobile phone infrastructure and capacity building in its usage so that it can be used for communication during disasters, along with building up a redundant communication structure; (3) better use and organisation of volunteer potential; (4) more specific involvement of religious and public buildings for disaster response; and (5) developing specific measures for improving preparedness in urban areas, where the population often has reduced capacities for coping with food supply insufficiencies due to the high and immediate availability of food, shops and goods in regular times. The findings of this survey have led to specific recommendations for Yangon. The identified measures represent a first step in developing a more general framework. Future research could investigate the transferability of these measures to other areas and thus their suitability as a basis for a framework.","author":[{"dropping-particle":"","family":"Heinkel","given":"Sophie Bo","non-dropping-particle":"","parse-names":false,"suffix":""},{"dropping-particle":"","family":"Thiebes","given":"Benni","non-dropping-particle":"","parse-names":false,"suffix":""},{"dropping-particle":"","family":"Zin Mar Than","given":"","non-dropping-particle":"","parse-names":false,"suffix":""},{"dropping-particle":"","family":"Toe Aung","given":"","non-dropping-particle":"","parse-names":false,"suffix":""},{"dropping-particle":"","family":"Tin Tin Kyi","given":"","non-dropping-particle":"","parse-names":false,"suffix":""},{"dropping-particle":"","family":"Win Lei Mar","given":"","non-dropping-particle":"","parse-names":false,"suffix":""},{"dropping-particle":"","family":"Saw Sandar Oo","given":"","non-dropping-particle":"","parse-names":false,"suffix":""},{"dropping-particle":"","family":"Miller","given":"Christian","non-dropping-particle":"","parse-names":false,"suffix":""},{"dropping-particle":"","family":"Willkomm","given":"Marlene","non-dropping-particle":"","parse-names":false,"suffix":""},{"dropping-particle":"","family":"Win Maung","given":"","non-dropping-particle":"","parse-names":false,"suffix":""},{"dropping-particle":"","family":"Zin Nwe Myint","given":"","non-dropping-particle":"","parse-names":false,"suffix":""},{"dropping-particle":"","family":"Khin Khin Soe","given":"","non-dropping-particle":"","parse-names":false,"suffix":""},{"dropping-particle":"","family":"Spohner","given":"Regine","non-dropping-particle":"","parse-names":false,"suffix":""},{"dropping-particle":"","family":"Kraas","given":"Frauke","non-dropping-particle":"","parse-names":false,"suffix":""}],"container-title":"Natural Hazards","id":"ITEM-1","issue":"2","issued":{"date-parts":[["2022"]]},"page":"1273-1294","title":"Disaster preparedness and resilience at household level in Yangon, Myanmar","type":"article-journal","volume":"112"},"uris":["http://www.mendeley.com/documents/?uuid=7f82767f-68d4-4f36-b9c3-22688b496c14"]}],"mendeley":{"formattedCitation":"(Heinkel et al., 2022)","plainTextFormattedCitation":"(Heinkel et al., 2022)","previouslyFormattedCitation":"(Heinkel et al., 2022)"},"properties":{"noteIndex":0},"schema":"https://github.com/citation-style-language/schema/raw/master/csl-citation.json"}</w:instrText>
      </w:r>
      <w:r w:rsidRPr="004D50B0">
        <w:fldChar w:fldCharType="separate"/>
      </w:r>
      <w:r w:rsidRPr="004D50B0">
        <w:rPr>
          <w:noProof/>
        </w:rPr>
        <w:t>(Heinkel et al., 2022)</w:t>
      </w:r>
      <w:r w:rsidRPr="004D50B0">
        <w:fldChar w:fldCharType="end"/>
      </w:r>
      <w:r w:rsidRPr="004D50B0">
        <w:t>. This therefore places a great deal of significance on the resilience of the supply chain</w:t>
      </w:r>
      <w:r w:rsidRPr="000C528A">
        <w:t xml:space="preserve"> and the design of homes</w:t>
      </w:r>
      <w:r>
        <w:t xml:space="preserve"> to enable the storing of food and other necessary supplies</w:t>
      </w:r>
      <w:r w:rsidRPr="004D50B0">
        <w:t>.</w:t>
      </w:r>
      <w:r w:rsidR="00807AC3">
        <w:t xml:space="preserve"> </w:t>
      </w:r>
      <w:r w:rsidR="00CB70A3">
        <w:t>This highlights that even if the threat appraisal has been activated, there needs to be the infrastructure in place to support the development of coping appraisal.</w:t>
      </w:r>
      <w:r w:rsidR="00EE3A18">
        <w:t xml:space="preserve"> This </w:t>
      </w:r>
      <w:r w:rsidR="000D66C3">
        <w:t>highlights</w:t>
      </w:r>
      <w:r w:rsidR="00EE3A18">
        <w:t xml:space="preserve"> the significance of context and </w:t>
      </w:r>
      <w:r w:rsidR="000D66C3">
        <w:t xml:space="preserve">the importance of </w:t>
      </w:r>
      <w:r w:rsidR="00EE3A18">
        <w:t xml:space="preserve">understanding a range of factors surrounding community </w:t>
      </w:r>
      <w:r w:rsidR="002E66BD">
        <w:t>resilience,</w:t>
      </w:r>
      <w:r w:rsidR="00EE3A18">
        <w:t xml:space="preserve"> </w:t>
      </w:r>
      <w:r w:rsidR="000D66C3">
        <w:t>from the social structures</w:t>
      </w:r>
      <w:r w:rsidR="00EE3A18">
        <w:t xml:space="preserve"> to the infrastructure and housing design. </w:t>
      </w:r>
    </w:p>
    <w:p w14:paraId="0C321F44" w14:textId="77777777" w:rsidR="00FF6B1A" w:rsidRDefault="00FF6B1A" w:rsidP="00B2797D"/>
    <w:p w14:paraId="79E62D2B" w14:textId="2273C070" w:rsidR="00C019F7" w:rsidRDefault="00FF6B1A" w:rsidP="00FF6B1A">
      <w:r>
        <w:t xml:space="preserve">This shows the breadth of elements which can be examined when looking at community resilience. </w:t>
      </w:r>
      <w:r w:rsidR="00807AC3">
        <w:t xml:space="preserve">Similarly to the definition of resilience, a definition for community resilience needs to be flexible and adaptable for different contexts </w:t>
      </w:r>
      <w:r w:rsidR="00807AC3">
        <w:fldChar w:fldCharType="begin" w:fldLock="1"/>
      </w:r>
      <w:r>
        <w:instrText>ADDIN CSL_CITATION {"citationItems":[{"id":"ITEM-1","itemData":{"DOI":"10.1007/s11205-010-9576-9","ISBN":"0303-8300","ISSN":"03038300","PMID":"54097525","abstract":"The purpose of this study was to measure the sets of adaptive capacities for Economic Development and Social Capital in the Norris et al. (2008) community resilience model with publicly accessible population indicators. Our approach involved five steps. First, we conducted a literature review on measurements of the capacities. Second, we created an exhaustive “wish list” of relevant measures that operationalized the concepts presented in the literature. Third, we identified data sources and searched for archival, population-level data that matched our indicators. Fourth, we systematically tested correlations of indicators within and across the theoretical elements and used this information to select a parsimonious group of indicators. Fifth, we combined the indicators into composites of Economic Development and Social Capital and an additive index of Community Resilience using Mississippi county data, and validated these against a well-established index of social vulnerability and aggregated survey data on collective efficacy. We found that our measure of community resilience capacities correlated favorably and as expected when validated with the archival and survey data. This study provides the first step in identifying existing capacities that may predict a community’s ability to “bounce back” from disasters, thereby reducing post-trauma health and mental health problems.","author":[{"dropping-particle":"","family":"Sherrieb","given":"Kathleen","non-dropping-particle":"","parse-names":false,"suffix":""},{"dropping-particle":"","family":"Norris","given":"Fran H.","non-dropping-particle":"","parse-names":false,"suffix":""},{"dropping-particle":"","family":"Galea","given":"Sandro","non-dropping-particle":"","parse-names":false,"suffix":""}],"container-title":"Social Indicators Research","id":"ITEM-1","issue":"2","issued":{"date-parts":[["2010"]]},"page":"227-247","title":"Measuring Capacities for Community Resilience","type":"article-journal","volume":"99"},"uris":["http://www.mendeley.com/documents/?uuid=3a7eaed1-e1e1-4c81-86b5-90310b6c5892"]}],"mendeley":{"formattedCitation":"(Sherrieb, Norris, &amp; Galea, 2010)","plainTextFormattedCitation":"(Sherrieb, Norris, &amp; Galea, 2010)","previouslyFormattedCitation":"(Sherrieb, Norris, &amp; Galea, 2010)"},"properties":{"noteIndex":0},"schema":"https://github.com/citation-style-language/schema/raw/master/csl-citation.json"}</w:instrText>
      </w:r>
      <w:r w:rsidR="00807AC3">
        <w:fldChar w:fldCharType="separate"/>
      </w:r>
      <w:r w:rsidR="00807AC3" w:rsidRPr="00807AC3">
        <w:rPr>
          <w:noProof/>
        </w:rPr>
        <w:t>(Sherrieb, Norris, &amp; Galea, 2010)</w:t>
      </w:r>
      <w:r w:rsidR="00807AC3">
        <w:fldChar w:fldCharType="end"/>
      </w:r>
      <w:r w:rsidR="00807AC3">
        <w:t>.</w:t>
      </w:r>
      <w:r>
        <w:t xml:space="preserve"> This has been coined by some as the “myth of resilience” </w:t>
      </w:r>
      <w:r>
        <w:fldChar w:fldCharType="begin" w:fldLock="1"/>
      </w:r>
      <w:r w:rsidR="009F2D66">
        <w:instrText>ADDIN CSL_CITATION {"citationItems":[{"id":"ITEM-1","itemData":{"DOI":"10.1007/s11069-010-9646-y","ISBN":"0921-030X","ISSN":"0921030X","abstract":"The discussion surrounding resilience to natural hazards and disasters has advanced considerably within the last years. It ranges from ecological to social systems and also covers some socio-ecological spaces in-between. Yet, although the discussion is broad and multifaceted, a common theme runs through most approaches to resilience: Resilience is defined as a systemâ€™s capacity to adapt to or respond to singular, unique and most often radically surprising events. This paper seeks to shed some light on a different aspect of resilience; its constructionist dimension. For doing this, it introduces the â€˜myth of resilience, which not only considers the functional aspects of resilience (i.e. actors capacities), but also how actors make retrospectively sense of the radically surprising discovery of something entirely unknown. The paper will argue that the â€˜myth of resilienceâ€™ may become a powerful worldview that enables actors to define what is â€˜rightâ€™ and what is â€˜wrongâ€™, as it may be used as a very intriguing way of changing, creating and consolidating power relations; at least this is the insight a study on disaster management reveals. The case study was conducted in a municipality of a city located in the State of Saxony Germany, which was severely affected by the 2002 August flood. The paper ends with outlining implications for the discussion on resilience.","author":[{"dropping-particle":"","family":"Kuhlicke","given":"Christian","non-dropping-particle":"","parse-names":false,"suffix":""}],"container-title":"Natural Hazards","id":"ITEM-1","issued":{"date-parts":[["2013"]]},"page":"61-76","title":"Resilience: A capacity and a myth: findings from an in-depth case study in disaster management research","type":"article-journal","volume":"67"},"locator":"74","uris":["http://www.mendeley.com/documents/?uuid=18ec7922-a082-49a2-815e-4dc2fd41ecf4"]}],"mendeley":{"formattedCitation":"(Kuhlicke, 2013, p. 74)","plainTextFormattedCitation":"(Kuhlicke, 2013, p. 74)","previouslyFormattedCitation":"(Kuhlicke, 2013, p. 74)"},"properties":{"noteIndex":0},"schema":"https://github.com/citation-style-language/schema/raw/master/csl-citation.json"}</w:instrText>
      </w:r>
      <w:r>
        <w:fldChar w:fldCharType="separate"/>
      </w:r>
      <w:r w:rsidRPr="00FF6B1A">
        <w:rPr>
          <w:noProof/>
        </w:rPr>
        <w:t>(Kuhlicke, 2013, p. 74)</w:t>
      </w:r>
      <w:r>
        <w:fldChar w:fldCharType="end"/>
      </w:r>
      <w:r>
        <w:t>, referring to the challenge of defining the concept. W</w:t>
      </w:r>
      <w:r w:rsidR="00B2797D">
        <w:t>hil</w:t>
      </w:r>
      <w:r w:rsidR="000D66C3">
        <w:t>e</w:t>
      </w:r>
      <w:r w:rsidR="00B2797D">
        <w:t xml:space="preserve"> it would be interesting to examine every element </w:t>
      </w:r>
      <w:r>
        <w:t>from Patel et al</w:t>
      </w:r>
      <w:r w:rsidR="00B24A85">
        <w:t>’s</w:t>
      </w:r>
      <w:r>
        <w:t xml:space="preserve"> (2017) work, </w:t>
      </w:r>
      <w:r w:rsidR="00B2797D">
        <w:t xml:space="preserve">it was not possible within the PhD timeframe. </w:t>
      </w:r>
      <w:r w:rsidR="00233ECA">
        <w:t>Within the literature</w:t>
      </w:r>
      <w:r w:rsidR="00B24A85">
        <w:t>,</w:t>
      </w:r>
      <w:r w:rsidR="00233ECA">
        <w:t xml:space="preserve"> there has not yet been a study which examines the use of social media for community disaster resilience, which suggest</w:t>
      </w:r>
      <w:r w:rsidR="00D539BD">
        <w:t>s</w:t>
      </w:r>
      <w:r w:rsidR="00233ECA">
        <w:t xml:space="preserve"> a gap in the literature. </w:t>
      </w:r>
      <w:r w:rsidR="00D539BD">
        <w:t>Therefore,</w:t>
      </w:r>
      <w:r w:rsidR="00233ECA">
        <w:t xml:space="preserve"> </w:t>
      </w:r>
      <w:r w:rsidR="00D539BD">
        <w:t>to</w:t>
      </w:r>
      <w:r w:rsidR="00233ECA">
        <w:t xml:space="preserve"> </w:t>
      </w:r>
      <w:r w:rsidR="00233ECA">
        <w:lastRenderedPageBreak/>
        <w:t>address this gap</w:t>
      </w:r>
      <w:r w:rsidR="00B2797D">
        <w:t xml:space="preserve">, this </w:t>
      </w:r>
      <w:r w:rsidR="00233ECA">
        <w:t xml:space="preserve">research examined community resilience through a focus on </w:t>
      </w:r>
      <w:r w:rsidR="00B2797D">
        <w:t>the elements of communication</w:t>
      </w:r>
      <w:r w:rsidR="00E735C1">
        <w:t>, community networks</w:t>
      </w:r>
      <w:r w:rsidR="00B2797D">
        <w:t xml:space="preserve"> and preparednes</w:t>
      </w:r>
      <w:r w:rsidR="00C019F7">
        <w:t>s</w:t>
      </w:r>
      <w:r w:rsidR="00233ECA">
        <w:t xml:space="preserve">. Each of these elements can be linked </w:t>
      </w:r>
      <w:r w:rsidR="00C019F7">
        <w:t>to the use of social media</w:t>
      </w:r>
      <w:r w:rsidR="00233ECA">
        <w:t>, and therefore will help to examine if and how social media can be used for community disaster resilience</w:t>
      </w:r>
      <w:r w:rsidR="00C019F7">
        <w:t xml:space="preserve">.  </w:t>
      </w:r>
    </w:p>
    <w:p w14:paraId="0E5FD70A" w14:textId="77777777" w:rsidR="00C019F7" w:rsidRDefault="00C019F7" w:rsidP="00B2797D"/>
    <w:p w14:paraId="0DC95D66" w14:textId="326C8450" w:rsidR="00A959B5" w:rsidRDefault="007F21EF" w:rsidP="00C019F7">
      <w:r>
        <w:t xml:space="preserve">Social media was created as a way for individuals to connect, share information, provide sociality support, a sense of belonging, and wider social cohesion </w:t>
      </w:r>
      <w:r>
        <w:fldChar w:fldCharType="begin" w:fldLock="1"/>
      </w:r>
      <w:r w:rsidR="00D855A4">
        <w:instrText>ADDIN CSL_CITATION {"citationItems":[{"id":"ITEM-1","itemData":{"DOI":"10.1.1.207.2863","ISBN":"0805852875","abstract":"Communities started changing from groups to networks well before the advent of the Internet. Initially, people believed that industrialization and bureaucratization would dissolve community groups and leave only isolated, alienated individuals. Then scholars discovered that communities continued, but more as sparsely-knit, spatially- dispersed social networks rather than as densely-knit, village-like local groups. A similar debate has developed about the impact of the Internet on community. Some fear that it will isolate people from face-to-face interactions. Others extol the Internet's ability to support far-flung communities of shared interest. Evidence to address this debate about the impact of the Internet on community is thundering in. Three studies done at the NetLab are concomitant with general findings, both in North America and worldwide, that rather than weakening community, the Internet adds to existing face-to-face and telephone contact. Rather than increasing or destroying community, the Internet can best be seen transforming community such that it becomes integrated into rhythms of daily life, with life online integrated with offline activities.","author":[{"dropping-particle":"","family":"Wellman","given":"Barry","non-dropping-particle":"","parse-names":false,"suffix":""},{"dropping-particle":"","family":"Boase","given":"Jeffrey","non-dropping-particle":"","parse-names":false,"suffix":""},{"dropping-particle":"","family":"Chen","given":"Wenhong","non-dropping-particle":"","parse-names":false,"suffix":""}],"container-title":"IT &amp; Society","id":"ITEM-1","issue":"1","issued":{"date-parts":[["2002"]]},"page":"151–165","title":"The networked nature of community: Online and offline","type":"article-journal","volume":"1"},"uris":["http://www.mendeley.com/documents/?uuid=101663d4-5471-46b0-957e-46bd9d5bacb4"]},{"id":"ITEM-2","itemData":{"abstract":"Computer networks are inherently social networks, linking people, organizations, and knowledge. They are social institutions that should not be studied in isolation but as integrated into everyday lives. The proliferation of computer networks has facilitated a deemphasis on group solidarities at work and in the community and afforded a turn to networked societies that are loosely bounded and sparsely knit. The Internet increases people's social capital, increasing contact with friends and relatives who live nearby and far away. New tools must be developed to help people navigate and find knowledge in complex, fragmented, networked societies.","author":[{"dropping-particle":"","family":"Wellman","given":"Barry","non-dropping-particle":"","parse-names":false,"suffix":""}],"container-title":"Science","id":"ITEM-2","issue":"5537","issued":{"date-parts":[["2001"]]},"note":"Good quotes \n\no   “An internet year is like a dog year, changing approximately seven times faster than normal human time” (pp2034) \no   “technology does not change society – it only affords possibilities for change” (pp2034)","page":"2031-2034","title":"Computer Networks as Social Networks Computer Networks As Social Networks","type":"article-journal","volume":"293"},"uris":["http://www.mendeley.com/documents/?uuid=c1b108b4-17a5-4368-83ce-e0bf07dba06e"]}],"mendeley":{"formattedCitation":"(Wellman, Boase, &amp; Chen, 2002; Wellman, 2001)","plainTextFormattedCitation":"(Wellman, Boase, &amp; Chen, 2002; Wellman, 2001)","previouslyFormattedCitation":"(Wellman, Boase, &amp; Chen, 2002; Wellman, 2001)"},"properties":{"noteIndex":0},"schema":"https://github.com/citation-style-language/schema/raw/master/csl-citation.json"}</w:instrText>
      </w:r>
      <w:r>
        <w:fldChar w:fldCharType="separate"/>
      </w:r>
      <w:r w:rsidRPr="007F21EF">
        <w:rPr>
          <w:noProof/>
        </w:rPr>
        <w:t>(Wellman, Boase, &amp; Chen, 2002; Wellman, 2001)</w:t>
      </w:r>
      <w:r>
        <w:fldChar w:fldCharType="end"/>
      </w:r>
      <w:r>
        <w:t>. This therefore provides a grounding to the development of community resilience, providing a platform with which communities can connect with one another. Whil</w:t>
      </w:r>
      <w:r w:rsidR="000D66C3">
        <w:t>e</w:t>
      </w:r>
      <w:r>
        <w:t xml:space="preserve"> social media is used on a global level they can have a hyper-local focus</w:t>
      </w:r>
      <w:r w:rsidR="00D539BD">
        <w:t>,</w:t>
      </w:r>
      <w:r>
        <w:t xml:space="preserve"> such as the creation of Facebook</w:t>
      </w:r>
      <w:r w:rsidR="00863EBA">
        <w:t>,</w:t>
      </w:r>
      <w:r>
        <w:t xml:space="preserve"> which focused on University Campus</w:t>
      </w:r>
      <w:r w:rsidR="00D539BD">
        <w:t>es</w:t>
      </w:r>
      <w:r w:rsidR="00C019F7">
        <w:t xml:space="preserve"> with the aim of increasing place-based community </w:t>
      </w:r>
      <w:r w:rsidR="00C019F7">
        <w:fldChar w:fldCharType="begin" w:fldLock="1"/>
      </w:r>
      <w:r w:rsidR="00C019F7">
        <w:instrText>ADDIN CSL_CITATION {"citationItems":[{"id":"ITEM-1","itemData":{"DOI":"10.1111/j.1083-6101.2007.00367.x","ISBN":"0521832969","ISSN":"10836101","PMID":"10540012","abstract":"This study examines the relationship between use of Facebook, a popular online social network site, and the formation and maintenance of social capital. In addition to assessing bonding and bridging social capital, we explore a dimension of social capital that assesses one’s ability to stay connected with members of a previously inhabited community, which we call maintained social capital. Regression analyses conducted on results from a survey of undergraduate students (N = 286) suggest a strong association between use of Facebook and the three types of social capital, with the strongest relationship being to bridging social capital. In addition, Facebook usage was found to interact with measures of psychological well-being, suggesting that it might provide greater benefits for users experiencing low self-esteem and low life satisfaction.","author":[{"dropping-particle":"","family":"Ellison","given":"Nicole B.","non-dropping-particle":"","parse-names":false,"suffix":""},{"dropping-particle":"","family":"Steinfield","given":"Charles","non-dropping-particle":"","parse-names":false,"suffix":""},{"dropping-particle":"","family":"Lampe","given":"Cliff","non-dropping-particle":"","parse-names":false,"suffix":""}],"container-title":"Journal of Computer-Mediated Communication","id":"ITEM-1","issue":"4","issued":{"date-parts":[["2007"]]},"page":"1143-1168","title":"The benefits of facebook \"friends:\" Social capital and college students' use of online social network sites","type":"article-journal","volume":"12"},"uris":["http://www.mendeley.com/documents/?uuid=484b47bc-5c12-4500-9700-1eb966bb6d89"]}],"mendeley":{"formattedCitation":"(Ellison, Steinfield, &amp; Lampe, 2007)","plainTextFormattedCitation":"(Ellison, Steinfield, &amp; Lampe, 2007)","previouslyFormattedCitation":"(Ellison, Steinfield, &amp; Lampe, 2007)"},"properties":{"noteIndex":0},"schema":"https://github.com/citation-style-language/schema/raw/master/csl-citation.json"}</w:instrText>
      </w:r>
      <w:r w:rsidR="00C019F7">
        <w:fldChar w:fldCharType="separate"/>
      </w:r>
      <w:r w:rsidR="00C019F7" w:rsidRPr="00E735C1">
        <w:rPr>
          <w:noProof/>
        </w:rPr>
        <w:t>(Ellison, Steinfield, &amp; Lampe, 2007)</w:t>
      </w:r>
      <w:r w:rsidR="00C019F7">
        <w:fldChar w:fldCharType="end"/>
      </w:r>
      <w:r w:rsidR="00C019F7">
        <w:t xml:space="preserve">. This suggests that social media could be utilised to support the development of resilience, which will be discussed further in section 2.5. </w:t>
      </w:r>
    </w:p>
    <w:bookmarkEnd w:id="364"/>
    <w:p w14:paraId="0110BF77" w14:textId="77777777" w:rsidR="00130391" w:rsidRDefault="00130391" w:rsidP="00866155">
      <w:pPr>
        <w:rPr>
          <w:rFonts w:cs="Calibri"/>
        </w:rPr>
      </w:pPr>
    </w:p>
    <w:p w14:paraId="7A8DEE8D" w14:textId="77777777" w:rsidR="00787F73" w:rsidRDefault="00742FB7" w:rsidP="00866155">
      <w:r>
        <w:rPr>
          <w:rFonts w:cs="Calibri"/>
        </w:rPr>
        <w:t xml:space="preserve">These different elements and sub-elements of community resilience all provide different community resilience </w:t>
      </w:r>
      <w:r>
        <w:rPr>
          <w:rFonts w:cs="Calibri"/>
          <w:i/>
          <w:iCs/>
        </w:rPr>
        <w:t>logics</w:t>
      </w:r>
      <w:r>
        <w:rPr>
          <w:rFonts w:cs="Calibri"/>
        </w:rPr>
        <w:t>, with each including different rules and schema for developing resilience. This wide variation in characteristics and components of community resilience provides a large, if not impossible, challenge for organisations who are aiming to understand resilience and their role within supporting communities to develop and build their resilience.</w:t>
      </w:r>
      <w:bookmarkEnd w:id="359"/>
    </w:p>
    <w:bookmarkEnd w:id="365"/>
    <w:p w14:paraId="32058B84" w14:textId="77777777" w:rsidR="00787F73" w:rsidRDefault="00787F73" w:rsidP="00866155">
      <w:pPr>
        <w:rPr>
          <w:rFonts w:cs="Calibri"/>
        </w:rPr>
      </w:pPr>
    </w:p>
    <w:p w14:paraId="19C60260" w14:textId="77777777" w:rsidR="00787F73" w:rsidRDefault="00742FB7" w:rsidP="00866155">
      <w:pPr>
        <w:pStyle w:val="Heading3"/>
      </w:pPr>
      <w:bookmarkStart w:id="366" w:name="_Toc153554318"/>
      <w:bookmarkStart w:id="367" w:name="_Toc158823559"/>
      <w:bookmarkStart w:id="368" w:name="_Toc193367200"/>
      <w:r>
        <w:rPr>
          <w:rFonts w:ascii="Calibri" w:hAnsi="Calibri" w:cs="Calibri"/>
        </w:rPr>
        <w:t>2.4.3: Organisational role within building community resilience</w:t>
      </w:r>
      <w:bookmarkEnd w:id="366"/>
      <w:bookmarkEnd w:id="367"/>
      <w:bookmarkEnd w:id="368"/>
      <w:r>
        <w:rPr>
          <w:rFonts w:ascii="Calibri" w:hAnsi="Calibri" w:cs="Calibri"/>
        </w:rPr>
        <w:t xml:space="preserve"> </w:t>
      </w:r>
    </w:p>
    <w:p w14:paraId="5C55D1EC" w14:textId="77777777" w:rsidR="00787F73" w:rsidRDefault="00742FB7" w:rsidP="00866155">
      <w:r>
        <w:rPr>
          <w:rFonts w:cs="Calibri"/>
        </w:rPr>
        <w:t>For organisations working within the disaster management and resilience arena</w:t>
      </w:r>
      <w:r w:rsidR="00D539BD">
        <w:rPr>
          <w:rFonts w:cs="Calibri"/>
        </w:rPr>
        <w:t>,</w:t>
      </w:r>
      <w:r>
        <w:rPr>
          <w:rFonts w:cs="Calibri"/>
        </w:rPr>
        <w:t xml:space="preserve"> there will not only be various institutional logics influencing how they manage disasters, but they also need to consider how to include and work with communities; these can be state logics with statutory instruments (discussed later in the FRS section) or more field level community logics, including characteristics of the local community. How these organisations work and interact with the community is important to this research as it can highlight what connections an organisation has to a community, and how they use these connections to support communities to create and develop resilience. For this reason, there needs to be an </w:t>
      </w:r>
      <w:r>
        <w:rPr>
          <w:rFonts w:cs="Calibri"/>
        </w:rPr>
        <w:lastRenderedPageBreak/>
        <w:t xml:space="preserve">understanding of social capital, specifically the different types of social capital and how they can be utilised by organisations working closely with communities. </w:t>
      </w:r>
    </w:p>
    <w:p w14:paraId="63633BA6" w14:textId="77777777" w:rsidR="00787F73" w:rsidRDefault="00787F73" w:rsidP="00866155">
      <w:pPr>
        <w:rPr>
          <w:rFonts w:cs="Calibri"/>
        </w:rPr>
      </w:pPr>
    </w:p>
    <w:p w14:paraId="70F4453D" w14:textId="77777777" w:rsidR="009F2D66" w:rsidRDefault="009F2D66" w:rsidP="000B5BDC">
      <w:pPr>
        <w:rPr>
          <w:rFonts w:cs="Calibri"/>
        </w:rPr>
      </w:pPr>
      <w:r>
        <w:rPr>
          <w:rFonts w:cs="Calibri"/>
        </w:rPr>
        <w:t xml:space="preserve">Social capital was first coined by Hanifan in 1916 and was defined as “goodwill, fellowship, mutual sympathy, and social intercourse among a group of individuals and families” </w:t>
      </w:r>
      <w:r>
        <w:rPr>
          <w:rFonts w:cs="Calibri"/>
        </w:rPr>
        <w:fldChar w:fldCharType="begin" w:fldLock="1"/>
      </w:r>
      <w:r w:rsidR="0044545D">
        <w:rPr>
          <w:rFonts w:cs="Calibri"/>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India","type":"article-journal","volume":"19"},"locator":"102","uris":["http://www.mendeley.com/documents/?uuid=d8bcf27c-1efc-4c15-8204-cd8b37719dd2"]}],"mendeley":{"formattedCitation":"(Sanyal &amp; Routray, 2016, p. 102)","plainTextFormattedCitation":"(Sanyal &amp; Routray, 2016, p. 102)","previouslyFormattedCitation":"(Sanyal &amp; Routray, 2016, p. 102)"},"properties":{"noteIndex":0},"schema":"https://github.com/citation-style-language/schema/raw/master/csl-citation.json"}</w:instrText>
      </w:r>
      <w:r>
        <w:rPr>
          <w:rFonts w:cs="Calibri"/>
        </w:rPr>
        <w:fldChar w:fldCharType="separate"/>
      </w:r>
      <w:r w:rsidR="000B5BDC" w:rsidRPr="000B5BDC">
        <w:rPr>
          <w:rFonts w:cs="Calibri"/>
          <w:noProof/>
        </w:rPr>
        <w:t>(Sanyal &amp; Routray, 2016, p. 102)</w:t>
      </w:r>
      <w:r>
        <w:rPr>
          <w:rFonts w:cs="Calibri"/>
        </w:rPr>
        <w:fldChar w:fldCharType="end"/>
      </w:r>
      <w:r>
        <w:rPr>
          <w:rFonts w:cs="Calibri"/>
        </w:rPr>
        <w:t xml:space="preserve">. This was then further developed </w:t>
      </w:r>
      <w:r w:rsidR="000B5BDC">
        <w:rPr>
          <w:rFonts w:cs="Calibri"/>
        </w:rPr>
        <w:t>over the next hundred years and is now understood to be “</w:t>
      </w:r>
      <w:r w:rsidR="000B5BDC" w:rsidRPr="000B5BDC">
        <w:rPr>
          <w:rFonts w:cs="Calibri"/>
        </w:rPr>
        <w:t>aggregate assets or resources that inhere in individuals and</w:t>
      </w:r>
      <w:r w:rsidR="000B5BDC">
        <w:rPr>
          <w:rFonts w:cs="Calibri"/>
        </w:rPr>
        <w:t xml:space="preserve"> </w:t>
      </w:r>
      <w:r w:rsidR="000B5BDC" w:rsidRPr="000B5BDC">
        <w:rPr>
          <w:rFonts w:cs="Calibri"/>
        </w:rPr>
        <w:t>communities as a result of various dimensions of social</w:t>
      </w:r>
      <w:r w:rsidR="000B5BDC">
        <w:rPr>
          <w:rFonts w:cs="Calibri"/>
        </w:rPr>
        <w:t xml:space="preserve"> </w:t>
      </w:r>
      <w:r w:rsidR="000B5BDC" w:rsidRPr="000B5BDC">
        <w:rPr>
          <w:rFonts w:cs="Calibri"/>
        </w:rPr>
        <w:t>organization</w:t>
      </w:r>
      <w:r w:rsidR="000B5BDC">
        <w:rPr>
          <w:rFonts w:cs="Calibri"/>
        </w:rPr>
        <w:t xml:space="preserve">” </w:t>
      </w:r>
      <w:r w:rsidR="000B5BDC">
        <w:rPr>
          <w:rFonts w:cs="Calibri"/>
        </w:rPr>
        <w:fldChar w:fldCharType="begin" w:fldLock="1"/>
      </w:r>
      <w:r w:rsidR="000B5BDC">
        <w:rPr>
          <w:rFonts w:cs="Calibri"/>
        </w:rPr>
        <w:instrText>ADDIN CSL_CITATION {"citationItems":[{"id":"ITEM-1","itemData":{"DOI":"10.1007/s10464-011-9427-0","ISBN":"1573-2770 (Electronic)\\r0091-0562 (Linking)","ISSN":"00910562","PMID":"21287261","abstract":"In this paper we draw on the findings of a critical, multi-sited ethnographic study of two rural communities affected by a wildfire in British Columbia, Canada to examine the salience of place, identity, and social capital to the disaster recovery process and community disaster resilience. We argue that a reconfiguration of disaster recovery is required that more meaningfully considers the role of place in the disaster recovery process and opens up the space for a more reflective and intentional consideration of the disorientation and disruption associated with disasters and our organized response to that disorientation. We describe a social-psychological process, reorientation, in which affected individuals and communities navigate the psychological, social and emotional responses to the symbolic and material changes to social and geographic place that result from the fire's destruction. The reorientation process emphasizes the critical importance of place not only as an orienting framework in recovery but also as the ground upon which social capital and community disaster resilience are built. This approach to understanding and responding to the disorientation of disasters has implications for community psychologists and other service providers engaged in supporting disaster survivors. This includes the need to consider the complex dynamic of contextual and cultural factors that influence the disaster recovery process.","author":[{"dropping-particle":"","family":"Cox","given":"Robin S.","non-dropping-particle":"","parse-names":false,"suffix":""},{"dropping-particle":"","family":"Perry","given":"Karen Marie Elah","non-dropping-particle":"","parse-names":false,"suffix":""}],"container-title":"American Journal of Community Psychology","id":"ITEM-1","issued":{"date-parts":[["2011"]]},"page":"395-411","title":"Like a Fish Out of Water: Reconsidering Disaster Recovery and the Role of Place and Social Capital in Community Disaster Resilience","type":"article-journal","volume":"48"},"locator":"396","uris":["http://www.mendeley.com/documents/?uuid=7cc0bc64-5b6c-47d3-b8e2-087a2c2fd9f6"]}],"mendeley":{"formattedCitation":"(Cox &amp; Perry, 2011, p. 396)","plainTextFormattedCitation":"(Cox &amp; Perry, 2011, p. 396)","previouslyFormattedCitation":"(Cox &amp; Perry, 2011, p. 396)"},"properties":{"noteIndex":0},"schema":"https://github.com/citation-style-language/schema/raw/master/csl-citation.json"}</w:instrText>
      </w:r>
      <w:r w:rsidR="000B5BDC">
        <w:rPr>
          <w:rFonts w:cs="Calibri"/>
        </w:rPr>
        <w:fldChar w:fldCharType="separate"/>
      </w:r>
      <w:r w:rsidR="000B5BDC" w:rsidRPr="000B5BDC">
        <w:rPr>
          <w:rFonts w:cs="Calibri"/>
          <w:noProof/>
        </w:rPr>
        <w:t>(Cox &amp; Perry, 2011, p. 396)</w:t>
      </w:r>
      <w:r w:rsidR="000B5BDC">
        <w:rPr>
          <w:rFonts w:cs="Calibri"/>
        </w:rPr>
        <w:fldChar w:fldCharType="end"/>
      </w:r>
      <w:r w:rsidR="000B5BDC">
        <w:rPr>
          <w:rFonts w:cs="Calibri"/>
        </w:rPr>
        <w:t>. Essentially, social capital describes how individuals organise and maintain relationships.</w:t>
      </w:r>
    </w:p>
    <w:p w14:paraId="6611319D" w14:textId="77777777" w:rsidR="000B5BDC" w:rsidRDefault="000B5BDC" w:rsidP="00866155">
      <w:pPr>
        <w:rPr>
          <w:rFonts w:cs="Calibri"/>
        </w:rPr>
      </w:pPr>
    </w:p>
    <w:p w14:paraId="282D9566" w14:textId="7B19DDAF" w:rsidR="002E66BD" w:rsidRDefault="00742FB7" w:rsidP="00866155">
      <w:pPr>
        <w:rPr>
          <w:rFonts w:cs="Calibri"/>
        </w:rPr>
      </w:pPr>
      <w:r>
        <w:rPr>
          <w:rFonts w:cs="Calibri"/>
        </w:rPr>
        <w:t>Within community networks, social capital can be divided into three different categories: bonding</w:t>
      </w:r>
      <w:r w:rsidR="00D539BD">
        <w:rPr>
          <w:rFonts w:cs="Calibri"/>
        </w:rPr>
        <w:t>;</w:t>
      </w:r>
      <w:r>
        <w:rPr>
          <w:rFonts w:cs="Calibri"/>
        </w:rPr>
        <w:t>bridging</w:t>
      </w:r>
      <w:r w:rsidR="00D539BD">
        <w:rPr>
          <w:rFonts w:cs="Calibri"/>
        </w:rPr>
        <w:t>;</w:t>
      </w:r>
      <w:r>
        <w:rPr>
          <w:rFonts w:cs="Calibri"/>
        </w:rPr>
        <w:t>, and linking social capital, as shown in Figure 8.  These concepts explore how individuals in the community network can work with each other (bonding and bridging), but also how they network with external organisations (linking). These categories of social capital help to describe how individuals can access different support</w:t>
      </w:r>
      <w:r w:rsidR="00CB70A3">
        <w:rPr>
          <w:rFonts w:cs="Calibri"/>
        </w:rPr>
        <w:t>. Individuals can gain</w:t>
      </w:r>
      <w:r>
        <w:rPr>
          <w:rFonts w:cs="Calibri"/>
        </w:rPr>
        <w:t xml:space="preserve"> psychological support from bonding</w:t>
      </w:r>
      <w:r w:rsidR="00CB70A3">
        <w:rPr>
          <w:rFonts w:cs="Calibri"/>
        </w:rPr>
        <w:t xml:space="preserve"> social capital, which comes from the networking with family, </w:t>
      </w:r>
      <w:r w:rsidR="009F5822">
        <w:rPr>
          <w:rFonts w:cs="Calibri"/>
        </w:rPr>
        <w:t>friends,</w:t>
      </w:r>
      <w:r w:rsidR="00CB70A3">
        <w:rPr>
          <w:rFonts w:cs="Calibri"/>
        </w:rPr>
        <w:t xml:space="preserve"> and one’s immediate network. They can gain</w:t>
      </w:r>
      <w:r>
        <w:rPr>
          <w:rFonts w:cs="Calibri"/>
        </w:rPr>
        <w:t xml:space="preserve"> information, </w:t>
      </w:r>
      <w:r w:rsidR="009F5822">
        <w:rPr>
          <w:rFonts w:cs="Calibri"/>
        </w:rPr>
        <w:t>resources,</w:t>
      </w:r>
      <w:r>
        <w:rPr>
          <w:rFonts w:cs="Calibri"/>
        </w:rPr>
        <w:t xml:space="preserve"> and support </w:t>
      </w:r>
      <w:r w:rsidR="009F5822">
        <w:rPr>
          <w:rFonts w:cs="Calibri"/>
        </w:rPr>
        <w:t xml:space="preserve">through </w:t>
      </w:r>
      <w:r w:rsidR="00CB70A3">
        <w:rPr>
          <w:rFonts w:cs="Calibri"/>
        </w:rPr>
        <w:t>bridging social capital</w:t>
      </w:r>
      <w:r w:rsidR="009F5822">
        <w:rPr>
          <w:rFonts w:cs="Calibri"/>
        </w:rPr>
        <w:t>,</w:t>
      </w:r>
      <w:r w:rsidR="00CB70A3">
        <w:rPr>
          <w:rFonts w:cs="Calibri"/>
        </w:rPr>
        <w:t xml:space="preserve"> which focuses on networks with other</w:t>
      </w:r>
      <w:r>
        <w:rPr>
          <w:rFonts w:cs="Calibri"/>
        </w:rPr>
        <w:t xml:space="preserve"> communit</w:t>
      </w:r>
      <w:r w:rsidR="00CB70A3">
        <w:rPr>
          <w:rFonts w:cs="Calibri"/>
        </w:rPr>
        <w:t xml:space="preserve">ies or groups such as neighbouring villages. Finally, individuals and communities can gain linking social capital from engaging with </w:t>
      </w:r>
      <w:r>
        <w:rPr>
          <w:rFonts w:cs="Calibri"/>
        </w:rPr>
        <w:t xml:space="preserve">external agencies </w:t>
      </w:r>
      <w:r>
        <w:fldChar w:fldCharType="begin" w:fldLock="1"/>
      </w:r>
      <w:r>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Pr>
          <w:rFonts w:cs="Calibri"/>
        </w:rPr>
        <w:fldChar w:fldCharType="separate"/>
      </w:r>
      <w:r>
        <w:rPr>
          <w:rFonts w:cs="Calibri"/>
          <w:noProof/>
        </w:rPr>
        <w:t>(Carmen et al., 2022)</w:t>
      </w:r>
      <w:r>
        <w:rPr>
          <w:rFonts w:cs="Calibri"/>
        </w:rPr>
        <w:fldChar w:fldCharType="end"/>
      </w:r>
      <w:r>
        <w:rPr>
          <w:rFonts w:cs="Calibri"/>
        </w:rPr>
        <w:t>.</w:t>
      </w:r>
    </w:p>
    <w:p w14:paraId="7A2B3451" w14:textId="77777777" w:rsidR="002E66BD" w:rsidRDefault="002E66BD" w:rsidP="00866155">
      <w:pPr>
        <w:rPr>
          <w:rFonts w:cs="Calibri"/>
        </w:rPr>
      </w:pPr>
    </w:p>
    <w:p w14:paraId="3CA94900" w14:textId="087FD800" w:rsidR="00787F73" w:rsidRDefault="002E66BD" w:rsidP="00866155">
      <w:r>
        <w:rPr>
          <w:rFonts w:cs="Calibri"/>
        </w:rPr>
        <w:t xml:space="preserve">However, there are authors who </w:t>
      </w:r>
      <w:r w:rsidR="001C228E">
        <w:rPr>
          <w:rFonts w:cs="Calibri"/>
        </w:rPr>
        <w:t>criticise</w:t>
      </w:r>
      <w:r>
        <w:rPr>
          <w:rFonts w:cs="Calibri"/>
        </w:rPr>
        <w:t xml:space="preserve"> the use of social capital. Stating that it is not clearly defined or measured and is too broad as a concept </w:t>
      </w:r>
      <w:r>
        <w:rPr>
          <w:rFonts w:cs="Calibri"/>
        </w:rPr>
        <w:fldChar w:fldCharType="begin" w:fldLock="1"/>
      </w:r>
      <w:r w:rsidR="001C228E">
        <w:rPr>
          <w:rFonts w:cs="Calibri"/>
        </w:rPr>
        <w:instrText>ADDIN CSL_CITATION {"citationItems":[{"id":"ITEM-1","itemData":{"DOI":"10.1007/978-1-4614-7464-7","ISBN":"9781461474647","abstract":"This book is a follow up to Social Capital and Health (2008), edited by Kawachi, Subramanian and Kim. Global Perspectives on Social Capital and Health provides a timely update on emerging topics in a fast-growing field, and features contributions from an outstanding international team of scholars, selected from a diverse range of disciplinary backgrounds including: social epidemiology, medical geography, social psychology, social welfare and gerontology, pediatrics, political science, economics, and medical sociology. The book is organized in three parts: Part 1. Emerging directions in social capital research. This section highlights novel directions in social capital research. These include: a) novel settings for conducting research on social capital (workplaces, schools), b) new approaches for causal inference in social capital (instrumental variable analysis, twin fixed effects designs); c) cutting-edge directions for social capital research, including studies of the origins of community social capital, the use of social network analysis to investigate social capital, and novel methods for investigating the link between social capital and crime. Part 2. Social capital and health policy. The three chapters in this section highlight implications of social capital for interventions and health policy. Part 3. Social capital and health in global perspective The four chapters in this section look at research on social capital and health from a global perspective. The authors summarize the empirical studies on social capital and health conducted in each country/region, or each population group; discuss how the concept of social capital translates across different cultures; and identify challenges and future directions for research.","author":[{"dropping-particle":"","family":"Kawachi","given":"Ichiro","non-dropping-particle":"","parse-names":false,"suffix":""},{"dropping-particle":"","family":"Takao","given":"Soshi","non-dropping-particle":"","parse-names":false,"suffix":""},{"dropping-particle":"V.","family":"Subramanian","given":"S.","non-dropping-particle":"","parse-names":false,"suffix":""}],"container-title":"Global Perspectives on Social Capital and Health","id":"ITEM-1","issued":{"date-parts":[["2013"]]},"number-of-pages":"1-349","title":"Global perspectives on social capital and health","type":"book"},"uris":["http://www.mendeley.com/documents/?uuid=c62f6dfc-a98e-4965-95ea-4235946052ae"]},{"id":"ITEM-2","itemData":{"abstract":"Predicting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ine","given":"Ben","non-dropping-particle":"","parse-names":false,"suffix":""}],"editor":[{"dropping-particle":"","family":"Fine","given":"Ben","non-dropping-particle":"","parse-names":false,"suffix":""},{"dropping-particle":"","family":"Milonakis","given":"Dimitris","non-dropping-particle":"","parse-names":false,"suffix":""}],"id":"ITEM-2","issue":"2","issued":{"date-parts":[["2010"]]},"publisher":"Pluto Press","title":"Theories of Social Capital: Researchers behaving badly","type":"book","volume":"7"},"uris":["http://www.mendeley.com/documents/?uuid=c83d165e-42eb-4842-8f1f-adc31fd498f5"]}],"mendeley":{"formattedCitation":"(Kawachi, Takao, &amp; Subramanian, 2013; Fine, 2010)","plainTextFormattedCitation":"(Kawachi, Takao, &amp; Subramanian, 2013; Fine, 2010)","previouslyFormattedCitation":"(Kawachi, Takao, &amp; Subramanian, 2013; Fine, 2010)"},"properties":{"noteIndex":0},"schema":"https://github.com/citation-style-language/schema/raw/master/csl-citation.json"}</w:instrText>
      </w:r>
      <w:r>
        <w:rPr>
          <w:rFonts w:cs="Calibri"/>
        </w:rPr>
        <w:fldChar w:fldCharType="separate"/>
      </w:r>
      <w:r w:rsidR="001C228E" w:rsidRPr="001C228E">
        <w:rPr>
          <w:rFonts w:cs="Calibri"/>
          <w:noProof/>
        </w:rPr>
        <w:t>(Kawachi, Takao, &amp; Subramanian, 2013; Fine, 2010)</w:t>
      </w:r>
      <w:r>
        <w:rPr>
          <w:rFonts w:cs="Calibri"/>
        </w:rPr>
        <w:fldChar w:fldCharType="end"/>
      </w:r>
      <w:r>
        <w:rPr>
          <w:rFonts w:cs="Calibri"/>
        </w:rPr>
        <w:t xml:space="preserve">. There are also authors who suggest that the focus on </w:t>
      </w:r>
      <w:r w:rsidRPr="00A0151B">
        <w:rPr>
          <w:rFonts w:cs="Calibri"/>
          <w:i/>
          <w:iCs/>
        </w:rPr>
        <w:t>capital</w:t>
      </w:r>
      <w:r>
        <w:rPr>
          <w:rFonts w:cs="Calibri"/>
        </w:rPr>
        <w:t xml:space="preserve"> can be misleading as it can imply relationships operate in a similar way to financial investments,</w:t>
      </w:r>
      <w:r w:rsidR="001C228E">
        <w:rPr>
          <w:rFonts w:cs="Calibri"/>
        </w:rPr>
        <w:t xml:space="preserve"> </w:t>
      </w:r>
      <w:r w:rsidR="001C228E">
        <w:rPr>
          <w:rFonts w:cs="Calibri"/>
        </w:rPr>
        <w:fldChar w:fldCharType="begin" w:fldLock="1"/>
      </w:r>
      <w:r w:rsidR="00CE6E1E">
        <w:rPr>
          <w:rFonts w:cs="Calibri"/>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ine","given":"Ben","non-dropping-particle":"","parse-names":false,"suffix":""}],"editor":[{"dropping-particle":"","family":"Fine","given":"Ben","non-dropping-particle":"","parse-names":false,"suffix":""},{"dropping-particle":"","family":"Milonakis","given":"Dimitris","non-dropping-particle":"","parse-names":false,"suffix":""}],"id":"ITEM-1","issue":"2","issued":{"date-parts":[["2010"]]},"publisher":"Pluto Press","title":"Theories of Social Capital: Researchers behaving badly","type":"book","volume":"7"},"uris":["http://www.mendeley.com/documents/?uuid=c83d165e-42eb-4842-8f1f-adc31fd498f5"]},{"id":"ITEM-2","itemData":{"DOI":"10.1007/978-1-4614-7464-7","ISBN":"9781461474647","abstract":"This book is a follow up to Social Capital and Health (2008), edited by Kawachi, Subramanian and Kim. Global Perspectives on Social Capital and Health provides a timely update on emerging topics in a fast-growing field, and features contributions from an outstanding international team of scholars, selected from a diverse range of disciplinary backgrounds including: social epidemiology, medical geography, social psychology, social welfare and gerontology, pediatrics, political science, economics, and medical sociology. The book is organized in three parts: Part 1. Emerging directions in social capital research. This section highlights novel directions in social capital research. These include: a) novel settings for conducting research on social capital (workplaces, schools), b) new approaches for causal inference in social capital (instrumental variable analysis, twin fixed effects designs); c) cutting-edge directions for social capital research, including studies of the origins of community social capital, the use of social network analysis to investigate social capital, and novel methods for investigating the link between social capital and crime. Part 2. Social capital and health policy. The three chapters in this section highlight implications of social capital for interventions and health policy. Part 3. Social capital and health in global perspective The four chapters in this section look at research on social capital and health from a global perspective. The authors summarize the empirical studies on social capital and health conducted in each country/region, or each population group; discuss how the concept of social capital translates across different cultures; and identify challenges and future directions for research.","author":[{"dropping-particle":"","family":"Kawachi","given":"Ichiro","non-dropping-particle":"","parse-names":false,"suffix":""},{"dropping-particle":"","family":"Takao","given":"Soshi","non-dropping-particle":"","parse-names":false,"suffix":""},{"dropping-particle":"V.","family":"Subramanian","given":"S.","non-dropping-particle":"","parse-names":false,"suffix":""}],"container-title":"Global Perspectives on Social Capital and Health","id":"ITEM-2","issued":{"date-parts":[["2013"]]},"number-of-pages":"1-349","title":"Global perspectives on social capital and health","type":"book"},"uris":["http://www.mendeley.com/documents/?uuid=c62f6dfc-a98e-4965-95ea-4235946052ae"]}],"mendeley":{"formattedCitation":"(Kawachi, Takao, &amp; Subramanian, 2013; Fine, 2010)","plainTextFormattedCitation":"(Kawachi, Takao, &amp; Subramanian, 2013; Fine, 2010)","previouslyFormattedCitation":"(Kawachi, Takao, &amp; Subramanian, 2013; Fine, 2010)"},"properties":{"noteIndex":0},"schema":"https://github.com/citation-style-language/schema/raw/master/csl-citation.json"}</w:instrText>
      </w:r>
      <w:r w:rsidR="001C228E">
        <w:rPr>
          <w:rFonts w:cs="Calibri"/>
        </w:rPr>
        <w:fldChar w:fldCharType="separate"/>
      </w:r>
      <w:r w:rsidR="001C228E" w:rsidRPr="001C228E">
        <w:rPr>
          <w:rFonts w:cs="Calibri"/>
          <w:noProof/>
        </w:rPr>
        <w:t>(Kawachi, Takao, &amp; Subramanian, 2013; Fine, 2010)</w:t>
      </w:r>
      <w:r w:rsidR="001C228E">
        <w:rPr>
          <w:rFonts w:cs="Calibri"/>
        </w:rPr>
        <w:fldChar w:fldCharType="end"/>
      </w:r>
      <w:r>
        <w:rPr>
          <w:rFonts w:cs="Calibri"/>
        </w:rPr>
        <w:t>. I believe that while social capital is hard to define, it can help identify and explain the</w:t>
      </w:r>
      <w:r w:rsidR="00BE3FD4">
        <w:rPr>
          <w:rFonts w:cs="Calibri"/>
        </w:rPr>
        <w:t xml:space="preserve"> flow of support and information</w:t>
      </w:r>
      <w:r>
        <w:rPr>
          <w:rFonts w:cs="Calibri"/>
        </w:rPr>
        <w:t xml:space="preserve"> between individuals and organisations</w:t>
      </w:r>
      <w:r w:rsidR="000D66C3">
        <w:rPr>
          <w:rFonts w:cs="Calibri"/>
        </w:rPr>
        <w:t>,</w:t>
      </w:r>
      <w:r>
        <w:rPr>
          <w:rFonts w:cs="Calibri"/>
        </w:rPr>
        <w:t xml:space="preserve"> and </w:t>
      </w:r>
      <w:r w:rsidR="001C228E">
        <w:rPr>
          <w:rFonts w:cs="Calibri"/>
        </w:rPr>
        <w:t>therefore</w:t>
      </w:r>
      <w:r w:rsidR="00BE3FD4">
        <w:rPr>
          <w:rFonts w:cs="Calibri"/>
        </w:rPr>
        <w:t xml:space="preserve"> can help to conceptualise community resilience. Understanding the different ways individuals can interact and support each other </w:t>
      </w:r>
      <w:r w:rsidR="00BE3FD4">
        <w:rPr>
          <w:rFonts w:cs="Calibri"/>
        </w:rPr>
        <w:lastRenderedPageBreak/>
        <w:t xml:space="preserve">helps to frame the social processes involved within community resilience and helps to map some of those relationships. </w:t>
      </w:r>
    </w:p>
    <w:p w14:paraId="45624D3B" w14:textId="77777777" w:rsidR="00787F73" w:rsidRDefault="00787F73" w:rsidP="00866155">
      <w:pPr>
        <w:rPr>
          <w:rFonts w:cs="Calibri"/>
        </w:rPr>
      </w:pPr>
    </w:p>
    <w:p w14:paraId="32868983" w14:textId="77777777" w:rsidR="00787F73" w:rsidRDefault="00742FB7" w:rsidP="00866155">
      <w:pPr>
        <w:keepNext/>
        <w:jc w:val="center"/>
      </w:pPr>
      <w:r>
        <w:rPr>
          <w:noProof/>
        </w:rPr>
        <w:drawing>
          <wp:inline distT="0" distB="0" distL="0" distR="0" wp14:anchorId="6AE4B115" wp14:editId="626A6FC2">
            <wp:extent cx="5732145" cy="4251325"/>
            <wp:effectExtent l="0" t="0" r="0" b="0"/>
            <wp:docPr id="10" name="Picture 55" descr="A diagram of a community and commun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5" descr="A diagram of a community and community&#10;&#10;Description automatically generated"/>
                    <pic:cNvPicPr>
                      <a:picLocks noChangeAspect="1" noChangeArrowheads="1"/>
                    </pic:cNvPicPr>
                  </pic:nvPicPr>
                  <pic:blipFill>
                    <a:blip r:embed="rId15"/>
                    <a:srcRect b="1378"/>
                    <a:stretch>
                      <a:fillRect/>
                    </a:stretch>
                  </pic:blipFill>
                  <pic:spPr bwMode="auto">
                    <a:xfrm>
                      <a:off x="0" y="0"/>
                      <a:ext cx="5732145" cy="4251325"/>
                    </a:xfrm>
                    <a:prstGeom prst="rect">
                      <a:avLst/>
                    </a:prstGeom>
                  </pic:spPr>
                </pic:pic>
              </a:graphicData>
            </a:graphic>
          </wp:inline>
        </w:drawing>
      </w:r>
    </w:p>
    <w:p w14:paraId="6E563B08" w14:textId="01A5C00F" w:rsidR="00787F73" w:rsidRDefault="00742FB7" w:rsidP="00866155">
      <w:pPr>
        <w:pStyle w:val="caption1"/>
        <w:jc w:val="center"/>
      </w:pPr>
      <w:bookmarkStart w:id="369" w:name="_Toc90567304"/>
      <w:bookmarkStart w:id="370" w:name="_Toc22627930"/>
      <w:bookmarkStart w:id="371" w:name="_Toc193367286"/>
      <w:bookmarkStart w:id="372" w:name="_Toc153554389"/>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8</w:t>
      </w:r>
      <w:r>
        <w:rPr>
          <w:rFonts w:cs="Calibri"/>
        </w:rPr>
        <w:fldChar w:fldCharType="end"/>
      </w:r>
      <w:r>
        <w:rPr>
          <w:rFonts w:cs="Calibri"/>
        </w:rPr>
        <w:t xml:space="preserve">: Bonding, bridging, and linking social </w:t>
      </w:r>
      <w:bookmarkEnd w:id="369"/>
      <w:bookmarkEnd w:id="370"/>
      <w:r>
        <w:rPr>
          <w:rFonts w:cs="Calibri"/>
        </w:rPr>
        <w:t xml:space="preserve">capital; </w:t>
      </w:r>
      <w:r>
        <w:fldChar w:fldCharType="begin" w:fldLock="1"/>
      </w:r>
      <w:r>
        <w:rPr>
          <w:rFonts w:cs="Calibri"/>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India","type":"article-journal","volume":"19"},"locator":"103","uris":["http://www.mendeley.com/documents/?uuid=d8bcf27c-1efc-4c15-8204-cd8b37719dd2"]}],"mendeley":{"formattedCitation":"(Sanyal &amp; Routray, 2016, p. 103)","manualFormatting":"Soure: Sanyal &amp; Routray (2016, p. 103)","plainTextFormattedCitation":"(Sanyal &amp; Routray, 2016, p. 103)","previouslyFormattedCitation":"(Sanyal &amp; Routray, 2016, p. 103)"},"properties":{"noteIndex":0},"schema":"https://github.com/citation-style-language/schema/raw/master/csl-citation.json"}</w:instrText>
      </w:r>
      <w:r>
        <w:rPr>
          <w:rFonts w:cs="Calibri"/>
        </w:rPr>
        <w:fldChar w:fldCharType="separate"/>
      </w:r>
      <w:r>
        <w:rPr>
          <w:rFonts w:cs="Calibri"/>
          <w:noProof/>
        </w:rPr>
        <w:t>Soure: Sanyal &amp; Routray (2016, p. 103)</w:t>
      </w:r>
      <w:bookmarkEnd w:id="371"/>
      <w:r>
        <w:rPr>
          <w:rFonts w:cs="Calibri"/>
        </w:rPr>
        <w:fldChar w:fldCharType="end"/>
      </w:r>
      <w:bookmarkEnd w:id="372"/>
    </w:p>
    <w:p w14:paraId="0DE5FB21" w14:textId="77777777" w:rsidR="005B6202" w:rsidRDefault="005B6202" w:rsidP="00866155">
      <w:pPr>
        <w:rPr>
          <w:rFonts w:cs="Calibri"/>
        </w:rPr>
      </w:pPr>
    </w:p>
    <w:p w14:paraId="7D2396F1" w14:textId="044F7B70" w:rsidR="00787F73" w:rsidRDefault="00742FB7" w:rsidP="00866155">
      <w:r>
        <w:rPr>
          <w:rFonts w:cs="Calibri"/>
        </w:rPr>
        <w:t xml:space="preserve">Examining linking social capital is of relevance to this research as it explores the relationship between the communities and public organisations such as SYFR </w:t>
      </w:r>
      <w:r>
        <w:fldChar w:fldCharType="begin" w:fldLock="1"/>
      </w:r>
      <w:r>
        <w:rPr>
          <w:rFonts w:cs="Calibri"/>
        </w:rPr>
        <w:instrText>ADDIN CSL_CITATION {"citationItems":[{"id":"ITEM-1","itemData":{"author":[{"dropping-particle":"","family":"Ludin","given":"Salizar M.","non-dropping-particle":"","parse-names":false,"suffix":""},{"dropping-particle":"","family":"Rohaizat","given":"Munirah","non-dropping-particle":"","parse-names":false,"suffix":""},{"dropping-particle":"","family":"Arbon","given":"Paul","non-dropping-particle":"","parse-names":false,"suffix":""}],"container-title":"Health and Social Care in the Community","id":"ITEM-1","issue":"3","issued":{"date-parts":[["2019"]]},"page":"621 - 631","title":"The association between social cohesion and community disaster resilience: A cross‐sectional study","type":"article-journal","volume":"27"},"uris":["http://www.mendeley.com/documents/?uuid=818d7348-40a6-4380-acb5-bd2c514990f2"]}],"mendeley":{"formattedCitation":"(Ludin, Rohaizat, &amp; Arbon, 2019)","plainTextFormattedCitation":"(Ludin, Rohaizat, &amp; Arbon, 2019)","previouslyFormattedCitation":"(Ludin, Rohaizat, &amp; Arbon, 2019)"},"properties":{"noteIndex":0},"schema":"https://github.com/citation-style-language/schema/raw/master/csl-citation.json"}</w:instrText>
      </w:r>
      <w:r>
        <w:rPr>
          <w:rFonts w:cs="Calibri"/>
        </w:rPr>
        <w:fldChar w:fldCharType="separate"/>
      </w:r>
      <w:r>
        <w:rPr>
          <w:rFonts w:cs="Calibri"/>
          <w:noProof/>
        </w:rPr>
        <w:t>(Ludin, Rohaizat, &amp; Arbon, 2019)</w:t>
      </w:r>
      <w:r>
        <w:rPr>
          <w:rFonts w:cs="Calibri"/>
        </w:rPr>
        <w:fldChar w:fldCharType="end"/>
      </w:r>
      <w:r>
        <w:rPr>
          <w:rFonts w:cs="Calibri"/>
        </w:rPr>
        <w:t xml:space="preserve">. In order to develop </w:t>
      </w:r>
      <w:r w:rsidR="009F5822">
        <w:rPr>
          <w:rFonts w:cs="Calibri"/>
        </w:rPr>
        <w:t xml:space="preserve">linking </w:t>
      </w:r>
      <w:r>
        <w:rPr>
          <w:rFonts w:cs="Calibri"/>
        </w:rPr>
        <w:t xml:space="preserve">social capital, organisations need to have regular interaction with the communities that help to build the </w:t>
      </w:r>
      <w:r w:rsidR="009F5822">
        <w:rPr>
          <w:rFonts w:cs="Calibri"/>
        </w:rPr>
        <w:t>connection</w:t>
      </w:r>
      <w:r>
        <w:rPr>
          <w:rFonts w:cs="Calibri"/>
        </w:rPr>
        <w:t xml:space="preserve"> prior to an event, which highlights the importance of proactive resilience </w:t>
      </w:r>
      <w:r>
        <w:fldChar w:fldCharType="begin" w:fldLock="1"/>
      </w:r>
      <w:r>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Pr>
          <w:rFonts w:cs="Calibri"/>
        </w:rPr>
        <w:fldChar w:fldCharType="separate"/>
      </w:r>
      <w:r>
        <w:rPr>
          <w:rFonts w:cs="Calibri"/>
          <w:noProof/>
        </w:rPr>
        <w:t>(Carmen et al., 2022)</w:t>
      </w:r>
      <w:r>
        <w:rPr>
          <w:rFonts w:cs="Calibri"/>
        </w:rPr>
        <w:fldChar w:fldCharType="end"/>
      </w:r>
      <w:r>
        <w:rPr>
          <w:rFonts w:cs="Calibri"/>
        </w:rPr>
        <w:t xml:space="preserve"> and suggests a shifting institutional logic to one which actively includes communities. However, to have this relationship with communities, organisations need to make space for this level of community engagement and have the available resources to dedicate</w:t>
      </w:r>
      <w:r w:rsidR="009F5822">
        <w:rPr>
          <w:rFonts w:cs="Calibri"/>
        </w:rPr>
        <w:t xml:space="preserve">. This </w:t>
      </w:r>
      <w:r>
        <w:rPr>
          <w:rFonts w:cs="Calibri"/>
        </w:rPr>
        <w:t>is challenging for state funded agencies like SYFR, who</w:t>
      </w:r>
      <w:r w:rsidR="00D539BD">
        <w:rPr>
          <w:rFonts w:cs="Calibri"/>
        </w:rPr>
        <w:t>,</w:t>
      </w:r>
      <w:r>
        <w:rPr>
          <w:rFonts w:cs="Calibri"/>
        </w:rPr>
        <w:t xml:space="preserve"> due to cost cutting</w:t>
      </w:r>
      <w:r w:rsidR="00D539BD">
        <w:rPr>
          <w:rFonts w:cs="Calibri"/>
        </w:rPr>
        <w:t>,</w:t>
      </w:r>
      <w:r>
        <w:rPr>
          <w:rFonts w:cs="Calibri"/>
        </w:rPr>
        <w:t xml:space="preserve"> rarely have the resources to do </w:t>
      </w:r>
      <w:r>
        <w:rPr>
          <w:rFonts w:cs="Calibri"/>
        </w:rPr>
        <w:lastRenderedPageBreak/>
        <w:t>this level of in-person community work. These operational challenges can be linked to the wider political neoliberal agenda within the UK.</w:t>
      </w:r>
    </w:p>
    <w:p w14:paraId="59629143" w14:textId="77777777" w:rsidR="00787F73" w:rsidRDefault="00787F73" w:rsidP="00866155">
      <w:pPr>
        <w:rPr>
          <w:rFonts w:cs="Calibri"/>
        </w:rPr>
      </w:pPr>
    </w:p>
    <w:p w14:paraId="356B9EF7" w14:textId="77777777" w:rsidR="00787F73" w:rsidRDefault="00742FB7" w:rsidP="00866155">
      <w:pPr>
        <w:pStyle w:val="Heading3"/>
        <w:contextualSpacing/>
      </w:pPr>
      <w:bookmarkStart w:id="373" w:name="_Toc158823560"/>
      <w:bookmarkStart w:id="374" w:name="_Toc153554319"/>
      <w:bookmarkStart w:id="375" w:name="_Toc193367201"/>
      <w:r>
        <w:rPr>
          <w:rFonts w:ascii="Calibri" w:hAnsi="Calibri" w:cs="Calibri"/>
        </w:rPr>
        <w:t>2.4.4: Neoliberal agenda of community resilience</w:t>
      </w:r>
      <w:bookmarkEnd w:id="373"/>
      <w:bookmarkEnd w:id="374"/>
      <w:bookmarkEnd w:id="375"/>
    </w:p>
    <w:p w14:paraId="7CBE4B95" w14:textId="77777777" w:rsidR="00787F73" w:rsidRDefault="00742FB7" w:rsidP="00866155">
      <w:pPr>
        <w:contextualSpacing/>
      </w:pPr>
      <w:r>
        <w:rPr>
          <w:rFonts w:cs="Calibri"/>
        </w:rPr>
        <w:t xml:space="preserve">As discussed in the introduction, the shifting responsibility of risk to local agencies, such as SYFR, is linked to a wider national neoliberal agenda, with a wider pattern of reducing the role and funding from central government </w:t>
      </w:r>
      <w:r>
        <w:fldChar w:fldCharType="begin" w:fldLock="1"/>
      </w:r>
      <w:r>
        <w:rPr>
          <w:rFonts w:cs="Calibri"/>
        </w:rPr>
        <w:instrText>ADDIN CSL_CITATION {"citationItems":[{"id":"ITEM-1","itemData":{"DOI":"10.1016/j.ijdrr.2021.102440","ISSN":"22124209","abstract":"Extreme climate events and related disasters are increasing both in frequency and intensity. Resulting impacts materialize in the form of devastating bushfires, flooding, hurricanes, and cyclones and bring with them the tragic loss of life and substantial loss and damage to phenomena of value. Disaster management plays a central role in attempting to minimize and manage these impacts, and many government institutions posit that shared responsibility with citizens is the most effective approach to achieve this. However, some scholarship contends that shared approaches preference responsibility too far towards citizens and too far away from government institutions and are ineffective in lessening and managing such impacts. Here, we analyze governmental inquiries and actions undertaken regarding three past catastrophic disasters—2005 Hurricane Katrina (USA), the 2009 Victorian Bushfires (Australia), and the 2011 Queensland Floods (Australia). We assess, across these inquiries, 'what went wrong', 'what was working', and 'what needs fixing' with shared responsibility in disaster management. Our results indicate pervasive ineffectiveness in leadership, governance, trust, and resilience. We discuss how neoliberal influence contributes towards this ineffectiveness and suggest how this influence can be actively contested. We conclude by advocating for a reinstated social contract that inserts citizen rights and justice into disaster management policy making concomitant with the redistribution of public and third sector resources administered through inclusive governance frameworks. Such a social contract affords citizens greater opportunity to exercise agency whilst maximizing institutional support before, during, and after a disaster to provide greater protection and reduce harm.","author":[{"dropping-particle":"","family":"Crosweller","given":"Mark","non-dropping-particle":"","parse-names":false,"suffix":""},{"dropping-particle":"","family":"Tschakert","given":"Petra","non-dropping-particle":"","parse-names":false,"suffix":""}],"container-title":"International Journal of Disaster Risk Reduction","id":"ITEM-1","issued":{"date-parts":[["2021"]]},"page":"1-13","publisher":"Elsevier Ltd","title":"Disaster management and the need for a reinstated social contract of shared responsibility","type":"article-journal","volume":"63"},"uris":["http://www.mendeley.com/documents/?uuid=4d44ea86-a25a-438c-a66f-510f5f82f76b"]}],"mendeley":{"formattedCitation":"(Crosweller &amp; Tschakert, 2021)","plainTextFormattedCitation":"(Crosweller &amp; Tschakert, 2021)","previouslyFormattedCitation":"(Crosweller &amp; Tschakert, 2021)"},"properties":{"noteIndex":0},"schema":"https://github.com/citation-style-language/schema/raw/master/csl-citation.json"}</w:instrText>
      </w:r>
      <w:r>
        <w:rPr>
          <w:rFonts w:cs="Calibri"/>
        </w:rPr>
        <w:fldChar w:fldCharType="separate"/>
      </w:r>
      <w:r>
        <w:rPr>
          <w:rFonts w:cs="Calibri"/>
          <w:noProof/>
        </w:rPr>
        <w:t>(Crosweller &amp; Tschakert, 2021)</w:t>
      </w:r>
      <w:r>
        <w:rPr>
          <w:rFonts w:cs="Calibri"/>
        </w:rPr>
        <w:fldChar w:fldCharType="end"/>
      </w:r>
      <w:r>
        <w:rPr>
          <w:rFonts w:cs="Calibri"/>
        </w:rPr>
        <w:t xml:space="preserve">. The same can be said for the politicisation of the term ‘community resilience’ and the adoption of this term into governance narratives </w:t>
      </w:r>
      <w:r>
        <w:fldChar w:fldCharType="begin" w:fldLock="1"/>
      </w:r>
      <w:r>
        <w:rPr>
          <w:rFonts w:cs="Calibri"/>
        </w:rPr>
        <w:instrText>ADDIN CSL_CITATION {"citationItems":[{"id":"ITEM-1","itemData":{"DOI":"10.1080/09557571.2021.2024145","ISSN":"1474449X","abstract":"This introduction to the Special Issue problematises the necessity to rethink governance through the lens of resilience and suggests a novel conceptualisation of resilience. Building the argument on complexity-thinking, this issue contends that in the context of change and complex life, challenges are most efficiently dealt with, at the source, ‘locally’, to make ‘the global’ more sustainable. Accordingly, the concept of resilience as self-governance is advanced in the introduction as an overriding framework to explore its constitutive elements—identity, ‘good life’, local coping strategies and support infrastructures—which, when mobilised, can turn community into ‘peoplehood’ in the face of adversity. This conceptualisation, we argue, explains what makes communities adapt and transform, and how they should be governed today. Central Eurasia, spanning from Belarus in the west, to Azerbaijan in the south and Tajikistan in the east, provides fertile grounds for exploring how resilience works in practice in times of complex change. By immersing into centuries-long traditions and philosophy, local experiences of survival, and visions for change, this introduction—along with the Special Issue—shows that governability at any level requires a substantive ‘local’ input to make ‘the global’ more enduring and resilient in a complex adaptive world.","author":[{"dropping-particle":"","family":"Korosteleva","given":"Elena A.","non-dropping-particle":"","parse-names":false,"suffix":""},{"dropping-particle":"","family":"Petrova","given":"Irina","non-dropping-particle":"","parse-names":false,"suffix":""}],"container-title":"Cambridge Review of International Affairs","id":"ITEM-1","issue":"2","issued":{"date-parts":[["2022"]]},"page":"137-157","title":"What makes communities resilient in times of complexity and change?","type":"article-journal","volume":"35"},"uris":["http://www.mendeley.com/documents/?uuid=3a72d771-ceed-41e9-a7a6-13a9d5537a8e"]}],"mendeley":{"formattedCitation":"(Korosteleva &amp; Petrova, 2022)","plainTextFormattedCitation":"(Korosteleva &amp; Petrova, 2022)","previouslyFormattedCitation":"(Korosteleva &amp; Petrova, 2022)"},"properties":{"noteIndex":0},"schema":"https://github.com/citation-style-language/schema/raw/master/csl-citation.json"}</w:instrText>
      </w:r>
      <w:r>
        <w:rPr>
          <w:rFonts w:cs="Calibri"/>
        </w:rPr>
        <w:fldChar w:fldCharType="separate"/>
      </w:r>
      <w:r>
        <w:rPr>
          <w:rFonts w:cs="Calibri"/>
          <w:noProof/>
        </w:rPr>
        <w:t>(Korosteleva &amp; Petrova, 2022)</w:t>
      </w:r>
      <w:r>
        <w:rPr>
          <w:rFonts w:cs="Calibri"/>
        </w:rPr>
        <w:fldChar w:fldCharType="end"/>
      </w:r>
      <w:r>
        <w:rPr>
          <w:rFonts w:cs="Calibri"/>
        </w:rPr>
        <w:t>.</w:t>
      </w:r>
    </w:p>
    <w:p w14:paraId="2B669BE0" w14:textId="77777777" w:rsidR="00787F73" w:rsidRDefault="00787F73" w:rsidP="00866155">
      <w:pPr>
        <w:rPr>
          <w:rFonts w:cs="Calibri"/>
        </w:rPr>
      </w:pPr>
    </w:p>
    <w:p w14:paraId="1A76A6E3" w14:textId="7AD77D75" w:rsidR="00787F73" w:rsidRDefault="00742FB7" w:rsidP="00866155">
      <w:r>
        <w:rPr>
          <w:rFonts w:cs="Calibri"/>
        </w:rPr>
        <w:t>Within emergency and disaster management, there has often been an operational logic to work after the event, focusing on responding and recovering; however, there is a growing focus, especially within the UK FRS sector (see section 2.6.2), towards focusing on building resilience prior to the event</w:t>
      </w:r>
      <w:r w:rsidR="009F5822">
        <w:rPr>
          <w:rFonts w:cs="Calibri"/>
        </w:rPr>
        <w:t>. This</w:t>
      </w:r>
      <w:r>
        <w:rPr>
          <w:rFonts w:cs="Calibri"/>
        </w:rPr>
        <w:t xml:space="preserve"> aim</w:t>
      </w:r>
      <w:r w:rsidR="009F5822">
        <w:rPr>
          <w:rFonts w:cs="Calibri"/>
        </w:rPr>
        <w:t>s</w:t>
      </w:r>
      <w:r>
        <w:rPr>
          <w:rFonts w:cs="Calibri"/>
        </w:rPr>
        <w:t xml:space="preserve"> to reduce the </w:t>
      </w:r>
      <w:r>
        <w:rPr>
          <w:rFonts w:cs="Calibri"/>
          <w:i/>
          <w:iCs/>
        </w:rPr>
        <w:t>need</w:t>
      </w:r>
      <w:r>
        <w:rPr>
          <w:rFonts w:cs="Calibri"/>
        </w:rPr>
        <w:t xml:space="preserve"> to respond or recover, perhaps due to the financial cost of emergencies and disasters</w:t>
      </w:r>
      <w:r w:rsidR="009F5822">
        <w:rPr>
          <w:rFonts w:cs="Calibri"/>
        </w:rPr>
        <w:t xml:space="preserve">; </w:t>
      </w:r>
      <w:r>
        <w:rPr>
          <w:rFonts w:cs="Calibri"/>
        </w:rPr>
        <w:t xml:space="preserve">for </w:t>
      </w:r>
      <w:r w:rsidR="009F5822">
        <w:rPr>
          <w:rFonts w:cs="Calibri"/>
        </w:rPr>
        <w:t>example</w:t>
      </w:r>
      <w:r w:rsidR="000D66C3">
        <w:rPr>
          <w:rFonts w:cs="Calibri"/>
        </w:rPr>
        <w:t>,</w:t>
      </w:r>
      <w:r w:rsidR="009F5822">
        <w:rPr>
          <w:rFonts w:cs="Calibri"/>
        </w:rPr>
        <w:t xml:space="preserve"> </w:t>
      </w:r>
      <w:r>
        <w:rPr>
          <w:rFonts w:cs="Calibri"/>
        </w:rPr>
        <w:t xml:space="preserve">the estimated economic and social cost of fires in England, for March 2019 – March 2020, was £12 billion </w:t>
      </w:r>
      <w:r>
        <w:fldChar w:fldCharType="begin" w:fldLock="1"/>
      </w:r>
      <w:r w:rsidR="003A5C93">
        <w:rPr>
          <w:rFonts w:cs="Calibri"/>
        </w:rPr>
        <w:instrText>ADDIN CSL_CITATION {"citationItems":[{"id":"ITEM-1","itemData":{"URL":"https://www.gov.uk/government/publications/economic-and-social-cost-of-fire/economic-and-social-cost-of-fire#foreword","accessed":{"date-parts":[["2024","4","2"]]},"author":[{"dropping-particle":"","family":"Home Office","given":"","non-dropping-particle":"","parse-names":false,"suffix":""}],"container-title":"GOV.UK","id":"ITEM-1","issued":{"date-parts":[["2023"]]},"title":"Economic and social cost of fire","type":"webpage"},"uris":["http://www.mendeley.com/documents/?uuid=031b91a4-8d13-4536-8e89-e8048c19e787"]}],"mendeley":{"formattedCitation":"(Home Office, 2023)","plainTextFormattedCitation":"(Home Office, 2023)","previouslyFormattedCitation":"(Home Office, 2023)"},"properties":{"noteIndex":0},"schema":"https://github.com/citation-style-language/schema/raw/master/csl-citation.json"}</w:instrText>
      </w:r>
      <w:r>
        <w:rPr>
          <w:rFonts w:cs="Calibri"/>
        </w:rPr>
        <w:fldChar w:fldCharType="separate"/>
      </w:r>
      <w:r>
        <w:rPr>
          <w:rFonts w:cs="Calibri"/>
          <w:noProof/>
        </w:rPr>
        <w:t>(Home Office, 2023)</w:t>
      </w:r>
      <w:r>
        <w:rPr>
          <w:rFonts w:cs="Calibri"/>
        </w:rPr>
        <w:fldChar w:fldCharType="end"/>
      </w:r>
      <w:r>
        <w:rPr>
          <w:rFonts w:cs="Calibri"/>
        </w:rPr>
        <w:t xml:space="preserve">. This shift from response to resilience also suggests a subtle shifting of responsibility from the operational services, such as the FRS, onto the individual. </w:t>
      </w:r>
    </w:p>
    <w:p w14:paraId="54ED0304" w14:textId="77777777" w:rsidR="00787F73" w:rsidRDefault="00787F73" w:rsidP="00866155">
      <w:pPr>
        <w:rPr>
          <w:rFonts w:cs="Calibri"/>
        </w:rPr>
      </w:pPr>
    </w:p>
    <w:p w14:paraId="2399A545" w14:textId="36DD8D07" w:rsidR="00787F73" w:rsidRDefault="00C84401" w:rsidP="00866155">
      <w:r>
        <w:rPr>
          <w:rFonts w:cs="Calibri"/>
        </w:rPr>
        <w:t>While</w:t>
      </w:r>
      <w:r w:rsidR="00742FB7">
        <w:rPr>
          <w:rFonts w:cs="Calibri"/>
        </w:rPr>
        <w:t xml:space="preserve"> it can be argued that both of these approaches are aiming to resolve the crisis and support the individuals involved, one can note that resilience is viewed as an opportunity for societal change, and is perhaps a sign of a growing disaster capitalism </w:t>
      </w:r>
      <w:r w:rsidR="00742FB7">
        <w:fldChar w:fldCharType="begin" w:fldLock="1"/>
      </w:r>
      <w:r w:rsidR="00974B75">
        <w:rPr>
          <w:rFonts w:cs="Calibri"/>
        </w:rPr>
        <w:instrText>ADDIN CSL_CITATION {"citationItems":[{"id":"ITEM-1","itemData":{"DOI":"10.1108/DPM-02-2018-0064","ISSN":"09653562","abstract":"Purpose The purpose of this paper is to analyze the relationships between neoliberal institutional management of the 2009 L?Aquila earthquake and the local dwelling practices, which consequently originated in the new urban layout. Design/methodology/approach It presents itself as a post-catastrophe ethnography carried out from a specific approach, that is, the street ethnography that consists of collecting the practices and discourses of inhabitants, administrators, experts and commercial operators, which take place on or around the street. Findings Illustrating the stages from the declaration of the state of emergency to the expertise-proposed reconstruction models, it shows the differences between resilient strategies and policies of urban management and resistant dwelling practices that are analyzed progressively focusing on a particular social group: the teenagers of the alleys. Research limitations/implications Descending in the alleys means to take a micro-sight that ables to identify present living paths. Practical implications Based on a long fieldwork, it bridges the gap between ?theories? and practices, and it highlights those fields of action that despite being dominated by wide-ranging disaster management and urban planning logics bring out the work of social life in reweaving its threads in contexts of crisis. Social implications Paying attention to a social portion that often escapes from ethnographic investigation, this study has the merit of dealing with teenagers in this kind of situation. Originality/value Indeed, this part of society and its creative ?culture? receive the focus of a few studies, especially in case of catastrophes.","author":[{"dropping-particle":"","family":"Ciccaglione","given":"Rita","non-dropping-particle":"","parse-names":false,"suffix":""}],"container-title":"Disaster Prevention and Management","id":"ITEM-1","issue":"4","issued":{"date-parts":[["2019"]]},"page":"501-512","title":"Resilience and resisting resilience: ethnographies in neoliberal L’Aquila post-earthquake","type":"article-journal","volume":"28"},"uris":["http://www.mendeley.com/documents/?uuid=44fe24b5-bbae-47f4-ae36-3cef41ca7025"]}],"mendeley":{"formattedCitation":"(Ciccaglione, 2019)","plainTextFormattedCitation":"(Ciccaglione, 2019)","previouslyFormattedCitation":"(Ciccaglione, 2019)"},"properties":{"noteIndex":0},"schema":"https://github.com/citation-style-language/schema/raw/master/csl-citation.json"}</w:instrText>
      </w:r>
      <w:r w:rsidR="00742FB7">
        <w:rPr>
          <w:rFonts w:cs="Calibri"/>
        </w:rPr>
        <w:fldChar w:fldCharType="separate"/>
      </w:r>
      <w:r w:rsidR="00742FB7">
        <w:rPr>
          <w:rFonts w:cs="Calibri"/>
          <w:noProof/>
        </w:rPr>
        <w:t>(Ciccaglione, 2019)</w:t>
      </w:r>
      <w:r w:rsidR="00742FB7">
        <w:rPr>
          <w:rFonts w:cs="Calibri"/>
        </w:rPr>
        <w:fldChar w:fldCharType="end"/>
      </w:r>
      <w:r w:rsidR="00D539BD">
        <w:rPr>
          <w:rFonts w:cs="Calibri"/>
        </w:rPr>
        <w:t>.</w:t>
      </w:r>
      <w:r w:rsidR="00742FB7">
        <w:rPr>
          <w:rFonts w:cs="Calibri"/>
        </w:rPr>
        <w:t xml:space="preserve"> </w:t>
      </w:r>
      <w:r w:rsidR="00D539BD">
        <w:rPr>
          <w:rFonts w:cs="Calibri"/>
        </w:rPr>
        <w:t xml:space="preserve">This </w:t>
      </w:r>
      <w:r w:rsidR="00742FB7">
        <w:rPr>
          <w:rFonts w:cs="Calibri"/>
        </w:rPr>
        <w:t>is defined as using a</w:t>
      </w:r>
      <w:r w:rsidR="009F5822">
        <w:rPr>
          <w:rFonts w:cs="Calibri"/>
        </w:rPr>
        <w:t xml:space="preserve"> disaster</w:t>
      </w:r>
      <w:r w:rsidR="00742FB7">
        <w:rPr>
          <w:rFonts w:cs="Calibri"/>
        </w:rPr>
        <w:t xml:space="preserve"> event to promote a series of neoliberal capitalism interests </w:t>
      </w:r>
      <w:r w:rsidR="00742FB7">
        <w:fldChar w:fldCharType="begin" w:fldLock="1"/>
      </w:r>
      <w:bookmarkStart w:id="376" w:name="_Hlk153266988"/>
      <w:r w:rsidR="00974B75">
        <w:rPr>
          <w:rFonts w:cs="Calibri"/>
        </w:rPr>
        <w:instrText>ADDIN CSL_CITATION {"citationItems":[{"id":"ITEM-1","itemData":{"DOI":"10.1108/DPM-02-2018-0064","ISSN":"09653562","abstract":"Purpose The purpose of this paper is to analyze the relationships between neoliberal institutional management of the 2009 L?Aquila earthquake and the local dwelling practices, which consequently originated in the new urban layout. Design/methodology/approach It presents itself as a post-catastrophe ethnography carried out from a specific approach, that is, the street ethnography that consists of collecting the practices and discourses of inhabitants, administrators, experts and commercial operators, which take place on or around the street. Findings Illustrating the stages from the declaration of the state of emergency to the expertise-proposed reconstruction models, it shows the differences between resilient strategies and policies of urban management and resistant dwelling practices that are analyzed progressively focusing on a particular social group: the teenagers of the alleys. Research limitations/implications Descending in the alleys means to take a micro-sight that ables to identify present living paths. Practical implications Based on a long fieldwork, it bridges the gap between ?theories? and practices, and it highlights those fields of action that despite being dominated by wide-ranging disaster management and urban planning logics bring out the work of social life in reweaving its threads in contexts of crisis. Social implications Paying attention to a social portion that often escapes from ethnographic investigation, this study has the merit of dealing with teenagers in this kind of situation. Originality/value Indeed, this part of society and its creative ?culture? receive the focus of a few studies, especially in case of catastrophes.","author":[{"dropping-particle":"","family":"Ciccaglione","given":"Rita","non-dropping-particle":"","parse-names":false,"suffix":""}],"container-title":"Disaster Prevention and Management","id":"ITEM-1","issue":"4","issued":{"date-parts":[["2019"]]},"page":"501-512","title":"Resilience and resisting resilience: ethnographies in neoliberal L’Aquila post-earthquake","type":"article-journal","volume":"28"},"uris":["http://www.mendeley.com/documents/?uuid=44fe24b5-bbae-47f4-ae36-3cef41ca7025"]}],"mendeley":{"formattedCitation":"(Ciccaglione, 2019)","plainTextFormattedCitation":"(Ciccaglione, 2019)","previouslyFormattedCitation":"(Ciccaglione, 2019)"},"properties":{"noteIndex":0},"schema":"https://github.com/citation-style-language/schema/raw/master/csl-citation.json"}</w:instrText>
      </w:r>
      <w:r w:rsidR="00742FB7">
        <w:rPr>
          <w:rFonts w:cs="Calibri"/>
        </w:rPr>
        <w:fldChar w:fldCharType="separate"/>
      </w:r>
      <w:r w:rsidR="00742FB7">
        <w:rPr>
          <w:rFonts w:cs="Calibri"/>
          <w:noProof/>
        </w:rPr>
        <w:t>(Ciccaglione, 2019)</w:t>
      </w:r>
      <w:r w:rsidR="00742FB7">
        <w:rPr>
          <w:rFonts w:cs="Calibri"/>
        </w:rPr>
        <w:fldChar w:fldCharType="end"/>
      </w:r>
      <w:bookmarkEnd w:id="376"/>
      <w:r w:rsidR="00742FB7">
        <w:rPr>
          <w:rFonts w:cs="Calibri"/>
        </w:rPr>
        <w:t>. It could be argued that disaster capitalism has been increasing in the UK, with a specific focus during the initial national lockdown for COVID-19</w:t>
      </w:r>
      <w:r w:rsidR="00D539BD">
        <w:rPr>
          <w:rFonts w:cs="Calibri"/>
        </w:rPr>
        <w:t>;</w:t>
      </w:r>
      <w:r w:rsidR="00742FB7">
        <w:rPr>
          <w:rFonts w:cs="Calibri"/>
        </w:rPr>
        <w:t xml:space="preserve"> the UK government </w:t>
      </w:r>
      <w:r w:rsidR="00D539BD">
        <w:rPr>
          <w:rFonts w:cs="Calibri"/>
        </w:rPr>
        <w:t xml:space="preserve">awarded </w:t>
      </w:r>
      <w:r w:rsidR="00742FB7">
        <w:rPr>
          <w:rFonts w:cs="Calibri"/>
        </w:rPr>
        <w:t>8,600 contracts worth a reported £18 billion by the 31</w:t>
      </w:r>
      <w:r w:rsidR="00742FB7">
        <w:rPr>
          <w:rFonts w:cs="Calibri"/>
          <w:vertAlign w:val="superscript"/>
        </w:rPr>
        <w:t>st</w:t>
      </w:r>
      <w:r w:rsidR="00742FB7">
        <w:rPr>
          <w:rFonts w:cs="Calibri"/>
        </w:rPr>
        <w:t xml:space="preserve"> July 2020, with £17.3 billion being new contracts </w:t>
      </w:r>
      <w:r w:rsidR="00742FB7">
        <w:fldChar w:fldCharType="begin" w:fldLock="1"/>
      </w:r>
      <w:r w:rsidR="00742FB7">
        <w:rPr>
          <w:rFonts w:cs="Calibri"/>
        </w:rPr>
        <w:instrText>ADDIN CSL_CITATION {"citationItems":[{"id":"ITEM-1","itemData":{"URL":"https://www.nao.org.uk/press-releases/government-procurement-during-the-covid-19-pandemic/","author":[{"dropping-particle":"","family":"National Audit Office","given":"","non-dropping-particle":"","parse-names":false,"suffix":""}],"container-title":"National Audit Office","id":"ITEM-1","issued":{"date-parts":[["2020"]]},"title":"Investigation into government procurement during the COVID-19 pandemic","type":"webpage"},"uris":["http://www.mendeley.com/documents/?uuid=e1fb931c-3c66-4ea9-a20e-a6107104224e"]}],"mendeley":{"formattedCitation":"(National Audit Office, 2020)","plainTextFormattedCitation":"(National Audit Office, 2020)","previouslyFormattedCitation":"(National Audit Office, 2020)"},"properties":{"noteIndex":0},"schema":"https://github.com/citation-style-language/schema/raw/master/csl-citation.json"}</w:instrText>
      </w:r>
      <w:r w:rsidR="00742FB7">
        <w:rPr>
          <w:rFonts w:cs="Calibri"/>
        </w:rPr>
        <w:fldChar w:fldCharType="separate"/>
      </w:r>
      <w:r w:rsidR="00742FB7">
        <w:rPr>
          <w:rFonts w:cs="Calibri"/>
          <w:noProof/>
        </w:rPr>
        <w:t>(National Audit Office, 2020)</w:t>
      </w:r>
      <w:r w:rsidR="00742FB7">
        <w:rPr>
          <w:rFonts w:cs="Calibri"/>
        </w:rPr>
        <w:fldChar w:fldCharType="end"/>
      </w:r>
      <w:r w:rsidR="00742FB7">
        <w:rPr>
          <w:rFonts w:cs="Calibri"/>
        </w:rPr>
        <w:t xml:space="preserve">. It is important to understand disaster capitalism in relation to building resilience, as this may influence how communities can be influenced to become resilient. In the case of the FRS, their budget was reduced by £137 million between 2010 and 2020 </w:t>
      </w:r>
      <w:r w:rsidR="00742FB7">
        <w:fldChar w:fldCharType="begin" w:fldLock="1"/>
      </w:r>
      <w:r w:rsidR="00742FB7">
        <w:rPr>
          <w:rFonts w:cs="Calibri"/>
        </w:rPr>
        <w:instrText>ADDIN CSL_CITATION {"citationItems":[{"id":"ITEM-1","itemData":{"author":[{"dropping-particle":"","family":"Waring","given":"Sara","non-dropping-particle":"","parse-names":false,"suffix":""},{"dropping-particle":"","family":"Bromley","given":"Caitlin","non-dropping-particle":"","parse-names":false,"suffix":""},{"dropping-particle":"","family":"Giles","given":"Susan","non-dropping-particle":"","parse-names":false,"suffix":""}],"id":"ITEM-1","issue":"July","issued":{"date-parts":[["2022"]]},"number-of-pages":"1-17","title":"Economic Evaluation of Fire and Rescue Service Activities : A Scoping Review","type":"report"},"uris":["http://www.mendeley.com/documents/?uuid=50784e0c-6920-43d9-85c2-0d903a9aa97c"]}],"mendeley":{"formattedCitation":"(Waring, Bromley, &amp; Giles, 2022)","plainTextFormattedCitation":"(Waring, Bromley, &amp; Giles, 2022)","previouslyFormattedCitation":"(Waring, Bromley, &amp; Giles, 2022)"},"properties":{"noteIndex":0},"schema":"https://github.com/citation-style-language/schema/raw/master/csl-citation.json"}</w:instrText>
      </w:r>
      <w:r w:rsidR="00742FB7">
        <w:rPr>
          <w:rFonts w:cs="Calibri"/>
        </w:rPr>
        <w:fldChar w:fldCharType="separate"/>
      </w:r>
      <w:r w:rsidR="00742FB7">
        <w:rPr>
          <w:rFonts w:cs="Calibri"/>
          <w:noProof/>
        </w:rPr>
        <w:t>(Waring, Bromley, &amp; Giles, 2022)</w:t>
      </w:r>
      <w:r w:rsidR="00742FB7">
        <w:rPr>
          <w:rFonts w:cs="Calibri"/>
        </w:rPr>
        <w:fldChar w:fldCharType="end"/>
      </w:r>
      <w:r w:rsidR="00742FB7">
        <w:rPr>
          <w:rFonts w:cs="Calibri"/>
        </w:rPr>
        <w:t>, which suggests that the state will not provide the additional resources to build this resilience.</w:t>
      </w:r>
    </w:p>
    <w:p w14:paraId="5C756966" w14:textId="37A000E7" w:rsidR="00787F73" w:rsidRDefault="009F5822" w:rsidP="00866155">
      <w:r>
        <w:rPr>
          <w:rFonts w:cs="Calibri"/>
        </w:rPr>
        <w:lastRenderedPageBreak/>
        <w:t xml:space="preserve">Exploring the role of community </w:t>
      </w:r>
      <w:r w:rsidR="0039505A">
        <w:rPr>
          <w:rFonts w:cs="Calibri"/>
        </w:rPr>
        <w:t>resilience</w:t>
      </w:r>
      <w:r>
        <w:rPr>
          <w:rFonts w:cs="Calibri"/>
        </w:rPr>
        <w:t xml:space="preserve"> within disaster management processes brings into question whether communities have the capacity or desire to be involved in that process. For disaster management organisations to engage with community </w:t>
      </w:r>
      <w:r w:rsidR="0039505A">
        <w:rPr>
          <w:rFonts w:cs="Calibri"/>
        </w:rPr>
        <w:t>resilience</w:t>
      </w:r>
      <w:r>
        <w:rPr>
          <w:rFonts w:cs="Calibri"/>
        </w:rPr>
        <w:t xml:space="preserve">, there needs to be an equal partnership between all of the stakeholders involved within the disaster, with a greater sense of “everyday democracy” </w:t>
      </w:r>
      <w:r>
        <w:fldChar w:fldCharType="begin" w:fldLock="1"/>
      </w:r>
      <w:r>
        <w:rPr>
          <w:rFonts w:cs="Calibri"/>
        </w:rPr>
        <w:instrText>ADDIN CSL_CITATION {"citationItems":[{"id":"ITEM-1","itemData":{"DOI":"10.1016/j.ijdrr.2021.102440","ISSN":"22124209","abstract":"Extreme climate events and related disasters are increasing both in frequency and intensity. Resulting impacts materialize in the form of devastating bushfires, flooding, hurricanes, and cyclones and bring with them the tragic loss of life and substantial loss and damage to phenomena of value. Disaster management plays a central role in attempting to minimize and manage these impacts, and many government institutions posit that shared responsibility with citizens is the most effective approach to achieve this. However, some scholarship contends that shared approaches preference responsibility too far towards citizens and too far away from government institutions and are ineffective in lessening and managing such impacts. Here, we analyze governmental inquiries and actions undertaken regarding three past catastrophic disasters—2005 Hurricane Katrina (USA), the 2009 Victorian Bushfires (Australia), and the 2011 Queensland Floods (Australia). We assess, across these inquiries, 'what went wrong', 'what was working', and 'what needs fixing' with shared responsibility in disaster management. Our results indicate pervasive ineffectiveness in leadership, governance, trust, and resilience. We discuss how neoliberal influence contributes towards this ineffectiveness and suggest how this influence can be actively contested. We conclude by advocating for a reinstated social contract that inserts citizen rights and justice into disaster management policy making concomitant with the redistribution of public and third sector resources administered through inclusive governance frameworks. Such a social contract affords citizens greater opportunity to exercise agency whilst maximizing institutional support before, during, and after a disaster to provide greater protection and reduce harm.","author":[{"dropping-particle":"","family":"Crosweller","given":"Mark","non-dropping-particle":"","parse-names":false,"suffix":""},{"dropping-particle":"","family":"Tschakert","given":"Petra","non-dropping-particle":"","parse-names":false,"suffix":""}],"container-title":"International Journal of Disaster Risk Reduction","id":"ITEM-1","issued":{"date-parts":[["2021"]]},"page":"1-13","publisher":"Elsevier Ltd","title":"Disaster management and the need for a reinstated social contract of shared responsibility","type":"article-journal","volume":"63"},"locator":"3","uris":["http://www.mendeley.com/documents/?uuid=4d44ea86-a25a-438c-a66f-510f5f82f76b"]}],"mendeley":{"formattedCitation":"(Crosweller &amp; Tschakert, 2021, p. 3)","plainTextFormattedCitation":"(Crosweller &amp; Tschakert, 2021, p. 3)","previouslyFormattedCitation":"(Crosweller &amp; Tschakert, 2021, p. 3)"},"properties":{"noteIndex":0},"schema":"https://github.com/citation-style-language/schema/raw/master/csl-citation.json"}</w:instrText>
      </w:r>
      <w:r>
        <w:rPr>
          <w:rFonts w:cs="Calibri"/>
        </w:rPr>
        <w:fldChar w:fldCharType="separate"/>
      </w:r>
      <w:r>
        <w:rPr>
          <w:rFonts w:cs="Calibri"/>
          <w:noProof/>
        </w:rPr>
        <w:t>(Crosweller &amp; Tschakert, 2021, p. 3)</w:t>
      </w:r>
      <w:r>
        <w:rPr>
          <w:rFonts w:cs="Calibri"/>
        </w:rPr>
        <w:fldChar w:fldCharType="end"/>
      </w:r>
      <w:r>
        <w:rPr>
          <w:rFonts w:cs="Calibri"/>
        </w:rPr>
        <w:t xml:space="preserve">. There are reports that neoliberal polices can damage community resilience with a greater focus, and perhaps institutional logic, on economic competition and less on collaborative support </w:t>
      </w:r>
      <w:r>
        <w:fldChar w:fldCharType="begin" w:fldLock="1"/>
      </w:r>
      <w:r>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Pr>
          <w:rFonts w:cs="Calibri"/>
        </w:rPr>
        <w:fldChar w:fldCharType="separate"/>
      </w:r>
      <w:r>
        <w:rPr>
          <w:rFonts w:cs="Calibri"/>
          <w:noProof/>
        </w:rPr>
        <w:t>(Carmen et al., 2022)</w:t>
      </w:r>
      <w:r>
        <w:rPr>
          <w:rFonts w:cs="Calibri"/>
        </w:rPr>
        <w:fldChar w:fldCharType="end"/>
      </w:r>
      <w:r>
        <w:rPr>
          <w:rFonts w:cs="Calibri"/>
        </w:rPr>
        <w:t>.</w:t>
      </w:r>
    </w:p>
    <w:p w14:paraId="1F595010" w14:textId="77777777" w:rsidR="00787F73" w:rsidRDefault="00787F73" w:rsidP="00866155">
      <w:pPr>
        <w:rPr>
          <w:rFonts w:cs="Calibri"/>
        </w:rPr>
      </w:pPr>
    </w:p>
    <w:p w14:paraId="40613FC4" w14:textId="77777777" w:rsidR="00787F73" w:rsidRDefault="00742FB7" w:rsidP="00866155">
      <w:pPr>
        <w:pStyle w:val="Heading3"/>
      </w:pPr>
      <w:bookmarkStart w:id="377" w:name="_Toc93336017"/>
      <w:bookmarkStart w:id="378" w:name="_Toc98148354"/>
      <w:bookmarkStart w:id="379" w:name="_Toc153554320"/>
      <w:bookmarkStart w:id="380" w:name="_Toc22633727"/>
      <w:bookmarkStart w:id="381" w:name="_Toc140071599"/>
      <w:bookmarkStart w:id="382" w:name="_Toc193367202"/>
      <w:bookmarkStart w:id="383" w:name="_Hlk140854260"/>
      <w:bookmarkStart w:id="384" w:name="_Toc158823561"/>
      <w:r>
        <w:rPr>
          <w:rFonts w:ascii="Calibri" w:hAnsi="Calibri" w:cs="Calibri"/>
        </w:rPr>
        <w:t>2.4.5: Conclusion</w:t>
      </w:r>
      <w:bookmarkEnd w:id="377"/>
      <w:bookmarkEnd w:id="378"/>
      <w:bookmarkEnd w:id="379"/>
      <w:bookmarkEnd w:id="380"/>
      <w:bookmarkEnd w:id="381"/>
      <w:bookmarkEnd w:id="382"/>
      <w:r>
        <w:rPr>
          <w:rFonts w:ascii="Calibri" w:hAnsi="Calibri" w:cs="Calibri"/>
        </w:rPr>
        <w:t xml:space="preserve"> </w:t>
      </w:r>
      <w:bookmarkEnd w:id="383"/>
      <w:bookmarkEnd w:id="384"/>
    </w:p>
    <w:p w14:paraId="6DD826C1" w14:textId="77777777" w:rsidR="00787F73" w:rsidRDefault="00742FB7" w:rsidP="00866155">
      <w:r>
        <w:rPr>
          <w:rFonts w:cs="Calibri"/>
        </w:rPr>
        <w:t xml:space="preserve">The definition section explored how </w:t>
      </w:r>
      <w:r>
        <w:rPr>
          <w:rFonts w:cs="Calibri"/>
          <w:i/>
          <w:iCs/>
        </w:rPr>
        <w:t>community</w:t>
      </w:r>
      <w:r>
        <w:rPr>
          <w:rFonts w:cs="Calibri"/>
        </w:rPr>
        <w:t xml:space="preserve"> and </w:t>
      </w:r>
      <w:r>
        <w:rPr>
          <w:rFonts w:cs="Calibri"/>
          <w:i/>
          <w:iCs/>
        </w:rPr>
        <w:t>resilience</w:t>
      </w:r>
      <w:r>
        <w:rPr>
          <w:rFonts w:cs="Calibri"/>
        </w:rPr>
        <w:t xml:space="preserve"> are both contested terms and provided a brief history of the development of community resilience. This then led into a discussion of the different elements within resilience, exploring the wide variety of resilience characteristics which have been researched. This section then discussed how organisations can be involved within community resilience, with a focus on linking social capital. Finally, there was a discussion on the wider neoliberal undertones of the increased governance narrative and disaster management logic of building community resilience. </w:t>
      </w:r>
    </w:p>
    <w:p w14:paraId="1853B12D" w14:textId="77777777" w:rsidR="00787F73" w:rsidRDefault="00787F73" w:rsidP="00866155">
      <w:pPr>
        <w:rPr>
          <w:rFonts w:cs="Calibri"/>
        </w:rPr>
      </w:pPr>
    </w:p>
    <w:p w14:paraId="5DC0D6F3" w14:textId="77777777" w:rsidR="00787F73" w:rsidRDefault="00742FB7" w:rsidP="00866155">
      <w:r>
        <w:rPr>
          <w:rFonts w:cs="Calibri"/>
        </w:rPr>
        <w:t xml:space="preserve">This section has highlighted the importance of understanding the various approaches to defining resilience, but with a greater importance of how the community themselves view their own resilience; if people are working with different definitions and ideas of resilience, then they will have different institutional logics, perhaps reducing the ability for meaningful participation between stakeholders. Examining how SYFR view and use resilience is explored in RQ1 (chapter 4), as it informs their communication strategy for building community disaster resilience. </w:t>
      </w:r>
    </w:p>
    <w:p w14:paraId="4A030CAE" w14:textId="77777777" w:rsidR="00787F73" w:rsidRDefault="00787F73" w:rsidP="00866155">
      <w:pPr>
        <w:rPr>
          <w:rFonts w:cs="Calibri"/>
        </w:rPr>
      </w:pPr>
    </w:p>
    <w:p w14:paraId="720A5855" w14:textId="220A05BE" w:rsidR="00787F73" w:rsidRDefault="00742FB7" w:rsidP="00866155">
      <w:r>
        <w:rPr>
          <w:rFonts w:cs="Calibri"/>
        </w:rPr>
        <w:t xml:space="preserve">The focus on </w:t>
      </w:r>
      <w:r>
        <w:rPr>
          <w:rFonts w:cs="Calibri"/>
          <w:i/>
          <w:iCs/>
        </w:rPr>
        <w:t>community</w:t>
      </w:r>
      <w:r>
        <w:rPr>
          <w:rFonts w:cs="Calibri"/>
        </w:rPr>
        <w:t xml:space="preserve"> resilience has suggested that the resilience comes from </w:t>
      </w:r>
      <w:r>
        <w:rPr>
          <w:rFonts w:cs="Calibri"/>
          <w:i/>
          <w:iCs/>
        </w:rPr>
        <w:t>within</w:t>
      </w:r>
      <w:r>
        <w:rPr>
          <w:rFonts w:cs="Calibri"/>
        </w:rPr>
        <w:t xml:space="preserve"> the community, therefore the community needs to be actively involved within the full process. This continues the theme of </w:t>
      </w:r>
      <w:r w:rsidRPr="00A0151B">
        <w:rPr>
          <w:rFonts w:cs="Calibri"/>
          <w:i/>
          <w:iCs/>
        </w:rPr>
        <w:t>engagement</w:t>
      </w:r>
      <w:r>
        <w:rPr>
          <w:rFonts w:cs="Calibri"/>
        </w:rPr>
        <w:t xml:space="preserve"> from the communication theory section, which highlighted that the benefits from </w:t>
      </w:r>
      <w:r w:rsidR="00104558">
        <w:rPr>
          <w:rFonts w:cs="Calibri"/>
        </w:rPr>
        <w:t xml:space="preserve">risk </w:t>
      </w:r>
      <w:r>
        <w:rPr>
          <w:rFonts w:cs="Calibri"/>
        </w:rPr>
        <w:t>communication can be short lived</w:t>
      </w:r>
      <w:r w:rsidR="00104558">
        <w:rPr>
          <w:rFonts w:cs="Calibri"/>
        </w:rPr>
        <w:t xml:space="preserve">. Therefore, </w:t>
      </w:r>
      <w:r w:rsidR="00D539BD">
        <w:rPr>
          <w:rFonts w:cs="Calibri"/>
        </w:rPr>
        <w:t>for</w:t>
      </w:r>
      <w:r w:rsidR="00104558">
        <w:rPr>
          <w:rFonts w:cs="Calibri"/>
        </w:rPr>
        <w:t xml:space="preserve"> risk communication</w:t>
      </w:r>
      <w:r>
        <w:rPr>
          <w:rFonts w:cs="Calibri"/>
        </w:rPr>
        <w:t>, such as PICs</w:t>
      </w:r>
      <w:r w:rsidR="00D539BD">
        <w:rPr>
          <w:rFonts w:cs="Calibri"/>
        </w:rPr>
        <w:t>,</w:t>
      </w:r>
      <w:r w:rsidR="00104558">
        <w:rPr>
          <w:rFonts w:cs="Calibri"/>
        </w:rPr>
        <w:t xml:space="preserve"> to be effective</w:t>
      </w:r>
      <w:r>
        <w:rPr>
          <w:rFonts w:cs="Calibri"/>
        </w:rPr>
        <w:t xml:space="preserve"> there needs to be sustained contact between </w:t>
      </w:r>
      <w:r>
        <w:rPr>
          <w:rFonts w:cs="Calibri"/>
        </w:rPr>
        <w:lastRenderedPageBreak/>
        <w:t>organisations</w:t>
      </w:r>
      <w:r w:rsidR="00104558">
        <w:rPr>
          <w:rFonts w:cs="Calibri"/>
        </w:rPr>
        <w:t xml:space="preserve">. This </w:t>
      </w:r>
      <w:r w:rsidR="00D539BD">
        <w:rPr>
          <w:rFonts w:cs="Calibri"/>
        </w:rPr>
        <w:t>will</w:t>
      </w:r>
      <w:r w:rsidR="00104558">
        <w:rPr>
          <w:rFonts w:cs="Calibri"/>
        </w:rPr>
        <w:t xml:space="preserve"> not only </w:t>
      </w:r>
      <w:r>
        <w:rPr>
          <w:rFonts w:cs="Calibri"/>
        </w:rPr>
        <w:t xml:space="preserve">build the linking social capital but also </w:t>
      </w:r>
      <w:r w:rsidR="00104558">
        <w:rPr>
          <w:rFonts w:cs="Calibri"/>
        </w:rPr>
        <w:t>develop trust which is crucial for risk communication and community engagement.</w:t>
      </w:r>
      <w:r>
        <w:rPr>
          <w:rFonts w:cs="Calibri"/>
        </w:rPr>
        <w:t xml:space="preserve"> This increased call for community engagement continues the influence from neoliberalism and its role within shifting perceived responsibilities from traditional public sectors to private sectors and individual responsibility, which is continued in the next section on social media. </w:t>
      </w:r>
    </w:p>
    <w:p w14:paraId="11EBAF04" w14:textId="77777777" w:rsidR="00787F73" w:rsidRDefault="00787F73" w:rsidP="00866155">
      <w:pPr>
        <w:rPr>
          <w:rFonts w:cs="Calibri"/>
        </w:rPr>
      </w:pPr>
    </w:p>
    <w:p w14:paraId="19A5E2EE" w14:textId="77777777" w:rsidR="00787F73" w:rsidRDefault="00742FB7" w:rsidP="00866155">
      <w:pPr>
        <w:pStyle w:val="Heading2"/>
      </w:pPr>
      <w:bookmarkStart w:id="385" w:name="_Toc158823562"/>
      <w:bookmarkStart w:id="386" w:name="_Toc22633728"/>
      <w:bookmarkStart w:id="387" w:name="_Toc140071600"/>
      <w:bookmarkStart w:id="388" w:name="_Toc153554321"/>
      <w:bookmarkStart w:id="389" w:name="_Toc93336018"/>
      <w:bookmarkStart w:id="390" w:name="_Toc98148355"/>
      <w:bookmarkStart w:id="391" w:name="_Toc193367203"/>
      <w:r>
        <w:rPr>
          <w:rFonts w:ascii="Calibri" w:hAnsi="Calibri" w:cs="Calibri"/>
        </w:rPr>
        <w:t>2.5: Social Media</w:t>
      </w:r>
      <w:bookmarkEnd w:id="385"/>
      <w:bookmarkEnd w:id="386"/>
      <w:bookmarkEnd w:id="387"/>
      <w:bookmarkEnd w:id="388"/>
      <w:bookmarkEnd w:id="389"/>
      <w:bookmarkEnd w:id="390"/>
      <w:bookmarkEnd w:id="391"/>
    </w:p>
    <w:p w14:paraId="0BFF79F7" w14:textId="77777777" w:rsidR="00787F73" w:rsidRDefault="00742FB7" w:rsidP="00866155">
      <w:pPr>
        <w:pStyle w:val="Heading3"/>
      </w:pPr>
      <w:bookmarkStart w:id="392" w:name="_Toc10621093"/>
      <w:bookmarkStart w:id="393" w:name="_Toc98148356"/>
      <w:bookmarkStart w:id="394" w:name="_Toc140071601"/>
      <w:bookmarkStart w:id="395" w:name="_Toc153554322"/>
      <w:bookmarkStart w:id="396" w:name="_Toc22633729"/>
      <w:bookmarkStart w:id="397" w:name="_Toc158823563"/>
      <w:bookmarkStart w:id="398" w:name="_Toc523750410"/>
      <w:bookmarkStart w:id="399" w:name="_Toc93336019"/>
      <w:bookmarkStart w:id="400" w:name="_Toc523850271"/>
      <w:bookmarkStart w:id="401" w:name="_Toc193367204"/>
      <w:r>
        <w:rPr>
          <w:rFonts w:ascii="Calibri" w:hAnsi="Calibri" w:cs="Calibri"/>
        </w:rPr>
        <w:t>2.5.1: Introduction</w:t>
      </w:r>
      <w:bookmarkEnd w:id="392"/>
      <w:bookmarkEnd w:id="393"/>
      <w:bookmarkEnd w:id="394"/>
      <w:bookmarkEnd w:id="395"/>
      <w:bookmarkEnd w:id="396"/>
      <w:bookmarkEnd w:id="397"/>
      <w:bookmarkEnd w:id="398"/>
      <w:bookmarkEnd w:id="399"/>
      <w:bookmarkEnd w:id="400"/>
      <w:bookmarkEnd w:id="401"/>
    </w:p>
    <w:p w14:paraId="62F6A05E" w14:textId="70850529" w:rsidR="00787F73" w:rsidRDefault="00742FB7" w:rsidP="00866155">
      <w:r>
        <w:rPr>
          <w:rFonts w:cs="Calibri"/>
        </w:rPr>
        <w:t>Social media as a concept was created within the era of Web 2.0 at the beginning of the 21</w:t>
      </w:r>
      <w:r>
        <w:rPr>
          <w:rFonts w:cs="Calibri"/>
          <w:vertAlign w:val="superscript"/>
        </w:rPr>
        <w:t>st</w:t>
      </w:r>
      <w:r>
        <w:rPr>
          <w:rFonts w:cs="Calibri"/>
        </w:rPr>
        <w:t xml:space="preserve"> century, which described a shift towards users being actively involved in the creation of user-generated content </w:t>
      </w:r>
      <w:r>
        <w:fldChar w:fldCharType="begin" w:fldLock="1"/>
      </w:r>
      <w:r>
        <w:rPr>
          <w:rFonts w:cs="Calibri"/>
        </w:rPr>
        <w:instrText>ADDIN CSL_CITATION {"citationItems":[{"id":"ITEM-1","itemData":{"DOI":"10.1016/j.bushor.2009.09.003","ISBN":"0007-6813","ISSN":"00076813","PMID":"45641953","abstract":"The concept of Social Media is top of the agenda for many business executives today. Decision makers, as well as consultants, try to identify ways in which firms can make profitable use of applications such as Wikipedia, YouTube, Facebook, Second Life, and Twitter. Yet despite this interest, there seems to be very limited understanding of what the term \"Social Media\" exactly means; this article intends to provide some clarification. We begin by describing the concept of Social Media, and discuss how it differs from related concepts such as Web 2.0 and User Generated Content. Based on this definition, we then provide a classification of Social Media which groups applications currently subsumed under the generalized term into more specific categories by characteristic: collaborative projects, blogs, content communities, social networking sites, virtual game worlds, and virtual social worlds. Finally, we present 10 pieces of advice for companies which decide to utilize Social Media. ?? 2009 Kelley School of Business, Indiana University.","author":[{"dropping-particle":"","family":"Kaplan","given":"Andreas M.","non-dropping-particle":"","parse-names":false,"suffix":""},{"dropping-particle":"","family":"Haenlein","given":"Michael","non-dropping-particle":"","parse-names":false,"suffix":""}],"container-title":"Business Horizons","id":"ITEM-1","issue":"1","issued":{"date-parts":[["2010"]]},"page":"59-68","title":"Users of the world, unite! The challenges and opportunities of Social Media","type":"article-journal","volume":"53"},"uris":["http://www.mendeley.com/documents/?uuid=d0bdc727-6a79-4193-ad8c-54a69800a870"]},{"id":"ITEM-2","itemData":{"author":[{"dropping-particle":"","family":"Newman","given":"Russell","non-dropping-particle":"","parse-names":false,"suffix":""},{"dropping-particle":"","family":"Chang","given":"Victor","non-dropping-particle":"","parse-names":false,"suffix":""},{"dropping-particle":"","family":"Walters","given":"Robert John","non-dropping-particle":"","parse-names":false,"suffix":""},{"dropping-particle":"","family":"Wills","given":"Gary Brian","non-dropping-particle":"","parse-names":false,"suffix":""}],"container-title":"International Journal of Information Management","id":"ITEM-2","issue":"4","issued":{"date-parts":[["2016"]]},"page":"591 - 598","title":"Web 2.0 - The past and the future","type":"article-journal","volume":"36"},"uris":["http://www.mendeley.com/documents/?uuid=d68dc587-9490-4630-a858-3ebf3c303f22"]}],"mendeley":{"formattedCitation":"(Newman et al., 2016; Kaplan &amp; Haenlein, 2010)","plainTextFormattedCitation":"(Newman et al., 2016; Kaplan &amp; Haenlein, 2010)","previouslyFormattedCitation":"(Newman et al., 2016; Kaplan &amp; Haenlein, 2010)"},"properties":{"noteIndex":0},"schema":"https://github.com/citation-style-language/schema/raw/master/csl-citation.json"}</w:instrText>
      </w:r>
      <w:r>
        <w:rPr>
          <w:rFonts w:cs="Calibri"/>
        </w:rPr>
        <w:fldChar w:fldCharType="separate"/>
      </w:r>
      <w:r>
        <w:rPr>
          <w:rFonts w:cs="Calibri"/>
          <w:noProof/>
        </w:rPr>
        <w:t>(Newman et al., 2016; Kaplan &amp; Haenlein, 2010)</w:t>
      </w:r>
      <w:r>
        <w:rPr>
          <w:rFonts w:cs="Calibri"/>
        </w:rPr>
        <w:fldChar w:fldCharType="end"/>
      </w:r>
      <w:r>
        <w:rPr>
          <w:rFonts w:cs="Calibri"/>
        </w:rPr>
        <w:t xml:space="preserve">. This saw the shifting from the traditional media value chain of producer-distributor-consumer, to a new hybrid of production and consumption, called </w:t>
      </w:r>
      <w:r>
        <w:rPr>
          <w:rFonts w:cs="Calibri"/>
          <w:i/>
          <w:iCs/>
        </w:rPr>
        <w:t>prosumption</w:t>
      </w:r>
      <w:r>
        <w:rPr>
          <w:rFonts w:cs="Calibri"/>
        </w:rPr>
        <w:t xml:space="preserve"> </w:t>
      </w:r>
      <w:r>
        <w:fldChar w:fldCharType="begin" w:fldLock="1"/>
      </w:r>
      <w:r w:rsidR="00974B75">
        <w:rPr>
          <w:rFonts w:cs="Calibri"/>
        </w:rPr>
        <w:instrText>ADDIN CSL_CITATION {"citationItems":[{"id":"ITEM-1","itemData":{"ISBN":"0820488666","abstract":"Introduction : produsage in context -- The key characteristics of produsage -- Open source software development : probabilistic eyeballs -- News blogs and citizen journalism : perpetual collaboration in evaluating the news -- Wikipedia : representations of knowledge -- Wikipedia and beyond : the palimpsest of human knowledge -- Folksonomies : produsage and/of knowledge structures -- Folks and experts : beyond the pro/am divide -- The art of produsage : distributed creativity -- Media and creative industries : new opportunities or casual collapse? -- The produsage game : harboring the hive of produsers -- Social produsage : questions of reputation and trust -- A produsage commons : intellectual property in prodused artefacts -- Educating produsers, produsing education : produsage and the academy -- Produsing democracy -- Conclusion : production, produsage, and the future of humanity.","author":[{"dropping-particle":"","family":"Bruns","given":"Axel","non-dropping-particle":"","parse-names":false,"suffix":""}],"chapter-number":"2","container-title":"Blogs, Wikipedia, Second life, and Beyond: from production to produsage","id":"ITEM-1","issued":{"date-parts":[["2008"]]},"page":"9-36","publisher":"Peter Lang","title":"The Key Characteristics of Produsage","type":"chapter"},"uris":["http://www.mendeley.com/documents/?uuid=e1e84da6-d503-351e-835b-d0eba4fa4f9e"]}],"mendeley":{"formattedCitation":"(Bruns, 2008)","plainTextFormattedCitation":"(Bruns, 2008)","previouslyFormattedCitation":"(Bruns, 2008)"},"properties":{"noteIndex":0},"schema":"https://github.com/citation-style-language/schema/raw/master/csl-citation.json"}</w:instrText>
      </w:r>
      <w:r>
        <w:rPr>
          <w:rFonts w:cs="Calibri"/>
        </w:rPr>
        <w:fldChar w:fldCharType="separate"/>
      </w:r>
      <w:r>
        <w:rPr>
          <w:rFonts w:cs="Calibri"/>
          <w:noProof/>
        </w:rPr>
        <w:t>(Bruns, 2008)</w:t>
      </w:r>
      <w:r>
        <w:rPr>
          <w:rFonts w:cs="Calibri"/>
        </w:rPr>
        <w:fldChar w:fldCharType="end"/>
      </w:r>
      <w:r w:rsidR="00904F09">
        <w:rPr>
          <w:rFonts w:cs="Calibri"/>
        </w:rPr>
        <w:t>. In prosumption,</w:t>
      </w:r>
      <w:r>
        <w:rPr>
          <w:rFonts w:cs="Calibri"/>
        </w:rPr>
        <w:t xml:space="preserve"> individuals and groups were able to produce and share their own content, rather than be passive consumers. The new focus on prosumption provided a change in the institutional logics of production </w:t>
      </w:r>
      <w:r>
        <w:fldChar w:fldCharType="begin" w:fldLock="1"/>
      </w:r>
      <w:r>
        <w:rPr>
          <w:rFonts w:cs="Calibri"/>
        </w:rPr>
        <w:instrText>ADDIN CSL_CITATION {"citationItems":[{"id":"ITEM-1","itemData":{"DOI":"10.1177/1461444814522952","ISSN":"14617315","abstract":"In this article we propose a concept of network media logic in order to discuss how online social media platforms change political communication without resorting to technological determinism or normalization. We argue that social media platforms operate with a distinctly different logic from that of traditional mass media, though overlapping with it. This is leading to different ways of producing content, distributing information and using media. By discussing the differences between traditional mass media and social media platforms in terms of production, consumption and use, we carve out the central elements of network media logic – that is, the rules/format of communication on social media platforms – and some consequences for political communication.","author":[{"dropping-particle":"","family":"Klinger","given":"Ulrike","non-dropping-particle":"","parse-names":false,"suffix":""},{"dropping-particle":"","family":"Svensson","given":"Jakob","non-dropping-particle":"","parse-names":false,"suffix":""}],"container-title":"New Media and Society","id":"ITEM-1","issue":"8","issued":{"date-parts":[["2015"]]},"page":"1241-1257","title":"The emergence of network media logic in political communication: A theoretical approach","type":"article-journal","volume":"17"},"uris":["http://www.mendeley.com/documents/?uuid=8cb80023-8a59-4970-a457-4f4476943de3"]}],"mendeley":{"formattedCitation":"(Klinger &amp; Svensson, 2015)","plainTextFormattedCitation":"(Klinger &amp; Svensson, 2015)","previouslyFormattedCitation":"(Klinger &amp; Svensson, 2015)"},"properties":{"noteIndex":0},"schema":"https://github.com/citation-style-language/schema/raw/master/csl-citation.json"}</w:instrText>
      </w:r>
      <w:r>
        <w:rPr>
          <w:rFonts w:cs="Calibri"/>
        </w:rPr>
        <w:fldChar w:fldCharType="separate"/>
      </w:r>
      <w:r>
        <w:rPr>
          <w:rFonts w:cs="Calibri"/>
          <w:noProof/>
        </w:rPr>
        <w:t>(Klinger &amp; Svensson, 2015)</w:t>
      </w:r>
      <w:r>
        <w:rPr>
          <w:rFonts w:cs="Calibri"/>
        </w:rPr>
        <w:fldChar w:fldCharType="end"/>
      </w:r>
      <w:r>
        <w:rPr>
          <w:rFonts w:cs="Calibri"/>
        </w:rPr>
        <w:t xml:space="preserve">, with a specific focus on media and how information is consumed and communicated. This shifting of how people interact online was seen to be more democratic, participatory and transparent, aimed at creating a culture of sharing </w:t>
      </w:r>
      <w:r>
        <w:fldChar w:fldCharType="begin" w:fldLock="1"/>
      </w:r>
      <w:r w:rsidR="00D177B9">
        <w:rPr>
          <w:rFonts w:cs="Calibri"/>
        </w:rPr>
        <w:instrText>ADDIN CSL_CITATION {"citationItems":[{"id":"ITEM-1","itemData":{"DOI":"10.1093/acprof","ISBN":"9780199970773","abstract":"This book theorizes social media platforms as distinct microsystems that together form an ecosystem of connective media. To capture the interdependence and interoperability between microsystems and ecosystem, Chapter 2 introduces a multi-layered model, which helps analyze the history of a complex phenomenon. Two theoretical approaches that inspired this book, actor-network theory (Latour) and political economy (Castells), offer valid perspectives on the transformation of technology and society, and their combination informs the design of a heuristic model. The proposed model takes apart single platforms into their techno-cultural components (coding technologies, users, and content) and their socio-economic elements (ownership status, governance, business models). But disassembling platforms is not enough: we also need to reassemble the ecosystem of interoperating platforms in order to recognize which norms and mechanisms undergird the construction of online sociality and creativity. A connective approach can only succeed if we take into account the larger cultural matrix in which this assemblage emerged.","author":[{"dropping-particle":"","family":"Dijck","given":"José","non-dropping-particle":"van","parse-names":false,"suffix":""}],"chapter-number":"2","container-title":"The Culture of Connectivity: A Critical History of Social Media","id":"ITEM-1","issued":{"date-parts":[["2013"]]},"page":"24 - 44","publisher":"Oxford University Press","publisher-place":"Oxford","title":"Disassembling Platforms, Reassembling Sociality","type":"chapter"},"uris":["http://www.mendeley.com/documents/?uuid=cc3b5de1-4faa-4c64-ba9e-806669ea0564"]}],"mendeley":{"formattedCitation":"(van Dijck, 2013a)","plainTextFormattedCitation":"(van Dijck, 2013a)","previouslyFormattedCitation":"(van Dijck, 2013a)"},"properties":{"noteIndex":0},"schema":"https://github.com/citation-style-language/schema/raw/master/csl-citation.json"}</w:instrText>
      </w:r>
      <w:r>
        <w:rPr>
          <w:rFonts w:cs="Calibri"/>
        </w:rPr>
        <w:fldChar w:fldCharType="separate"/>
      </w:r>
      <w:r w:rsidR="00E37B0E" w:rsidRPr="00E37B0E">
        <w:rPr>
          <w:rFonts w:cs="Calibri"/>
          <w:noProof/>
        </w:rPr>
        <w:t>(van Dijck, 2013a)</w:t>
      </w:r>
      <w:r>
        <w:rPr>
          <w:rFonts w:cs="Calibri"/>
        </w:rPr>
        <w:fldChar w:fldCharType="end"/>
      </w:r>
      <w:r>
        <w:rPr>
          <w:rFonts w:cs="Calibri"/>
        </w:rPr>
        <w:t xml:space="preserve">; however, this must be viewed as optimistic, as this is not always the case. This change in production was viewed as the foundation for social media. </w:t>
      </w:r>
    </w:p>
    <w:p w14:paraId="2A73135C" w14:textId="77777777" w:rsidR="00787F73" w:rsidRDefault="00787F73" w:rsidP="00866155">
      <w:pPr>
        <w:rPr>
          <w:rFonts w:cs="Calibri"/>
        </w:rPr>
      </w:pPr>
    </w:p>
    <w:p w14:paraId="1BBA88C4" w14:textId="77777777" w:rsidR="00787F73" w:rsidRPr="00560651" w:rsidRDefault="00742FB7" w:rsidP="00866155">
      <w:r>
        <w:rPr>
          <w:rFonts w:cs="Calibri"/>
        </w:rPr>
        <w:t xml:space="preserve">Using an institutional logics lens, one can view the growth and wide use of social media as a shifting in societal logics, but also as a logic in its own right </w:t>
      </w:r>
      <w:r>
        <w:fldChar w:fldCharType="begin" w:fldLock="1"/>
      </w:r>
      <w:bookmarkStart w:id="402" w:name="_Hlk153267225"/>
      <w:r w:rsidR="00974B75">
        <w:rPr>
          <w:rFonts w:cs="Calibri"/>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logic","type":"article-journal","volume":"1"},"uris":["http://www.mendeley.com/documents/?uuid=6959a087-04c3-4414-8425-5f017798610f"]},{"id":"ITEM-2","itemData":{"DOI":"10.1016/j.jaging.2021.100952","ISSN":"08904065","PMID":"34425987","abstract":"European local authorities increasingly use social media to present services and activities organized for citizens living in the particular area. Previous studies found that authority-managed social media visually depicted older adults as being active, sociable, happy, and physically capable, reflecting the normative “third age” representation. Yet few studies to date have examined how local authorities produce the photos of older adults for social media posting. Drawing on semi-structured interviews with communication officers in a Swedish municipality, the purpose of this study is to investigate the production process for social media photos of older adults within local authorities from an institutional logics perspective. The analysis illustrates that communication officers strive to create a good image of the municipality and its services, follow municipal policy and EU law on data protection, seek photos through particular sources, adjust to and develop photographic standards of good photos, and endeavor to promote social media engagement in the photos. These motives and work practices of communication officers contribute to the visual representations of older adults as engaging in municipal services, being socially active, and staying physically capable. The analysis also indicates that both social media and bureaucratic logics encourage officers to produce photos of older adults that highlight the bright side of later life. The findings contribute to previous studies on online representations of older adults generated by local authorities, by showing how the third age representation may come about in practice, and which logics may influence officers to generate such representation. Furthermore, the knowledge provided could be used as a basis for assessment and improvement on authorities' production for social media photos of older adults, which in turn contributes to more diverse and thoughtful representations of older adults and later life in authority-managed social media.","author":[{"dropping-particle":"","family":"Xu","given":"Wenqian","non-dropping-particle":"","parse-names":false,"suffix":""},{"dropping-particle":"","family":"Taghizadeh Larsson","given":"Annika","non-dropping-particle":"","parse-names":false,"suffix":""}],"container-title":"Journal of Aging Studies","id":"ITEM-2","issued":{"date-parts":[["2021"]]},"page":"1 - 11","title":"Communication officers in local authorities meeting social media: On the production of social media photos of older adults","type":"article-journal","volume":"58"},"uris":["http://www.mendeley.com/documents/?uuid=f57bd4e4-c651-431d-b4c2-8a0250ed77b5"]},{"id":"ITEM-3","itemData":{"DOI":"10.1109/TEM.2023.3290152","ISSN":"15580040","abstract":"The ubiquity of social media and the varying nature of subjective well-being (SWB) in a culturally heterogeneous world raises an essential question about how social media and culture jointly influence SWB. We argue that social media shapes the influence of cultural dimensions on SWB in nuanced ways, depending on the nature of the dimensions. Drawing on the affordance-based institutional logics perspective, we hypothesize that social media attenuates the adverse effects of power distance, masculinity, and uncertainty avoidance and amplifies the positive effects of individualism, long-term orientation, and indulgence on SWB. Using a dynamic panel model, our analysis shows that a degree of high social media diffusion in a country reduces the negative effect of power distance on SWB and increases the positive effect of individualism on SWB. These findings can help policymakers make informed decisions regarding increasing social media penetration as a means of overcoming negative cultural characteristics to enhance SWB.","author":[{"dropping-particle":"","family":"Arayankalam","given":"Jithesh","non-dropping-particle":"","parse-names":false,"suffix":""},{"dropping-particle":"","family":"Krishnan","given":"Satish","non-dropping-particle":"","parse-names":false,"suffix":""},{"dropping-particle":"","family":"Ractham","given":"Peter","non-dropping-particle":"","parse-names":false,"suffix":""},{"dropping-particle":"","family":"Papa","given":"Armando","non-dropping-particle":"","parse-names":false,"suffix":""}],"container-title":"IEEE Transactions on Engineering Management","id":"ITEM-3","issued":{"date-parts":[["2023"]]},"page":"1-17","title":"Social Media as an Amplifier or Attenuator: How Does Social Media Diffusion Shape the Influence of Culture on Subjective Well-Being","type":"article-journal"},"uris":["http://www.mendeley.com/documents/?uuid=26a85c19-7d40-4644-a009-3a4bc68b715b"]}],"mendeley":{"formattedCitation":"(Arayankalam et al., 2023; Xu &amp; Taghizadeh Larsson, 2021; van Dijck &amp; Poell, 2013)","plainTextFormattedCitation":"(Arayankalam et al., 2023; Xu &amp; Taghizadeh Larsson, 2021; van Dijck &amp; Poell, 2013)","previouslyFormattedCitation":"(Arayankalam et al., 2023; Xu &amp; Taghizadeh Larsson, 2021; van Dijck &amp; Poell, 2013)"},"properties":{"noteIndex":0},"schema":"https://github.com/citation-style-language/schema/raw/master/csl-citation.json"}</w:instrText>
      </w:r>
      <w:r>
        <w:rPr>
          <w:rFonts w:cs="Calibri"/>
        </w:rPr>
        <w:fldChar w:fldCharType="separate"/>
      </w:r>
      <w:r>
        <w:rPr>
          <w:rFonts w:cs="Calibri"/>
          <w:noProof/>
        </w:rPr>
        <w:t>(Arayankalam et al., 2023; Xu &amp; Taghizadeh Larsson, 2021; van Dijck &amp; Poell, 2013)</w:t>
      </w:r>
      <w:r>
        <w:rPr>
          <w:rFonts w:cs="Calibri"/>
        </w:rPr>
        <w:fldChar w:fldCharType="end"/>
      </w:r>
      <w:r>
        <w:rPr>
          <w:rFonts w:cs="Calibri"/>
        </w:rPr>
        <w:t xml:space="preserve">. Social media logics have four guiding principles: </w:t>
      </w:r>
      <w:r>
        <w:rPr>
          <w:rFonts w:cs="Calibri"/>
          <w:i/>
          <w:iCs/>
        </w:rPr>
        <w:t>programmability</w:t>
      </w:r>
      <w:r>
        <w:rPr>
          <w:rFonts w:cs="Calibri"/>
        </w:rPr>
        <w:t xml:space="preserve">, in how the platforms are designed and determines what is possible on the platform (such as the character limit on Twitter); </w:t>
      </w:r>
      <w:r>
        <w:rPr>
          <w:rFonts w:cs="Calibri"/>
          <w:i/>
          <w:iCs/>
        </w:rPr>
        <w:t>popularity</w:t>
      </w:r>
      <w:r>
        <w:rPr>
          <w:rFonts w:cs="Calibri"/>
        </w:rPr>
        <w:t xml:space="preserve">, which links to the algorithms influencing which posts appear higher up the feed (such as promoted content); </w:t>
      </w:r>
      <w:r>
        <w:rPr>
          <w:rFonts w:cs="Calibri"/>
          <w:i/>
          <w:iCs/>
        </w:rPr>
        <w:t>connectivity</w:t>
      </w:r>
      <w:r>
        <w:rPr>
          <w:rFonts w:cs="Calibri"/>
        </w:rPr>
        <w:t xml:space="preserve">, which describes the ability for content to be shared widely; and finally </w:t>
      </w:r>
      <w:r>
        <w:rPr>
          <w:rFonts w:cs="Calibri"/>
          <w:i/>
          <w:iCs/>
        </w:rPr>
        <w:t>datafication</w:t>
      </w:r>
      <w:r>
        <w:rPr>
          <w:rFonts w:cs="Calibri"/>
        </w:rPr>
        <w:t xml:space="preserve">, the ability to monitor all interactions in the form of analytics </w:t>
      </w:r>
      <w:r>
        <w:fldChar w:fldCharType="begin" w:fldLock="1"/>
      </w:r>
      <w:r>
        <w:rPr>
          <w:rFonts w:cs="Calibri"/>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Pr>
          <w:rFonts w:cs="Calibri"/>
        </w:rPr>
        <w:fldChar w:fldCharType="separate"/>
      </w:r>
      <w:r>
        <w:rPr>
          <w:rFonts w:cs="Calibri"/>
          <w:noProof/>
        </w:rPr>
        <w:t>(van Dijck &amp; Poell, 2013)</w:t>
      </w:r>
      <w:r>
        <w:rPr>
          <w:rFonts w:cs="Calibri"/>
        </w:rPr>
        <w:fldChar w:fldCharType="end"/>
      </w:r>
      <w:r>
        <w:rPr>
          <w:rFonts w:cs="Calibri"/>
        </w:rPr>
        <w:t>.</w:t>
      </w:r>
      <w:bookmarkEnd w:id="402"/>
      <w:r w:rsidR="00560651">
        <w:rPr>
          <w:rFonts w:cs="Calibri"/>
        </w:rPr>
        <w:t xml:space="preserve"> These logics are of interest to this project, and specifically the development of community resilience. Using a social capital approach, one can see how the social media </w:t>
      </w:r>
      <w:r w:rsidR="00560651">
        <w:rPr>
          <w:rFonts w:cs="Calibri"/>
        </w:rPr>
        <w:lastRenderedPageBreak/>
        <w:t xml:space="preserve">logic of </w:t>
      </w:r>
      <w:r w:rsidR="00560651">
        <w:rPr>
          <w:rFonts w:cs="Calibri"/>
          <w:i/>
          <w:iCs/>
        </w:rPr>
        <w:t>connectivity</w:t>
      </w:r>
      <w:r w:rsidR="00560651">
        <w:rPr>
          <w:rFonts w:cs="Calibri"/>
        </w:rPr>
        <w:t xml:space="preserve"> directly links </w:t>
      </w:r>
      <w:r w:rsidR="006E3C33">
        <w:rPr>
          <w:rFonts w:cs="Calibri"/>
        </w:rPr>
        <w:t xml:space="preserve">the development of social capital. As discussed in section </w:t>
      </w:r>
      <w:r w:rsidR="00534437">
        <w:rPr>
          <w:rFonts w:cs="Calibri"/>
        </w:rPr>
        <w:t>2.4.3</w:t>
      </w:r>
      <w:r w:rsidR="006E3C33">
        <w:rPr>
          <w:rFonts w:cs="Calibri"/>
        </w:rPr>
        <w:t xml:space="preserve">, social capital is linked to the development of community resilience, focusing on the importance of bonding, bridging and linking social capital </w:t>
      </w:r>
      <w:r w:rsidR="006E3C33">
        <w:rPr>
          <w:rFonts w:cs="Calibri"/>
        </w:rPr>
        <w:fldChar w:fldCharType="begin" w:fldLock="1"/>
      </w:r>
      <w:r w:rsidR="00CC646F">
        <w:rPr>
          <w:rFonts w:cs="Calibri"/>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India","type":"article-journal","volume":"19"},"uris":["http://www.mendeley.com/documents/?uuid=d8bcf27c-1efc-4c15-8204-cd8b37719dd2"]},{"id":"ITEM-2","itemData":{"DOI":"10.1007/s13280-021-01678-9","ISBN":"1328002101","ISSN":"16547209","PMID":"35015248","abstract":"Social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-2","issue":"6","issued":{"date-parts":[["2022"]]},"page":"1371-1387","title":"Building community resilience in a context of climate change: The role of social capital","type":"article-journal","volume":"51"},"uris":["http://www.mendeley.com/documents/?uuid=811839c2-2eda-4cbc-80b5-6bfc7c4a8392"]}],"mendeley":{"formattedCitation":"(Carmen et al., 2022; Sanyal &amp; Routray, 2016)","plainTextFormattedCitation":"(Carmen et al., 2022; Sanyal &amp; Routray, 2016)","previouslyFormattedCitation":"(Carmen et al., 2022; Sanyal &amp; Routray, 2016)"},"properties":{"noteIndex":0},"schema":"https://github.com/citation-style-language/schema/raw/master/csl-citation.json"}</w:instrText>
      </w:r>
      <w:r w:rsidR="006E3C33">
        <w:rPr>
          <w:rFonts w:cs="Calibri"/>
        </w:rPr>
        <w:fldChar w:fldCharType="separate"/>
      </w:r>
      <w:r w:rsidR="006E3C33" w:rsidRPr="006E3C33">
        <w:rPr>
          <w:rFonts w:cs="Calibri"/>
          <w:noProof/>
        </w:rPr>
        <w:t>(Carmen et al., 2022; Sanyal &amp; Routray, 2016)</w:t>
      </w:r>
      <w:r w:rsidR="006E3C33">
        <w:rPr>
          <w:rFonts w:cs="Calibri"/>
        </w:rPr>
        <w:fldChar w:fldCharType="end"/>
      </w:r>
      <w:r w:rsidR="006E3C33">
        <w:rPr>
          <w:rFonts w:cs="Calibri"/>
        </w:rPr>
        <w:t xml:space="preserve">. One can therefore note that the </w:t>
      </w:r>
      <w:r w:rsidR="006E3C33" w:rsidRPr="00A0151B">
        <w:rPr>
          <w:rFonts w:cs="Calibri"/>
          <w:i/>
          <w:iCs/>
        </w:rPr>
        <w:t>connectivity</w:t>
      </w:r>
      <w:r w:rsidR="006E3C33">
        <w:rPr>
          <w:rFonts w:cs="Calibri"/>
        </w:rPr>
        <w:t xml:space="preserve"> of social media</w:t>
      </w:r>
      <w:r w:rsidR="00233ECA">
        <w:rPr>
          <w:rFonts w:cs="Calibri"/>
        </w:rPr>
        <w:t xml:space="preserve"> could</w:t>
      </w:r>
      <w:r w:rsidR="006E3C33">
        <w:rPr>
          <w:rFonts w:cs="Calibri"/>
        </w:rPr>
        <w:t xml:space="preserve"> provide a platform and method to enact this bonding, bridging, and linking capital.</w:t>
      </w:r>
    </w:p>
    <w:p w14:paraId="5E1D8099" w14:textId="77777777" w:rsidR="00787F73" w:rsidRDefault="00787F73" w:rsidP="00866155">
      <w:pPr>
        <w:rPr>
          <w:rFonts w:cs="Calibri"/>
        </w:rPr>
      </w:pPr>
    </w:p>
    <w:p w14:paraId="2CDB4CAB" w14:textId="77777777" w:rsidR="00787F73" w:rsidRDefault="00742FB7" w:rsidP="00866155">
      <w:r>
        <w:rPr>
          <w:rFonts w:cs="Calibri"/>
        </w:rPr>
        <w:t>The following sections will look at the key definitions and concepts associated with social media, the digital divide, the uses of social media, the negative elements, and finally how social media is used in disasters.</w:t>
      </w:r>
    </w:p>
    <w:p w14:paraId="741902DA" w14:textId="77777777" w:rsidR="00787F73" w:rsidRDefault="00787F73" w:rsidP="00866155">
      <w:pPr>
        <w:rPr>
          <w:rFonts w:cs="Calibri"/>
        </w:rPr>
      </w:pPr>
    </w:p>
    <w:p w14:paraId="7E8F5103" w14:textId="77777777" w:rsidR="00787F73" w:rsidRDefault="00742FB7" w:rsidP="00866155">
      <w:pPr>
        <w:pStyle w:val="Heading3"/>
      </w:pPr>
      <w:bookmarkStart w:id="403" w:name="_Toc153554323"/>
      <w:bookmarkStart w:id="404" w:name="_Toc22633730"/>
      <w:bookmarkStart w:id="405" w:name="_Toc158823564"/>
      <w:bookmarkStart w:id="406" w:name="_Toc140071602"/>
      <w:bookmarkStart w:id="407" w:name="_Toc523850272"/>
      <w:bookmarkStart w:id="408" w:name="_Toc10621094"/>
      <w:bookmarkStart w:id="409" w:name="_Toc98148357"/>
      <w:bookmarkStart w:id="410" w:name="_Toc523750411"/>
      <w:bookmarkStart w:id="411" w:name="_Toc93336020"/>
      <w:bookmarkStart w:id="412" w:name="_Toc193367205"/>
      <w:r>
        <w:rPr>
          <w:rFonts w:ascii="Calibri" w:hAnsi="Calibri" w:cs="Calibri"/>
        </w:rPr>
        <w:t>2.5.2: Definitions</w:t>
      </w:r>
      <w:bookmarkEnd w:id="403"/>
      <w:bookmarkEnd w:id="404"/>
      <w:bookmarkEnd w:id="405"/>
      <w:bookmarkEnd w:id="406"/>
      <w:bookmarkEnd w:id="407"/>
      <w:bookmarkEnd w:id="408"/>
      <w:bookmarkEnd w:id="409"/>
      <w:bookmarkEnd w:id="410"/>
      <w:bookmarkEnd w:id="411"/>
      <w:bookmarkEnd w:id="412"/>
    </w:p>
    <w:p w14:paraId="5B23EEFA" w14:textId="77777777" w:rsidR="00787F73" w:rsidRDefault="00742FB7" w:rsidP="00866155">
      <w:r>
        <w:rPr>
          <w:rFonts w:cs="Calibri"/>
        </w:rPr>
        <w:t xml:space="preserve">Social media is defined as </w:t>
      </w:r>
      <w:r>
        <w:rPr>
          <w:rStyle w:val="QuoteChar"/>
          <w:rFonts w:cs="Calibri"/>
        </w:rPr>
        <w:t>“a group of Internet-based applications that build on the ideological and technological foundations of Web 2.0, and that allow the creation and exchange of user-generated content</w:t>
      </w:r>
      <w:r>
        <w:rPr>
          <w:rFonts w:cs="Calibri"/>
        </w:rPr>
        <w:t xml:space="preserve">” </w:t>
      </w:r>
      <w:r>
        <w:fldChar w:fldCharType="begin" w:fldLock="1"/>
      </w:r>
      <w:r>
        <w:rPr>
          <w:rFonts w:cs="Calibri"/>
        </w:rPr>
        <w:instrText>ADDIN CSL_CITATION {"citationItems":[{"id":"ITEM-1","itemData":{"DOI":"10.1016/j.bushor.2009.09.003","ISBN":"0007-6813","ISSN":"00076813","PMID":"45641953","abstract":"The concept of Social Media is top of the agenda for many business executives today. Decision makers, as well as consultants, try to identify ways in which firms can make profitable use of applications such as Wikipedia, YouTube, Facebook, Second Life, and Twitter. Yet despite this interest, there seems to be very limited understanding of what the term \"Social Media\" exactly means; this article intends to provide some clarification. We begin by describing the concept of Social Media, and discuss how it differs from related concepts such as Web 2.0 and User Generated Content. Based on this definition, we then provide a classification of Social Media which groups applications currently subsumed under the generalized term into more specific categories by characteristic: collaborative projects, blogs, content communities, social networking sites, virtual game worlds, and virtual social worlds. Finally, we present 10 pieces of advice for companies which decide to utilize Social Media. ?? 2009 Kelley School of Business, Indiana University.","author":[{"dropping-particle":"","family":"Kaplan","given":"Andreas M.","non-dropping-particle":"","parse-names":false,"suffix":""},{"dropping-particle":"","family":"Haenlein","given":"Michael","non-dropping-particle":"","parse-names":false,"suffix":""}],"container-title":"Business Horizons","id":"ITEM-1","issue":"1","issued":{"date-parts":[["2010"]]},"page":"59-68","title":"Users of the world, unite! The challenges and opportunities of Social Media","type":"article-journal","volume":"53"},"locator":"61","uris":["http://www.mendeley.com/documents/?uuid=d0bdc727-6a79-4193-ad8c-54a69800a870"]}],"mendeley":{"formattedCitation":"(Kaplan &amp; Haenlein, 2010, p. 61)","plainTextFormattedCitation":"(Kaplan &amp; Haenlein, 2010, p. 61)","previouslyFormattedCitation":"(Kaplan &amp; Haenlein, 2010, p. 61)"},"properties":{"noteIndex":0},"schema":"https://github.com/citation-style-language/schema/raw/master/csl-citation.json"}</w:instrText>
      </w:r>
      <w:r>
        <w:rPr>
          <w:rFonts w:cs="Calibri"/>
        </w:rPr>
        <w:fldChar w:fldCharType="separate"/>
      </w:r>
      <w:r>
        <w:rPr>
          <w:rFonts w:cs="Calibri"/>
          <w:noProof/>
        </w:rPr>
        <w:t>(Kaplan &amp; Haenlein, 2010, p. 61)</w:t>
      </w:r>
      <w:r>
        <w:rPr>
          <w:rFonts w:cs="Calibri"/>
        </w:rPr>
        <w:fldChar w:fldCharType="end"/>
      </w:r>
      <w:r>
        <w:rPr>
          <w:rFonts w:cs="Calibri"/>
        </w:rPr>
        <w:t xml:space="preserve">. There are a variety of different types of social media, including: </w:t>
      </w:r>
      <w:r>
        <w:rPr>
          <w:rFonts w:cs="Calibri"/>
          <w:i/>
          <w:iCs/>
        </w:rPr>
        <w:t>user-generated content</w:t>
      </w:r>
      <w:r>
        <w:rPr>
          <w:rFonts w:cs="Calibri"/>
        </w:rPr>
        <w:t xml:space="preserve"> (YouTube, TikTok etc.); </w:t>
      </w:r>
      <w:r>
        <w:rPr>
          <w:rFonts w:cs="Calibri"/>
          <w:i/>
          <w:iCs/>
        </w:rPr>
        <w:t>trading and marketing sites</w:t>
      </w:r>
      <w:r>
        <w:rPr>
          <w:rFonts w:cs="Calibri"/>
        </w:rPr>
        <w:t xml:space="preserve"> (Amazon, eBay etc.); </w:t>
      </w:r>
      <w:r>
        <w:rPr>
          <w:rFonts w:cs="Calibri"/>
          <w:i/>
          <w:iCs/>
        </w:rPr>
        <w:t>play and game sites</w:t>
      </w:r>
      <w:r>
        <w:rPr>
          <w:rFonts w:cs="Calibri"/>
        </w:rPr>
        <w:t xml:space="preserve"> (Farmville, Angry Birds etc.); and the focus of this research, </w:t>
      </w:r>
      <w:r>
        <w:rPr>
          <w:rFonts w:cs="Calibri"/>
          <w:i/>
          <w:iCs/>
        </w:rPr>
        <w:t>social networking sites</w:t>
      </w:r>
      <w:r>
        <w:rPr>
          <w:rFonts w:cs="Calibri"/>
        </w:rPr>
        <w:t xml:space="preserve"> </w:t>
      </w:r>
      <w:r>
        <w:rPr>
          <w:rFonts w:cs="Calibri"/>
          <w:i/>
          <w:iCs/>
        </w:rPr>
        <w:t>(SNS)</w:t>
      </w:r>
      <w:r>
        <w:rPr>
          <w:rFonts w:cs="Calibri"/>
        </w:rPr>
        <w:t xml:space="preserve">(Facebook, Twitter etc.) </w:t>
      </w:r>
      <w:r>
        <w:fldChar w:fldCharType="begin" w:fldLock="1"/>
      </w:r>
      <w:r w:rsidR="00D177B9">
        <w:rPr>
          <w:rFonts w:cs="Calibri"/>
        </w:rPr>
        <w:instrText>ADDIN CSL_CITATION {"citationItems":[{"id":"ITEM-1","itemData":{"DOI":"10.1093/acprof:oso/9780199970773.001.0001","ISBN":"9780199970780","abstract":"Social media penetrate our lives: Facebook, YouTube, Twitter and many other platforms define daily habits of communication and creative production. This book studies the rise of social media, providing both a historical and a critical analysis of the emergence of major platforms in the context of a rapidly changing ecosystem of connective media. Author Jose van Dijck offers an analytical prism that can be used to view techno-cultural as well as socio-economic aspects of this transformation as well as to examine shared ideological principles between major social media platforms. This fascinating study will appeal to all readers interested in social media. Summary reprinted by permission of Oxford University Press","author":[{"dropping-particle":"","family":"Dijck","given":"José","non-dropping-particle":"van","parse-names":false,"suffix":""}],"id":"ITEM-1","issued":{"date-parts":[["2013"]]},"number-of-pages":"ix-ix","publisher":"Oxford University Press","publisher-place":"Oxford","title":"The culture of connectivity: a critical history of social media","type":"book"},"uris":["http://www.mendeley.com/documents/?uuid=d317c79f-a1a2-4d3e-8078-f9c38331ecd0"]}],"mendeley":{"formattedCitation":"(van Dijck, 2013b)","plainTextFormattedCitation":"(van Dijck, 2013b)","previouslyFormattedCitation":"(van Dijck, 2013b)"},"properties":{"noteIndex":0},"schema":"https://github.com/citation-style-language/schema/raw/master/csl-citation.json"}</w:instrText>
      </w:r>
      <w:r>
        <w:rPr>
          <w:rFonts w:cs="Calibri"/>
        </w:rPr>
        <w:fldChar w:fldCharType="separate"/>
      </w:r>
      <w:r w:rsidR="00E37B0E" w:rsidRPr="00E37B0E">
        <w:rPr>
          <w:rFonts w:cs="Calibri"/>
          <w:noProof/>
        </w:rPr>
        <w:t>(van Dijck, 2013b)</w:t>
      </w:r>
      <w:r>
        <w:rPr>
          <w:rFonts w:cs="Calibri"/>
        </w:rPr>
        <w:fldChar w:fldCharType="end"/>
      </w:r>
      <w:r>
        <w:rPr>
          <w:rFonts w:cs="Calibri"/>
        </w:rPr>
        <w:t xml:space="preserve">. It is important to note that these are not mutually exclusive categories, with platforms such as Facebook encompassing multiple categories </w:t>
      </w:r>
      <w:r>
        <w:fldChar w:fldCharType="begin" w:fldLock="1"/>
      </w:r>
      <w:r w:rsidR="00D177B9">
        <w:rPr>
          <w:rFonts w:cs="Calibri"/>
        </w:rPr>
        <w:instrText>ADDIN CSL_CITATION {"citationItems":[{"id":"ITEM-1","itemData":{"DOI":"10.1093/acprof:oso/9780199970773.001.0001","ISBN":"9780199970780","abstract":"Social media penetrate our lives: Facebook, YouTube, Twitter and many other platforms define daily habits of communication and creative production. This book studies the rise of social media, providing both a historical and a critical analysis of the emergence of major platforms in the context of a rapidly changing ecosystem of connective media. Author Jose van Dijck offers an analytical prism that can be used to view techno-cultural as well as socio-economic aspects of this transformation as well as to examine shared ideological principles between major social media platforms. This fascinating study will appeal to all readers interested in social media. Summary reprinted by permission of Oxford University Press","author":[{"dropping-particle":"","family":"Dijck","given":"José","non-dropping-particle":"van","parse-names":false,"suffix":""}],"id":"ITEM-1","issued":{"date-parts":[["2013"]]},"number-of-pages":"ix-ix","publisher":"Oxford University Press","publisher-place":"Oxford","title":"The culture of connectivity: a critical history of social media","type":"book"},"uris":["http://www.mendeley.com/documents/?uuid=d317c79f-a1a2-4d3e-8078-f9c38331ecd0"]}],"mendeley":{"formattedCitation":"(van Dijck, 2013b)","plainTextFormattedCitation":"(van Dijck, 2013b)","previouslyFormattedCitation":"(van Dijck, 2013b)"},"properties":{"noteIndex":0},"schema":"https://github.com/citation-style-language/schema/raw/master/csl-citation.json"}</w:instrText>
      </w:r>
      <w:r>
        <w:rPr>
          <w:rFonts w:cs="Calibri"/>
        </w:rPr>
        <w:fldChar w:fldCharType="separate"/>
      </w:r>
      <w:r w:rsidR="00E37B0E" w:rsidRPr="00E37B0E">
        <w:rPr>
          <w:rFonts w:cs="Calibri"/>
          <w:noProof/>
        </w:rPr>
        <w:t>(van Dijck, 2013b)</w:t>
      </w:r>
      <w:r>
        <w:rPr>
          <w:rFonts w:cs="Calibri"/>
        </w:rPr>
        <w:fldChar w:fldCharType="end"/>
      </w:r>
      <w:r>
        <w:rPr>
          <w:rFonts w:cs="Calibri"/>
        </w:rPr>
        <w:t xml:space="preserve">. When people discuss social media, they are often referring to social networking sites; however, as this thesis focuses on the use of Twitter, a microblogging site, social media will be used throughout this document to encompass both SNS and social media platforms. </w:t>
      </w:r>
    </w:p>
    <w:p w14:paraId="0C93D5A6" w14:textId="77777777" w:rsidR="00787F73" w:rsidRDefault="00787F73" w:rsidP="00866155">
      <w:pPr>
        <w:rPr>
          <w:rFonts w:cs="Calibri"/>
        </w:rPr>
      </w:pPr>
    </w:p>
    <w:p w14:paraId="1E77F934" w14:textId="77777777" w:rsidR="00787F73" w:rsidRDefault="00742FB7" w:rsidP="00866155">
      <w:pPr>
        <w:rPr>
          <w:rFonts w:cs="Calibri"/>
        </w:rPr>
      </w:pPr>
      <w:r>
        <w:rPr>
          <w:rFonts w:cs="Calibri"/>
        </w:rPr>
        <w:t xml:space="preserve">Social media are created and designed in different ways, which enables varied levels of social presence and media richness, namely the platform’s ability to facilitate shared meaning and reduce ambiguity </w:t>
      </w:r>
      <w:r>
        <w:fldChar w:fldCharType="begin" w:fldLock="1"/>
      </w:r>
      <w:r>
        <w:rPr>
          <w:rFonts w:cs="Calibri"/>
        </w:rPr>
        <w:instrText>ADDIN CSL_CITATION {"citationItems":[{"id":"ITEM-1","itemData":{"DOI":"10.1111/j.1083-6101.2012.01576.x","ISBN":"9781479951178","ISSN":"10836101","PMID":"70260498","abstract":"The rapid diffusion of “microblogging” services such as Twitter is ushering in a new era of possibilities for organizations to communicate with and engage their core stakeholders and the general public. To enhance understanding of the communicative functions microblogging serves for organizations, this study examines the Twitter utilization practices of the 100 largest nonprofit organizations in the United States. The analysis reveals there are three key functions of microblogging updates—“information,”“community,” and “action.” Though the informational use of microblogging is extensive, nonprofit organizations are better at using Twitter to strategically engage their stakeholders via dialogic and community-building practices than they have been with traditional websites. The adoption of social media appears to have engendered new paradigms of public engagement.","author":[{"dropping-particle":"","family":"Lovejoy","given":"Kristen","non-dropping-particle":"","parse-names":false,"suffix":""},{"dropping-particle":"","family":"Saxton","given":"Gregory D.","non-dropping-particle":"","parse-names":false,"suffix":""}],"container-title":"Journal of Computer-Mediated Communication","id":"ITEM-1","issue":"3","issued":{"date-parts":[["2012"]]},"page":"337-353","title":"Information, Community, and Action: How Nonprofit Organizations Use Social Media","type":"article-journal","volume":"17"},"uris":["http://www.mendeley.com/documents/?uuid=c8f29530-1d1b-4e3b-a187-82347c23a928"]},{"id":"ITEM-2","itemData":{"DOI":"10.1016/j.bushor.2009.09.003","ISBN":"0007-6813","ISSN":"00076813","PMID":"45641953","abstract":"The concept of Social Media is top of the agenda for many business executives today. Decision makers, as well as consultants, try to identify ways in which firms can make profitable use of applications such as Wikipedia, YouTube, Facebook, Second Life, and Twitter. Yet despite this interest, there seems to be very limited understanding of what the term \"Social Media\" exactly means; this article intends to provide some clarification. We begin by describing the concept of Social Media, and discuss how it differs from related concepts such as Web 2.0 and User Generated Content. Based on this definition, we then provide a classification of Social Media which groups applications currently subsumed under the generalized term into more specific categories by characteristic: collaborative projects, blogs, content communities, social networking sites, virtual game worlds, and virtual social worlds. Finally, we present 10 pieces of advice for companies which decide to utilize Social Media. ?? 2009 Kelley School of Business, Indiana University.","author":[{"dropping-particle":"","family":"Kaplan","given":"Andreas M.","non-dropping-particle":"","parse-names":false,"suffix":""},{"dropping-particle":"","family":"Haenlein","given":"Michael","non-dropping-particle":"","parse-names":false,"suffix":""}],"container-title":"Business Horizons","id":"ITEM-2","issue":"1","issued":{"date-parts":[["2010"]]},"page":"59-68","title":"Users of the world, unite! The challenges and opportunities of Social Media","type":"article-journal","volume":"53"},"uris":["http://www.mendeley.com/documents/?uuid=d0bdc727-6a79-4193-ad8c-54a69800a870"]}],"mendeley":{"formattedCitation":"(Lovejoy &amp; Saxton, 2012; Kaplan &amp; Haenlein, 2010)","plainTextFormattedCitation":"(Lovejoy &amp; Saxton, 2012; Kaplan &amp; Haenlein, 2010)","previouslyFormattedCitation":"(Lovejoy &amp; Saxton, 2012; Kaplan &amp; Haenlein, 2010)"},"properties":{"noteIndex":0},"schema":"https://github.com/citation-style-language/schema/raw/master/csl-citation.json"}</w:instrText>
      </w:r>
      <w:r>
        <w:rPr>
          <w:rFonts w:cs="Calibri"/>
        </w:rPr>
        <w:fldChar w:fldCharType="separate"/>
      </w:r>
      <w:r>
        <w:rPr>
          <w:rFonts w:cs="Calibri"/>
          <w:noProof/>
        </w:rPr>
        <w:t>(Lovejoy &amp; Saxton, 2012; Kaplan &amp; Haenlein, 2010)</w:t>
      </w:r>
      <w:r>
        <w:rPr>
          <w:rFonts w:cs="Calibri"/>
        </w:rPr>
        <w:fldChar w:fldCharType="end"/>
      </w:r>
      <w:r>
        <w:rPr>
          <w:rFonts w:cs="Calibri"/>
        </w:rPr>
        <w:t xml:space="preserve">. This influences the levels of self-presentation and self-disclosure, all of which impact how users engage with the platform and their fellow users, and can impact on their wellbeing due to focusing on what to post from their lives </w:t>
      </w:r>
      <w:r>
        <w:fldChar w:fldCharType="begin" w:fldLock="1"/>
      </w:r>
      <w:r w:rsidR="00974B75">
        <w:rPr>
          <w:rFonts w:cs="Calibri"/>
        </w:rPr>
        <w:instrText>ADDIN CSL_CITATION {"citationItems":[{"id":"ITEM-1","itemData":{"DOI":"10.1016/j.bushor.2009.09.003","ISBN":"0007-6813","ISSN":"00076813","PMID":"45641953","abstract":"The concept of Social Media is top of the agenda for many business executives today. Decision makers, as well as consultants, try to identify ways in which firms can make profitable use of applications such as Wikipedia, YouTube, Facebook, Second Life, and Twitter. Yet despite this interest, there seems to be very limited understanding of what the term \"Social Media\" exactly means; this article intends to provide some clarification. We begin by describing the concept of Social Media, and discuss how it differs from related concepts such as Web 2.0 and User Generated Content. Based on this definition, we then provide a classification of Social Media which groups applications currently subsumed under the generalized term into more specific categories by characteristic: collaborative projects, blogs, content communities, social networking sites, virtual game worlds, and virtual social worlds. Finally, we present 10 pieces of advice for companies which decide to utilize Social Media. ?? 2009 Kelley School of Business, Indiana University.","author":[{"dropping-particle":"","family":"Kaplan","given":"Andreas M.","non-dropping-particle":"","parse-names":false,"suffix":""},{"dropping-particle":"","family":"Haenlein","given":"Michael","non-dropping-particle":"","parse-names":false,"suffix":""}],"container-title":"Business Horizons","id":"ITEM-1","issue":"1","issued":{"date-parts":[["2010"]]},"page":"59-68","title":"Users of the world, unite! The challenges and opportunities of Social Media","type":"article-journal","volume":"53"},"uris":["http://www.mendeley.com/documents/?uuid=d0bdc727-6a79-4193-ad8c-54a69800a870"]},{"id":"ITEM-2","itemData":{"author":[{"dropping-particle":"","family":"Schlosser","given":"Ann E","non-dropping-particle":"","parse-names":false,"suffix":""}],"container-title":"Current Opinion in Psychology","id":"ITEM-2","issued":{"date-parts":[["2020"]]},"page":"1-6","title":"Self-disclosure versus self-presentation on social media","type":"article-journal","volume":"31"},"uris":["http://www.mendeley.com/documents/?uuid=0db5e318-e96b-436b-856d-e0800d5bcb4a"]}],"mendeley":{"formattedCitation":"(Schlosser, 2020; Kaplan &amp; Haenlein, 2010)","plainTextFormattedCitation":"(Schlosser, 2020; Kaplan &amp; Haenlein, 2010)","previouslyFormattedCitation":"(Schlosser, 2020; Kaplan &amp; Haenlein, 2010)"},"properties":{"noteIndex":0},"schema":"https://github.com/citation-style-language/schema/raw/master/csl-citation.json"}</w:instrText>
      </w:r>
      <w:r>
        <w:rPr>
          <w:rFonts w:cs="Calibri"/>
        </w:rPr>
        <w:fldChar w:fldCharType="separate"/>
      </w:r>
      <w:r>
        <w:rPr>
          <w:rFonts w:cs="Calibri"/>
          <w:noProof/>
        </w:rPr>
        <w:t>(Schlosser, 2020; Kaplan &amp; Haenlein, 2010)</w:t>
      </w:r>
      <w:r>
        <w:rPr>
          <w:rFonts w:cs="Calibri"/>
        </w:rPr>
        <w:fldChar w:fldCharType="end"/>
      </w:r>
      <w:r>
        <w:rPr>
          <w:rFonts w:cs="Calibri"/>
        </w:rPr>
        <w:t xml:space="preserve">. This means that organisations like SYFR can choose different platforms based on the interactions they aim to have with their followers. However, before exploring how social media can be </w:t>
      </w:r>
      <w:r>
        <w:rPr>
          <w:rFonts w:cs="Calibri"/>
        </w:rPr>
        <w:lastRenderedPageBreak/>
        <w:t xml:space="preserve">used, there needs to be a discussion of who is online and who is not; this is known as the digital divide.  </w:t>
      </w:r>
    </w:p>
    <w:p w14:paraId="1B4E9F6F" w14:textId="77777777" w:rsidR="00B97CA3" w:rsidRDefault="00B97CA3" w:rsidP="00866155"/>
    <w:p w14:paraId="452DCD74" w14:textId="77777777" w:rsidR="00787F73" w:rsidRDefault="00742FB7" w:rsidP="00866155">
      <w:pPr>
        <w:pStyle w:val="Heading3"/>
      </w:pPr>
      <w:bookmarkStart w:id="413" w:name="_Toc153554324"/>
      <w:bookmarkStart w:id="414" w:name="_Toc22633733"/>
      <w:bookmarkStart w:id="415" w:name="_Toc10621097"/>
      <w:bookmarkStart w:id="416" w:name="_Toc523850276"/>
      <w:bookmarkStart w:id="417" w:name="_Toc140071605"/>
      <w:bookmarkStart w:id="418" w:name="_Toc93336023"/>
      <w:bookmarkStart w:id="419" w:name="_Toc98148364"/>
      <w:bookmarkStart w:id="420" w:name="_Toc158823565"/>
      <w:bookmarkStart w:id="421" w:name="_Toc523750415"/>
      <w:bookmarkStart w:id="422" w:name="_Toc522884867"/>
      <w:bookmarkStart w:id="423" w:name="_Toc193367206"/>
      <w:r>
        <w:rPr>
          <w:rFonts w:ascii="Calibri" w:hAnsi="Calibri" w:cs="Calibri"/>
        </w:rPr>
        <w:t>2.5.3: Digital Divide</w:t>
      </w:r>
      <w:bookmarkEnd w:id="413"/>
      <w:bookmarkEnd w:id="414"/>
      <w:bookmarkEnd w:id="415"/>
      <w:bookmarkEnd w:id="416"/>
      <w:bookmarkEnd w:id="417"/>
      <w:bookmarkEnd w:id="418"/>
      <w:bookmarkEnd w:id="419"/>
      <w:bookmarkEnd w:id="420"/>
      <w:bookmarkEnd w:id="421"/>
      <w:bookmarkEnd w:id="422"/>
      <w:bookmarkEnd w:id="423"/>
    </w:p>
    <w:p w14:paraId="092FBF79" w14:textId="5A631D92" w:rsidR="00787F73" w:rsidRDefault="008F6607" w:rsidP="00866155">
      <w:r>
        <w:rPr>
          <w:rFonts w:cs="Calibri"/>
        </w:rPr>
        <w:t xml:space="preserve">The digital divide is a concept </w:t>
      </w:r>
      <w:r w:rsidR="000D66C3">
        <w:rPr>
          <w:rFonts w:cs="Calibri"/>
        </w:rPr>
        <w:t>that</w:t>
      </w:r>
      <w:r>
        <w:rPr>
          <w:rFonts w:cs="Calibri"/>
        </w:rPr>
        <w:t xml:space="preserve"> is challenging to define, with authors noting that the term creates “more confusion than clarification” </w:t>
      </w:r>
      <w:r>
        <w:rPr>
          <w:rFonts w:cs="Calibri"/>
        </w:rPr>
        <w:fldChar w:fldCharType="begin" w:fldLock="1"/>
      </w:r>
      <w:r w:rsidR="006E3C33">
        <w:rPr>
          <w:rFonts w:cs="Calibri"/>
        </w:rPr>
        <w:instrText>ADDIN CSL_CITATION {"citationItems":[{"id":"ITEM-1","itemData":{"DOI":"10.1016/j.poetic.2006.05.004","abstract":"From the end of the 1990s onwards the digital divide, commonly defined as the gap between those who have and do not have access to computers and the Internet, has been a central issue on the scholarly and political agenda of new media development. This article makes an inventory of 5 years of digital divide research (2000–2005). The article focuses on three questions. (1) To what type of inequality does the digital divide concept refer? (2) What is new about the inequality of access to and use of ICTs as compared to other scarce material and immaterial resources? (3) Do new types of inequality exist or rise in the information society? The results of digital divide research are classified under four successive types of access: motivational, physical, skills and usage. A shift of attention from physical access to skills and usage is observed. In terms of physical access the divide seems to be closing in the most developed countries; concerning digital skills and the use of applications the divide persists or widens. Among the shortcomings of digital divide research are its lack of theory, conceptual definition, interdisciplinary approach, qualitative research and longitudinal research. #","author":[{"dropping-particle":"","family":"Dijk","given":"Jan A G M","non-dropping-particle":"van","parse-names":false,"suffix":""}],"container-title":"Poetics","id":"ITEM-1","issue":"4-5","issued":{"date-parts":[["2006"]]},"page":"221 - 235","title":"Digital divide research, achievements and shortcomings","type":"article-journal","volume":"34"},"locator":"222","uris":["http://www.mendeley.com/documents/?uuid=81626349-ddbe-3702-8994-c9efb377b397"]}],"mendeley":{"formattedCitation":"(van Dijk, 2006, p. 222)","plainTextFormattedCitation":"(van Dijk, 2006, p. 222)","previouslyFormattedCitation":"(van Dijk, 2006, p. 222)"},"properties":{"noteIndex":0},"schema":"https://github.com/citation-style-language/schema/raw/master/csl-citation.json"}</w:instrText>
      </w:r>
      <w:r>
        <w:rPr>
          <w:rFonts w:cs="Calibri"/>
        </w:rPr>
        <w:fldChar w:fldCharType="separate"/>
      </w:r>
      <w:r w:rsidRPr="008F6607">
        <w:rPr>
          <w:rFonts w:cs="Calibri"/>
          <w:noProof/>
        </w:rPr>
        <w:t>(van Dijk, 2006, p. 222)</w:t>
      </w:r>
      <w:r>
        <w:rPr>
          <w:rFonts w:cs="Calibri"/>
        </w:rPr>
        <w:fldChar w:fldCharType="end"/>
      </w:r>
      <w:r>
        <w:rPr>
          <w:rFonts w:cs="Calibri"/>
        </w:rPr>
        <w:t xml:space="preserve">. The term </w:t>
      </w:r>
      <w:r>
        <w:rPr>
          <w:rFonts w:cs="Calibri"/>
          <w:i/>
          <w:iCs/>
        </w:rPr>
        <w:t>digital divide</w:t>
      </w:r>
      <w:r>
        <w:rPr>
          <w:rFonts w:cs="Calibri"/>
        </w:rPr>
        <w:t xml:space="preserve"> was first coined in the 1990s to describe the gap between those who had access to computers and technology and those who did not have access; this created a binary definition of the digital divide, of the </w:t>
      </w:r>
      <w:r w:rsidRPr="00A0151B">
        <w:rPr>
          <w:rFonts w:cs="Calibri"/>
          <w:i/>
          <w:iCs/>
        </w:rPr>
        <w:t>haves</w:t>
      </w:r>
      <w:r>
        <w:rPr>
          <w:rFonts w:cs="Calibri"/>
        </w:rPr>
        <w:t xml:space="preserve"> and the </w:t>
      </w:r>
      <w:r w:rsidRPr="00A0151B">
        <w:rPr>
          <w:rFonts w:cs="Calibri"/>
          <w:i/>
          <w:iCs/>
        </w:rPr>
        <w:t>have-nots</w:t>
      </w:r>
      <w:r>
        <w:rPr>
          <w:rFonts w:cs="Calibri"/>
        </w:rPr>
        <w:t xml:space="preserve"> </w:t>
      </w:r>
      <w:r>
        <w:fldChar w:fldCharType="begin" w:fldLock="1"/>
      </w:r>
      <w:r w:rsidR="00974B75">
        <w:rPr>
          <w:rFonts w:cs="Calibri"/>
        </w:rPr>
        <w:instrText>ADDIN CSL_CITATION {"citationItems":[{"id":"ITEM-1","itemData":{"DOI":"10.1016/j.poetic.2006.05.004","abstract":"From the end of the 1990s onwards the digital divide, commonly defined as the gap between those who have and do not have access to computers and the Internet, has been a central issue on the scholarly and political agenda of new media development. This article makes an inventory of 5 years of digital divide research (2000–2005). The article focuses on three questions. (1) To what type of inequality does the digital divide concept refer? (2) What is new about the inequality of access to and use of ICTs as compared to other scarce material and immaterial resources? (3) Do new types of inequality exist or rise in the information society? The results of digital divide research are classified under four successive types of access: motivational, physical, skills and usage. A shift of attention from physical access to skills and usage is observed. In terms of physical access the divide seems to be closing in the most developed countries; concerning digital skills and the use of applications the divide persists or widens. Among the shortcomings of digital divide research are its lack of theory, conceptual definition, interdisciplinary approach, qualitative research and longitudinal research. #","author":[{"dropping-particle":"","family":"Dijk","given":"Jan A G M","non-dropping-particle":"van","parse-names":false,"suffix":""}],"container-title":"Poetics","id":"ITEM-1","issue":"4-5","issued":{"date-parts":[["2006"]]},"page":"221 - 235","title":"Digital divide research, achievements and shortcomings","type":"article-journal","volume":"34"},"uris":["http://www.mendeley.com/documents/?uuid=81626349-ddbe-3702-8994-c9efb377b397"]},{"id":"ITEM-2","itemData":{"DOI":"10.1177/1461444810386774","abstract":"Because of the growing amount of information on the internet and people's increasing dependence on information, internet skills should be considered as a vital resource in contemporary society. This article focuses on the differential possession of internet skills among the Dutch population. In two studies, an in-depth range of internet skills are measured by charging subjects assignments to be accomplished on the internet. Subjects were recruited by applying a random stratified sampling method over gender, age, and education. While the level of operational and formal internet skills appeared quite high, the level of information and strategic internet skills is questionable. Whereas education appeared an important contributor to all skill levels, age only appeared a significant contributor to operational and formal skills. The results strengthen the findings that the original digital divide of physical internet access has evolved into a divide that includes differences in skills to use the internet.","author":[{"dropping-particle":"","family":"Deursen","given":"Alexander","non-dropping-particle":"van","parse-names":false,"suffix":""},{"dropping-particle":"","family":"Dijk","given":"Jan","non-dropping-particle":"van","parse-names":false,"suffix":""}],"container-title":"New Media &amp; Society","id":"ITEM-2","issue":"6","issued":{"date-parts":[["2010"]]},"page":"893 - 911","title":"Internet skills and the digital divide","type":"article-journal","volume":"13"},"uris":["http://www.mendeley.com/documents/?uuid=4ab52788-a677-3403-95f9-543bd1f5b973"]},{"id":"ITEM-3","itemData":{"DOI":"10.1007/s13753-022-00399-1","ISSN":"21926395","abstract":"This study examined the propensity of social media use by underserved communities by drawing on the literature on the digital divide and attribution theory. Specifically, this research explored the factors that can influence the use of social media for disaster management. The study used survey methodology to collect data and partial least squares structural equation modeling (PLS-SEM) to analyze the data and test the hypotheses. The results of the study indicate: (1) that the propensity of social media use for disaster management is low for underserved communities; (2) a positive relationship between an individual’s effort and the intention to use social media for disaster management; and (3) a negative relationship between task difficulty and the intention to use social media for disaster management. The study expanded the literature on the use of social media in disaster management. The article also provides both theoretical and practical implications.","author":[{"dropping-particle":"","family":"Ramakrishnan","given":"Thiagarajan","non-dropping-particle":"","parse-names":false,"suffix":""},{"dropping-particle":"","family":"Ngamassi","given":"Louis","non-dropping-particle":"","parse-names":false,"suffix":""},{"dropping-particle":"","family":"Rahman","given":"Shahedur","non-dropping-particle":"","parse-names":false,"suffix":""}],"container-title":"International Journal of Disaster Risk Science","id":"ITEM-3","issued":{"date-parts":[["2022"]]},"page":"52-65","title":"Examining the Factors that Influence the Use of Social Media for Disaster Management by Underserved Communities","type":"article-journal","volume":"13"},"uris":["http://www.mendeley.com/documents/?uuid=78f79e65-57eb-4b0f-a3c9-31e43d9f8e7c"]}],"mendeley":{"formattedCitation":"(Ramakrishnan, Ngamassi, &amp; Rahman, 2022; van Deursen &amp; van Dijk, 2010; van Dijk, 2006)","plainTextFormattedCitation":"(Ramakrishnan, Ngamassi, &amp; Rahman, 2022; van Deursen &amp; van Dijk, 2010; van Dijk, 2006)","previouslyFormattedCitation":"(Ramakrishnan, Ngamassi, &amp; Rahman, 2022; van Deursen &amp; van Dijk, 2010; van Dijk, 2006)"},"properties":{"noteIndex":0},"schema":"https://github.com/citation-style-language/schema/raw/master/csl-citation.json"}</w:instrText>
      </w:r>
      <w:r>
        <w:rPr>
          <w:rFonts w:cs="Calibri"/>
        </w:rPr>
        <w:fldChar w:fldCharType="separate"/>
      </w:r>
      <w:r>
        <w:rPr>
          <w:rFonts w:cs="Calibri"/>
          <w:noProof/>
        </w:rPr>
        <w:t>(Ramakrishnan, Ngamassi, &amp; Rahman, 2022; van Deursen &amp; van Dijk, 2010; van Dijk, 2006)</w:t>
      </w:r>
      <w:r>
        <w:rPr>
          <w:rFonts w:cs="Calibri"/>
        </w:rPr>
        <w:fldChar w:fldCharType="end"/>
      </w:r>
      <w:r>
        <w:rPr>
          <w:rFonts w:cs="Calibri"/>
        </w:rPr>
        <w:t>. Over the subsequent years</w:t>
      </w:r>
      <w:r w:rsidR="008D4A61">
        <w:rPr>
          <w:rFonts w:cs="Calibri"/>
        </w:rPr>
        <w:t>,</w:t>
      </w:r>
      <w:r>
        <w:rPr>
          <w:rFonts w:cs="Calibri"/>
        </w:rPr>
        <w:t xml:space="preserve"> there was an increase in the market for cheaper alternatives and improvement to infrastructure, which reduced this initial divide in terms of access. This required a renewed conception of the divide and the introduction of different levels to the digital divide. It was acknowled</w:t>
      </w:r>
      <w:r w:rsidR="000D66C3">
        <w:rPr>
          <w:rFonts w:cs="Calibri"/>
        </w:rPr>
        <w:t xml:space="preserve">ged </w:t>
      </w:r>
      <w:r>
        <w:rPr>
          <w:rFonts w:cs="Calibri"/>
        </w:rPr>
        <w:t xml:space="preserve">that there was a first level to the divide, which focused on </w:t>
      </w:r>
      <w:r w:rsidRPr="00A0151B">
        <w:rPr>
          <w:rFonts w:cs="Calibri"/>
          <w:i/>
          <w:iCs/>
        </w:rPr>
        <w:t>access</w:t>
      </w:r>
      <w:r>
        <w:rPr>
          <w:rFonts w:cs="Calibri"/>
          <w:i/>
          <w:iCs/>
        </w:rPr>
        <w:t>.</w:t>
      </w:r>
      <w:r>
        <w:rPr>
          <w:rFonts w:cs="Calibri"/>
        </w:rPr>
        <w:t xml:space="preserve"> This was then expanded to include the second level of the digital divide, exploring the skills and knowledge needed to engage online </w:t>
      </w:r>
      <w:r>
        <w:fldChar w:fldCharType="begin" w:fldLock="1"/>
      </w:r>
      <w:r w:rsidR="00974B75">
        <w:rPr>
          <w:rFonts w:cs="Calibri"/>
        </w:rPr>
        <w:instrText>ADDIN CSL_CITATION {"citationItems":[{"id":"ITEM-1","itemData":{"DOI":"10.1177/1461444810386774","abstract":"Because of the growing amount of information on the internet and people's increasing dependence on information, internet skills should be considered as a vital resource in contemporary society. This article focuses on the differential possession of internet skills among the Dutch population. In two studies, an in-depth range of internet skills are measured by charging subjects assignments to be accomplished on the internet. Subjects were recruited by applying a random stratified sampling method over gender, age, and education. While the level of operational and formal internet skills appeared quite high, the level of information and strategic internet skills is questionable. Whereas education appeared an important contributor to all skill levels, age only appeared a significant contributor to operational and formal skills. The results strengthen the findings that the original digital divide of physical internet access has evolved into a divide that includes differences in skills to use the internet.","author":[{"dropping-particle":"","family":"Deursen","given":"Alexander","non-dropping-particle":"van","parse-names":false,"suffix":""},{"dropping-particle":"","family":"Dijk","given":"Jan","non-dropping-particle":"van","parse-names":false,"suffix":""}],"container-title":"New Media &amp; Society","id":"ITEM-1","issue":"6","issued":{"date-parts":[["2010"]]},"page":"893 - 911","title":"Internet skills and the digital divide","type":"article-journal","volume":"13"},"uris":["http://www.mendeley.com/documents/?uuid=4ab52788-a677-3403-95f9-543bd1f5b973"]},{"id":"ITEM-2","itemData":{"DOI":"10.1080/1369118X.2015.1084023","ISSN":"14684462","abstract":"ABSTRACTBased on the idea that Internet use can be conceptualized in terms of depth (frequency) and width (differentiated) uses of the Web, this study explored how socio-demographic factors and digital skills are related to frequency and types of Facebook use among young adults. It used a face-to-face representative survey conducted in the three main urban areas of Chile among a sample of 18-to 29-year olds. The results found that men and more educated young people had higher levels of skills, confirming that the so-called ‘digital natives’ are not a monolithic group. They also revealed that digital skills did not predict frequency of Facebook use. Furthermore, lower educated young people tended to use Facebook more frequently. Although these results go against the long-established digital divide research, traditional digital gaps emerged when types of use were analyzed. While more educated and skillful individuals tended to use Facebook for informational and mobilizing purposes, socio-demographic factors...","author":[{"dropping-particle":"","family":"Correa","given":"Teresa","non-dropping-particle":"","parse-names":false,"suffix":""}],"container-title":"Information Communication and Society","id":"ITEM-2","issue":"8","issued":{"date-parts":[["2016"]]},"page":"1095-1107","title":"Digital skills and social media use: how Internet skills are related to different types of Facebook use among ‘digital natives’","type":"article-journal","volume":"19"},"uris":["http://www.mendeley.com/documents/?uuid=487b665a-3545-479d-8afb-aa5e78296f9d"]},{"id":"ITEM-3","itemData":{"DOI":"10.1007/s13753-022-00399-1","ISSN":"21926395","abstract":"This study examined the propensity of social media use by underserved communities by drawing on the literature on the digital divide and attribution theory. Specifically, this research explored the factors that can influence the use of social media for disaster management. The study used survey methodology to collect data and partial least squares structural equation modeling (PLS-SEM) to analyze the data and test the hypotheses. The results of the study indicate: (1) that the propensity of social media use for disaster management is low for underserved communities; (2) a positive relationship between an individual’s effort and the intention to use social media for disaster management; and (3) a negative relationship between task difficulty and the intention to use social media for disaster management. The study expanded the literature on the use of social media in disaster management. The article also provides both theoretical and practical implications.","author":[{"dropping-particle":"","family":"Ramakrishnan","given":"Thiagarajan","non-dropping-particle":"","parse-names":false,"suffix":""},{"dropping-particle":"","family":"Ngamassi","given":"Louis","non-dropping-particle":"","parse-names":false,"suffix":""},{"dropping-particle":"","family":"Rahman","given":"Shahedur","non-dropping-particle":"","parse-names":false,"suffix":""}],"container-title":"International Journal of Disaster Risk Science","id":"ITEM-3","issued":{"date-parts":[["2022"]]},"page":"52-65","title":"Examining the Factors that Influence the Use of Social Media for Disaster Management by Underserved Communities","type":"article-journal","volume":"13"},"uris":["http://www.mendeley.com/documents/?uuid=78f79e65-57eb-4b0f-a3c9-31e43d9f8e7c"]}],"mendeley":{"formattedCitation":"(Ramakrishnan, Ngamassi, &amp; Rahman, 2022; Correa, 2016; van Deursen &amp; van Dijk, 2010)","plainTextFormattedCitation":"(Ramakrishnan, Ngamassi, &amp; Rahman, 2022; Correa, 2016; van Deursen &amp; van Dijk, 2010)","previouslyFormattedCitation":"(Ramakrishnan, Ngamassi, &amp; Rahman, 2022; Correa, 2016; van Deursen &amp; van Dijk, 2010)"},"properties":{"noteIndex":0},"schema":"https://github.com/citation-style-language/schema/raw/master/csl-citation.json"}</w:instrText>
      </w:r>
      <w:r>
        <w:rPr>
          <w:rFonts w:cs="Calibri"/>
        </w:rPr>
        <w:fldChar w:fldCharType="separate"/>
      </w:r>
      <w:r>
        <w:rPr>
          <w:rFonts w:cs="Calibri"/>
          <w:noProof/>
        </w:rPr>
        <w:t>(Ramakrishnan, Ngamassi, &amp; Rahman, 2022; Correa, 2016; van Deursen &amp; van Dijk, 2010)</w:t>
      </w:r>
      <w:r>
        <w:rPr>
          <w:rFonts w:cs="Calibri"/>
        </w:rPr>
        <w:fldChar w:fldCharType="end"/>
      </w:r>
      <w:r>
        <w:rPr>
          <w:rFonts w:cs="Calibri"/>
        </w:rPr>
        <w:t xml:space="preserve">. This second level has been divided further into internet skills categories: operational, the basic skills needed to operate the technology; formal, the skills required for navigation and orientation; information, the skills to fulfil their needs; and strategic, how they use the internet to reach goals. These categories can be viewed as sequential and enable the divide to be viewed as a process </w:t>
      </w:r>
      <w:r>
        <w:fldChar w:fldCharType="begin" w:fldLock="1"/>
      </w:r>
      <w:r>
        <w:rPr>
          <w:rFonts w:cs="Calibri"/>
        </w:rPr>
        <w:instrText>ADDIN CSL_CITATION {"citationItems":[{"id":"ITEM-1","itemData":{"DOI":"10.1177/1461444810386774","abstract":"Because of the growing amount of information on the internet and people's increasing dependence on information, internet skills should be considered as a vital resource in contemporary society. This article focuses on the differential possession of internet skills among the Dutch population. In two studies, an in-depth range of internet skills are measured by charging subjects assignments to be accomplished on the internet. Subjects were recruited by applying a random stratified sampling method over gender, age, and education. While the level of operational and formal internet skills appeared quite high, the level of information and strategic internet skills is questionable. Whereas education appeared an important contributor to all skill levels, age only appeared a significant contributor to operational and formal skills. The results strengthen the findings that the original digital divide of physical internet access has evolved into a divide that includes differences in skills to use the internet.","author":[{"dropping-particle":"","family":"Deursen","given":"Alexander","non-dropping-particle":"van","parse-names":false,"suffix":""},{"dropping-particle":"","family":"Dijk","given":"Jan","non-dropping-particle":"van","parse-names":false,"suffix":""}],"container-title":"New Media &amp; Society","id":"ITEM-1","issue":"6","issued":{"date-parts":[["2010"]]},"page":"893 - 911","title":"Internet skills and the digital divide","type":"article-journal","volume":"13"},"uris":["http://www.mendeley.com/documents/?uuid=4ab52788-a677-3403-95f9-543bd1f5b973"]},{"id":"ITEM-2","itemData":{"DOI":"10.1080/1369118X.2017.1353640","ISSN":"14684462","abstract":"Researchers on digital divides have identified demographic and attitudinal factors associated with inequalities in access, skills, and patterns of Internet use, primarily around age, income, and education. While attitudes and values of Internet users and non-users have been studied over the years, they have rarely been used to identify broader ‘cultures of the Internet’ and their role in shaping digital divides. This paper builds on research in Britain, which focused on patterns of attitudes underpinning Internet cultures, to explore the degree that similar or distinctive cultures have developed in the USA, and whether and how they are useful in explaining digital divides. This study utilizes original data drawn from a 2016 telephone survey of residents across the State of Michigan that adapts survey items and methods from the Oxford Internet Survey (OxIS) of Britain. Based on these survey responses, the paper identifies and describes the cultures of the Internet among Michigan residents, as an exploratory case of the US as a whole, and shows how these cultures shape digital divides in Internet and social media use across this one American state. The robustness and explanatory power of these explorations of Internet cultures argues for further research on the United States and other nations.","author":[{"dropping-particle":"","family":"Dutton","given":"William H.","non-dropping-particle":"","parse-names":false,"suffix":""},{"dropping-particle":"","family":"Reisdorf","given":"Bianca C.","non-dropping-particle":"","parse-names":false,"suffix":""}],"container-title":"Information Communication and Society","id":"ITEM-2","issue":"1","issued":{"date-parts":[["2019"]]},"page":"18-38","title":"Cultural divides and digital inequalities: attitudes shaping Internet and social media divides","type":"article-journal","volume":"22"},"uris":["http://www.mendeley.com/documents/?uuid=129e5c56-5f9d-4f4f-9f23-28ff3433f44b"]},{"id":"ITEM-3","itemData":{"DOI":"10.1080/1369118X.2015.1084023","ISSN":"14684462","abstract":"ABSTRACTBased on the idea that Internet use can be conceptualized in terms of depth (frequency) and width (differentiated) uses of the Web, this study explored how socio-demographic factors and digital skills are related to frequency and types of Facebook use among young adults. It used a face-to-face representative survey conducted in the three main urban areas of Chile among a sample of 18-to 29-year olds. The results found that men and more educated young people had higher levels of skills, confirming that the so-called ‘digital natives’ are not a monolithic group. They also revealed that digital skills did not predict frequency of Facebook use. Furthermore, lower educated young people tended to use Facebook more frequently. Although these results go against the long-established digital divide research, traditional digital gaps emerged when types of use were analyzed. While more educated and skillful individuals tended to use Facebook for informational and mobilizing purposes, socio-demographic factors...","author":[{"dropping-particle":"","family":"Correa","given":"Teresa","non-dropping-particle":"","parse-names":false,"suffix":""}],"container-title":"Information Communication and Society","id":"ITEM-3","issue":"8","issued":{"date-parts":[["2016"]]},"page":"1095-1107","title":"Digital skills and social media use: how Internet skills are related to different types of Facebook use among ‘digital natives’","type":"article-journal","volume":"19"},"uris":["http://www.mendeley.com/documents/?uuid=487b665a-3545-479d-8afb-aa5e78296f9d"]}],"mendeley":{"formattedCitation":"(Dutton &amp; Reisdorf, 2019; Correa, 2016; van Deursen &amp; van Dijk, 2010)","plainTextFormattedCitation":"(Dutton &amp; Reisdorf, 2019; Correa, 2016; van Deursen &amp; van Dijk, 2010)","previouslyFormattedCitation":"(Dutton &amp; Reisdorf, 2019; Correa, 2016; van Deursen &amp; van Dijk, 2010)"},"properties":{"noteIndex":0},"schema":"https://github.com/citation-style-language/schema/raw/master/csl-citation.json"}</w:instrText>
      </w:r>
      <w:r>
        <w:rPr>
          <w:rFonts w:cs="Calibri"/>
        </w:rPr>
        <w:fldChar w:fldCharType="separate"/>
      </w:r>
      <w:r>
        <w:rPr>
          <w:rFonts w:cs="Calibri"/>
          <w:noProof/>
        </w:rPr>
        <w:t>(Dutton &amp; Reisdorf, 2019; Correa, 2016; van Deursen &amp; van Dijk, 2010)</w:t>
      </w:r>
      <w:r>
        <w:rPr>
          <w:rFonts w:cs="Calibri"/>
        </w:rPr>
        <w:fldChar w:fldCharType="end"/>
      </w:r>
      <w:r>
        <w:rPr>
          <w:rFonts w:cs="Calibri"/>
        </w:rPr>
        <w:t xml:space="preserve">. There is now a growing discussion of a third level within the divide, exploring whether the user experiences positive consequences or tangible outcomes of engaging online, such as the ability to move activities online, such as work, shopping or socialising </w:t>
      </w:r>
      <w:r>
        <w:fldChar w:fldCharType="begin" w:fldLock="1"/>
      </w:r>
      <w:r w:rsidR="00974B75">
        <w:rPr>
          <w:rFonts w:cs="Calibri"/>
        </w:rPr>
        <w:instrText>ADDIN CSL_CITATION {"citationItems":[{"id":"ITEM-1","itemData":{"DOI":"10.1016/j.techfore.2021.121359","ISSN":"00401625","abstract":"This article provides a systematic review of the digital divide, a phenomenon which refers to disparities in Information and Communications Technology access, usage, and outcomes. It uniquely identifies the factors affecting the digital divide that have emerged in recent years (2017–2021) as well as investigate if there are new forms or levels of the divide that have surfaced in recent literature. The findings, based on 50 included studies, show that the factors affecting the digital divide can be classified into three different segments and nine main categories: sociodemographic, socioeconomic, personal elements, social support, type of technology, digital training, rights, infrastructure, and large-scale events. Out of all factors, education has been linked to the digital divide the most. The majority of recent literature have studied Level 2 of the divide. Also, only one article in the sample has considered the digital divide at the firm level. Findings also show that a new form, type-of-internet access, and two potential new levels of the digital divide, algorithmic awareness and data inequalities, have been identified in the contemporary literature. The results contribute to the understanding and development of the different perspectives of the digital divide concept. They also contribute to the stream of literature on the determinants of the divide and to the social inequalities and digital inclusion literature. This review can be seen as a guide for managers to realize and understand the forms that the divide can take and to delve into their organizational capabilities on the digitalization front and evaluate where further development is needed within their organizations to help diminish the divide.","author":[{"dropping-particle":"","family":"Lythreatis","given":"Sophie","non-dropping-particle":"","parse-names":false,"suffix":""},{"dropping-particle":"","family":"Singh","given":"Sanjay Kumar","non-dropping-particle":"","parse-names":false,"suffix":""},{"dropping-particle":"","family":"El-Kassar","given":"Abdul Nasser","non-dropping-particle":"","parse-names":false,"suffix":""}],"container-title":"Technological Forecasting and Social Change","id":"ITEM-1","issued":{"date-parts":[["2022"]]},"page":"1 - 11","title":"The digital divide: A review and future research agenda","type":"article-journal","volume":"175"},"uris":["http://www.mendeley.com/documents/?uuid=cfa3e6e0-9ee3-4543-abe0-b95d170da6de"]},{"id":"ITEM-2","itemData":{"DOI":"10.1016/j.diggeo.2022.100041","ISSN":"26663783","abstract":"Digital exclusion and poverty are understood to be closely linked, and existing literature on the topic makes clear that the contexts of people's lives shape their experiences of digital exclusion in important ways. Indeed, the online and offline aspects of life are in many regards inextricable. As such, this paper focuses on the complex relationship between digital exclusion and poverty, and examines how a range of spatial, material, and temporal factors related to experiences of poverty shape opportunities to use the internet. Drawing upon qualitative data from interviews with coaches and participants in a programme which seeks to help low-income people find work, manage their money, and get online, the paper traces several key ways in which different aspects of poverty – including housing inequality – coalesce to shape experiences of digital exclusion. In doing so, the paper argues that examining the ways in which these seemingly offline aspects of poverty affect opportunities to use the internet provides an opportunity to enhance understandings of exactly how digital exclusion is manifested for those experiencing poverty.","author":[{"dropping-particle":"","family":"Holmes","given":"Hannah","non-dropping-particle":"","parse-names":false,"suffix":""},{"dropping-particle":"","family":"Burgess","given":"Gemma","non-dropping-particle":"","parse-names":false,"suffix":""}],"container-title":"Digital Geography and Society","id":"ITEM-2","issued":{"date-parts":[["2022"]]},"page":"1-9","title":"Digital exclusion and poverty in the UK: How structural inequality shapes experiences of getting online","type":"article-journal","volume":"3"},"uris":["http://www.mendeley.com/documents/?uuid=a5d72ba4-5729-45de-a51e-ca85c70c5384"]}],"mendeley":{"formattedCitation":"(Holmes &amp; Burgess, 2022; Lythreatis, Singh, &amp; El-Kassar, 2022)","plainTextFormattedCitation":"(Holmes &amp; Burgess, 2022; Lythreatis, Singh, &amp; El-Kassar, 2022)","previouslyFormattedCitation":"(Holmes &amp; Burgess, 2022; Lythreatis, Singh, &amp; El-Kassar, 2022)"},"properties":{"noteIndex":0},"schema":"https://github.com/citation-style-language/schema/raw/master/csl-citation.json"}</w:instrText>
      </w:r>
      <w:r>
        <w:rPr>
          <w:rFonts w:cs="Calibri"/>
        </w:rPr>
        <w:fldChar w:fldCharType="separate"/>
      </w:r>
      <w:r>
        <w:rPr>
          <w:rFonts w:cs="Calibri"/>
          <w:noProof/>
        </w:rPr>
        <w:t>(Holmes &amp; Burgess, 2022; Lythreatis, Singh, &amp; El-Kassar, 2022)</w:t>
      </w:r>
      <w:r>
        <w:rPr>
          <w:rFonts w:cs="Calibri"/>
        </w:rPr>
        <w:fldChar w:fldCharType="end"/>
      </w:r>
      <w:r>
        <w:rPr>
          <w:rFonts w:cs="Calibri"/>
        </w:rPr>
        <w:t xml:space="preserve">. The digital divide describes people who are unable to engage, but also people who choose not to engage online; they are known as </w:t>
      </w:r>
      <w:bookmarkStart w:id="424" w:name="_Hlk153267369"/>
      <w:r>
        <w:rPr>
          <w:rFonts w:cs="Calibri"/>
          <w:i/>
          <w:iCs/>
        </w:rPr>
        <w:t>digital excluders</w:t>
      </w:r>
      <w:r>
        <w:rPr>
          <w:rFonts w:cs="Calibri"/>
        </w:rPr>
        <w:t xml:space="preserve"> </w:t>
      </w:r>
      <w:r>
        <w:fldChar w:fldCharType="begin" w:fldLock="1"/>
      </w:r>
      <w:r>
        <w:rPr>
          <w:rFonts w:cs="Calibri"/>
        </w:rPr>
        <w:instrText>ADDIN CSL_CITATION {"citationItems":[{"id":"ITEM-1","itemData":{"DOI":"10.1080/1369118X.2017.1353640","ISSN":"14684462","abstract":"Researchers on digital divides have identified demographic and attitudinal factors associated with inequalities in access, skills, and patterns of Internet use, primarily around age, income, and education. While attitudes and values of Internet users and non-users have been studied over the years, they have rarely been used to identify broader ‘cultures of the Internet’ and their role in shaping digital divides. This paper builds on research in Britain, which focused on patterns of attitudes underpinning Internet cultures, to explore the degree that similar or distinctive cultures have developed in the USA, and whether and how they are useful in explaining digital divides. This study utilizes original data drawn from a 2016 telephone survey of residents across the State of Michigan that adapts survey items and methods from the Oxford Internet Survey (OxIS) of Britain. Based on these survey responses, the paper identifies and describes the cultures of the Internet among Michigan residents, as an exploratory case of the US as a whole, and shows how these cultures shape digital divides in Internet and social media use across this one American state. The robustness and explanatory power of these explorations of Internet cultures argues for further research on the United States and other nations.","author":[{"dropping-particle":"","family":"Dutton","given":"William H.","non-dropping-particle":"","parse-names":false,"suffix":""},{"dropping-particle":"","family":"Reisdorf","given":"Bianca C.","non-dropping-particle":"","parse-names":false,"suffix":""}],"container-title":"Information Communication and Society","id":"ITEM-1","issue":"1","issued":{"date-parts":[["2019"]]},"page":"18-38","title":"Cultural divides and digital inequalities: attitudes shaping Internet and social media divides","type":"article-journal","volume":"22"},"uris":["http://www.mendeley.com/documents/?uuid=129e5c56-5f9d-4f4f-9f23-28ff3433f44b"]}],"mendeley":{"formattedCitation":"(Dutton &amp; Reisdorf, 2019)","plainTextFormattedCitation":"(Dutton &amp; Reisdorf, 2019)","previouslyFormattedCitation":"(Dutton &amp; Reisdorf, 2019)"},"properties":{"noteIndex":0},"schema":"https://github.com/citation-style-language/schema/raw/master/csl-citation.json"}</w:instrText>
      </w:r>
      <w:r>
        <w:rPr>
          <w:rFonts w:cs="Calibri"/>
        </w:rPr>
        <w:fldChar w:fldCharType="separate"/>
      </w:r>
      <w:r>
        <w:rPr>
          <w:rFonts w:cs="Calibri"/>
          <w:noProof/>
        </w:rPr>
        <w:t>(Dutton &amp; Reisdorf, 2019)</w:t>
      </w:r>
      <w:r>
        <w:rPr>
          <w:rFonts w:cs="Calibri"/>
        </w:rPr>
        <w:fldChar w:fldCharType="end"/>
      </w:r>
      <w:bookmarkEnd w:id="424"/>
      <w:r>
        <w:rPr>
          <w:rFonts w:cs="Calibri"/>
        </w:rPr>
        <w:t>.</w:t>
      </w:r>
    </w:p>
    <w:p w14:paraId="07D140C1" w14:textId="77777777" w:rsidR="00787F73" w:rsidRDefault="00787F73" w:rsidP="00866155">
      <w:pPr>
        <w:rPr>
          <w:rFonts w:cs="Calibri"/>
        </w:rPr>
      </w:pPr>
    </w:p>
    <w:p w14:paraId="01ADDDA5" w14:textId="77777777" w:rsidR="00C30014" w:rsidRDefault="00742FB7" w:rsidP="00542D7B">
      <w:pPr>
        <w:rPr>
          <w:rFonts w:cs="Calibri"/>
        </w:rPr>
      </w:pPr>
      <w:r>
        <w:rPr>
          <w:rFonts w:cs="Calibri"/>
        </w:rPr>
        <w:t xml:space="preserve">The divide has been criticised for being binary and focusing on those who are included versus excluded.  With the use of the word </w:t>
      </w:r>
      <w:r>
        <w:rPr>
          <w:rFonts w:cs="Calibri"/>
          <w:i/>
          <w:iCs/>
        </w:rPr>
        <w:t>divide</w:t>
      </w:r>
      <w:r>
        <w:rPr>
          <w:rFonts w:cs="Calibri"/>
        </w:rPr>
        <w:t xml:space="preserve">, suggesting that it will be difficult to bridge </w:t>
      </w:r>
      <w:r>
        <w:fldChar w:fldCharType="begin" w:fldLock="1"/>
      </w:r>
      <w:r>
        <w:rPr>
          <w:rFonts w:cs="Calibri"/>
        </w:rPr>
        <w:instrText>ADDIN CSL_CITATION {"citationItems":[{"id":"ITEM-1","itemData":{"DOI":"10.1016/j.poetic.2006.05.004","abstract":"From the end of the 1990s onwards the digital divide, commonly defined as the gap between those who have and do not have access to computers and the Internet, has been a central issue on the scholarly and political agenda of new media development. This article makes an inventory of 5 years of digital divide research (2000–2005). The article focuses on three questions. (1) To what type of inequality does the digital divide concept refer? (2) What is new about the inequality of access to and use of ICTs as compared to other scarce material and immaterial resources? (3) Do new types of inequality exist or rise in the information society? The results of digital divide research are classified under four successive types of access: motivational, physical, skills and usage. A shift of attention from physical access to skills and usage is observed. In terms of physical access the divide seems to be closing in the most developed countries; concerning digital skills and the use of applications the divide persists or widens. Among the shortcomings of digital divide research are its lack of theory, conceptual definition, interdisciplinary approach, qualitative research and longitudinal research. #","author":[{"dropping-particle":"","family":"Dijk","given":"Jan A G M","non-dropping-particle":"van","parse-names":false,"suffix":""}],"container-title":"Poetics","id":"ITEM-1","issue":"4-5","issued":{"date-parts":[["2006"]]},"page":"221 - 235","title":"Digital divide research, achievements and shortcomings","type":"article-journal","volume":"34"},"uris":["http://www.mendeley.com/documents/?uuid=81626349-ddbe-3702-8994-c9efb377b397"]}],"mendeley":{"formattedCitation":"(van Dijk, 2006)","plainTextFormattedCitation":"(van Dijk, 2006)","previouslyFormattedCitation":"(van Dijk, 2006)"},"properties":{"noteIndex":0},"schema":"https://github.com/citation-style-language/schema/raw/master/csl-citation.json"}</w:instrText>
      </w:r>
      <w:r>
        <w:rPr>
          <w:rFonts w:cs="Calibri"/>
        </w:rPr>
        <w:fldChar w:fldCharType="separate"/>
      </w:r>
      <w:r>
        <w:rPr>
          <w:rFonts w:cs="Calibri"/>
          <w:noProof/>
        </w:rPr>
        <w:t>(van Dijk, 2006)</w:t>
      </w:r>
      <w:r>
        <w:rPr>
          <w:rFonts w:cs="Calibri"/>
        </w:rPr>
        <w:fldChar w:fldCharType="end"/>
      </w:r>
      <w:r>
        <w:rPr>
          <w:rFonts w:cs="Calibri"/>
        </w:rPr>
        <w:t xml:space="preserve">; however, the divide is not as simple as haves and have-nots. The </w:t>
      </w:r>
      <w:r>
        <w:rPr>
          <w:rFonts w:cs="Calibri"/>
        </w:rPr>
        <w:lastRenderedPageBreak/>
        <w:t xml:space="preserve">divide is not </w:t>
      </w:r>
      <w:r w:rsidR="0040407A" w:rsidRPr="0040407A">
        <w:rPr>
          <w:rFonts w:cs="Calibri"/>
        </w:rPr>
        <w:t>homogeneous</w:t>
      </w:r>
      <w:r w:rsidR="0040407A">
        <w:rPr>
          <w:rFonts w:cs="Calibri"/>
        </w:rPr>
        <w:t xml:space="preserve"> </w:t>
      </w:r>
      <w:r>
        <w:rPr>
          <w:rFonts w:cs="Calibri"/>
        </w:rPr>
        <w:t xml:space="preserve">and affects members of society in a variety of ways, with different intersections such as gender, race, age, and people of a lower socio-economic status impacting how they adopt, access, and use digital resources </w:t>
      </w:r>
      <w:r>
        <w:fldChar w:fldCharType="begin" w:fldLock="1"/>
      </w:r>
      <w:r>
        <w:rPr>
          <w:rFonts w:cs="Calibri"/>
        </w:rPr>
        <w:instrText>ADDIN CSL_CITATION {"citationItems":[{"id":"ITEM-1","itemData":{"DOI":"10.1177/1461444814538648","abstract":"The diffusion of the Internet is reaching a level between 80% and 90% in Western societies. Yet, while the digital divide is closing for young cohorts, it is still an issue when comparing various generations. This study focuses specifically on the so-called 'grey divide', a divide among seniors of age 65+ years. Based on a representative survey in Switzerland (N = 1105), it is found that Internet use is strongly skewed in this age group leading to a partial exclusion of the old seniors (70+). Logistic regression shows that gender differences in usage disappear if controlled for education, income, technical interest, pre-retirement computer use and marital status. Furthermore, the social context appears to have a manifold influence on Internet use. Encouragement by family and friends is a strong predictor for Internet use, and private learning settings are preferred over professional courses. Implications for digital inequality initiatives and further research are discussed.","author":[{"dropping-particle":"","family":"Friemel","given":"Thomas N","non-dropping-particle":"","parse-names":false,"suffix":""}],"container-title":"New Media &amp; Society","id":"ITEM-1","issue":"2","issued":{"date-parts":[["2016"]]},"page":"313-331","title":"The digital divide has grown old: Determinants of a digital divide among seniors","type":"article-journal","volume":"18"},"uris":["http://www.mendeley.com/documents/?uuid=9be918b7-016f-316c-a440-803dda1de9eb"]},{"id":"ITEM-2","itemData":{"DOI":"10.1080/1369118X.2015.1084023","ISSN":"14684462","abstract":"ABSTRACTBased on the idea that Internet use can be conceptualized in terms of depth (frequency) and width (differentiated) uses of the Web, this study explored how socio-demographic factors and digital skills are related to frequency and types of Facebook use among young adults. It used a face-to-face representative survey conducted in the three main urban areas of Chile among a sample of 18-to 29-year olds. The results found that men and more educated young people had higher levels of skills, confirming that the so-called ‘digital natives’ are not a monolithic group. They also revealed that digital skills did not predict frequency of Facebook use. Furthermore, lower educated young people tended to use Facebook more frequently. Although these results go against the long-established digital divide research, traditional digital gaps emerged when types of use were analyzed. While more educated and skillful individuals tended to use Facebook for informational and mobilizing purposes, socio-demographic factors...","author":[{"dropping-particle":"","family":"Correa","given":"Teresa","non-dropping-particle":"","parse-names":false,"suffix":""}],"container-title":"Information Communication and Society","id":"ITEM-2","issue":"8","issued":{"date-parts":[["2016"]]},"page":"1095-1107","title":"Digital skills and social media use: how Internet skills are related to different types of Facebook use among ‘digital natives’","type":"article-journal","volume":"19"},"uris":["http://www.mendeley.com/documents/?uuid=487b665a-3545-479d-8afb-aa5e78296f9d"]},{"id":"ITEM-3","itemData":{"DOI":"10.1111/isj.12400","ISSN":"13652575","abstract":"Healthcare information technologies (HIT) have shown great potential for improving the effectiveness and quality of healthcare services. However, the inequal ability of older adults to use HIT may limit their exploitation of these benefits. To narrow the age-based “digital divide”, this research further develops the concept of digital capability and emphasises the link between older adults and their social context. Based on a qualitative inductive study of 33 participants, who included Chinese patients and their family members, we generate a novel theoretical model for understanding the process by which social activities may shape older adults' digital capabilities. Based on the model, we suggest two strategies that might encourage older adults to engage with HIT. This research contributes to the information systems (IS) literature by strengthening digital capability as a conceptual lens to investigate individuals' engagement with information communication technologies (ICTs). It also extends research on the social context for ICT use by revealing how social processes at multiple levels influence digital capability development. Finally, this study offers practical implications for governments and private sectors to encourage and promote ICT use by older adults.","author":[{"dropping-particle":"","family":"Zhao","given":"Yang","non-dropping-particle":"","parse-names":false,"suffix":""},{"dropping-particle":"","family":"Zhang","given":"Tao","non-dropping-particle":"","parse-names":false,"suffix":""},{"dropping-particle":"","family":"Dasgupta","given":"Rohit K.","non-dropping-particle":"","parse-names":false,"suffix":""},{"dropping-particle":"","family":"Xia","given":"Renpin","non-dropping-particle":"","parse-names":false,"suffix":""}],"container-title":"Information Systems Journal","id":"ITEM-3","issue":"2","issued":{"date-parts":[["2023"]]},"page":"268-298","title":"Narrowing the age-based digital divide: Developing digital capability through social activities","type":"article-journal","volume":"33"},"uris":["http://www.mendeley.com/documents/?uuid=e81171a7-4e8f-450e-9a65-2a14bbc1eca4"]},{"id":"ITEM-4","itemData":{"DOI":"10.1108/GKMC-09-2021-0147","ISBN":"0920210147","ISSN":"25149350","abstract":"Purpose: The purpose of this paper is to address the gender digital divide through the adoption of information and communication technologies (ICTs) by reviewing existing knowledge within the field. This paper explores the characteristics and factors contributing to the gender digital divide. To bridge the gender digital divide, it is important to understand the factors behind gender differences in ICT access and use. Design/methodology/approach: In this study, the systematic literature review was conducted in accordance with the preferred reporting items for systematic reviews and meta-analyses (PRISMA) approach. In total, 24 articles were selected and analysed with using PRISMA steps. Findings: Despite a significant increase in usage of the internet and other ICTs around the world, women, especially in developing countries, tend to be on the wrong side of the digital divide. The results indicate that while there are still gender differences in access to ICT in developing countries, second-level digital divide issues are more of a concern in developed countries. In the literature, several important factors have been identified as being associated with the gender digital divide. The results highlight the importance of implementable policies to bridge the gender digital divide, as well as how sociocultural factors play an important role in explaining the gender digital divide phenomenon. Originality/value: By identifying the gender digital divide studies’ characteristics and factors contributing to the gender digital divide, the authors provide an overview of the existing research, allowing us to discuss future research needs within the field. The authors argue that more research is needed to understand how to better address the sociocultural factors affecting the gender digital divide, to understand why equal access seems not to result in equal use and, to understand the consequences of the COVID-19 pandemic on the gender digital divide.","author":[{"dropping-particle":"","family":"Acilar","given":"Ali","non-dropping-particle":"","parse-names":false,"suffix":""},{"dropping-particle":"","family":"Sæbø","given":"Øystein","non-dropping-particle":"","parse-names":false,"suffix":""}],"container-title":"Global Knowledge, Memory and Communication","id":"ITEM-4","issue":"3","issued":{"date-parts":[["2023"]]},"page":"233-249","title":"Towards understanding the gender digital divide: a systematic literature review","type":"article-journal","volume":"72"},"uris":["http://www.mendeley.com/documents/?uuid=1994c161-51ed-4a10-a065-d0e072527deb"]}],"mendeley":{"formattedCitation":"(Acilar &amp; Sæbø, 2023; Zhao et al., 2023; Correa, 2016; Friemel, 2016)","plainTextFormattedCitation":"(Acilar &amp; Sæbø, 2023; Zhao et al., 2023; Correa, 2016; Friemel, 2016)","previouslyFormattedCitation":"(Acilar &amp; Sæbø, 2023; Zhao et al., 2023; Correa, 2016; Friemel, 2016)"},"properties":{"noteIndex":0},"schema":"https://github.com/citation-style-language/schema/raw/master/csl-citation.json"}</w:instrText>
      </w:r>
      <w:r>
        <w:rPr>
          <w:rFonts w:cs="Calibri"/>
        </w:rPr>
        <w:fldChar w:fldCharType="separate"/>
      </w:r>
      <w:r>
        <w:rPr>
          <w:rFonts w:cs="Calibri"/>
          <w:noProof/>
        </w:rPr>
        <w:t>(Acilar &amp; Sæbø, 2023; Zhao et al., 2023; Correa, 2016; Friemel, 2016)</w:t>
      </w:r>
      <w:r>
        <w:rPr>
          <w:rFonts w:cs="Calibri"/>
        </w:rPr>
        <w:fldChar w:fldCharType="end"/>
      </w:r>
      <w:r>
        <w:rPr>
          <w:rFonts w:cs="Calibri"/>
        </w:rPr>
        <w:t xml:space="preserve">. </w:t>
      </w:r>
      <w:r w:rsidR="00844D9B">
        <w:rPr>
          <w:rFonts w:cs="Calibri"/>
        </w:rPr>
        <w:t xml:space="preserve">This is important to note due to the relationship with risk communication. As discussed in section 2.2.2, socio-demographic information such as race, age, gender and culture influence how individuals experience disasters </w:t>
      </w:r>
      <w:r w:rsidR="00844D9B">
        <w:rPr>
          <w:rFonts w:cs="Calibri"/>
        </w:rPr>
        <w:fldChar w:fldCharType="begin" w:fldLock="1"/>
      </w:r>
      <w:r w:rsidR="007A5ADB">
        <w:rPr>
          <w:rFonts w:cs="Calibri"/>
        </w:rPr>
        <w:instrText>ADDIN CSL_CITATION {"citationItems":[{"id":"ITEM-1","itemData":{"DOI":"10.1080/15358590903402200","ISBN":"1535859090340","author":[{"dropping-particle":"","family":"Sellnow","given":"Tim","non-dropping-particle":"","parse-names":false,"suffix":""},{"dropping-particle":"","family":"Sellnow","given":"Deanna","non-dropping-particle":"","parse-names":false,"suffix":""}],"container-title":"The Review of Communication","id":"ITEM-1","issue":"2","issued":{"date-parts":[["2010"]]},"page":"112-126","title":"The Instructional Dynamic of Risk and Crisis Communication: Distinguishing Instructional Messages from Dialogue","type":"article-journal","volume":"10"},"uris":["http://www.mendeley.com/documents/?uuid=1f43dade-4825-4b23-9f47-5994f8fc2ae0"]},{"id":"ITEM-2","itemData":{"DOI":"10.1080/20008198.2018.1425577","ISSN":"20008066","abstract":"Background: Millions of children are affected by disasters every year. Children need not be passive victims, however, but instead may contribute to disaster risk reduction activities. Objective: This paper provides a theoretical foundation for children’s involvement in disaster risk reduction activities. Method: The paper reviews and analyses the literature on children’s participation, on their developmental capacity to participate, and on disaster risk reduction activities involving children. Results: Participation yields numerous potential benefits for children, including enhanced personal development and skills, self-efficacy, and interpersonal relationships, and for communities through improved social connections and networks and disaster preparedness. Conclusions: Children are resources to be cultivated and mobilized for disaster preparedness, response, recovery, and resilience. Attention is needed to identify approaches to appropriately enlist, engage, and involve children in disaster risk reduction activities; to promote these efforts; and to evaluate these approaches.","author":[{"dropping-particle":"","family":"Pfefferbaum","given":"Betty","non-dropping-particle":"","parse-names":false,"suffix":""},{"dropping-particle":"","family":"Pfefferbaum","given":"Rose L.","non-dropping-particle":"","parse-names":false,"suffix":""},{"dropping-particle":"","family":"Horn","given":"Richard L.","non-dropping-particle":"Van","parse-names":false,"suffix":""}],"container-title":"European Journal of Psychotraumatology","id":"ITEM-2","issue":"S2","issued":{"date-parts":[["2018"]]},"publisher":"Taylor &amp; Francis","title":"Involving children in disaster risk reduction: the importance of participation","type":"article-journal","volume":"9"},"uris":["http://www.mendeley.com/documents/?uuid=57a03b69-eab3-498d-a8cc-6f486a5659e0"]},{"id":"ITEM-3","itemData":{"DOI":"10.1175/WCAS-D-13-00028.1","author":[{"dropping-particle":"","family":"Ripberger","given":"Joseph T.","non-dropping-particle":"","parse-names":false,"suffix":""},{"dropping-particle":"","family":"Jenkins-Smith","given":"Hank C.","non-dropping-particle":"","parse-names":false,"suffix":""},{"dropping-particle":"","family":"Silva","given":"Carol L.","non-dropping-particle":"","parse-names":false,"suffix":""},{"dropping-particle":"","family":"Carlson","given":"Deven E.","non-dropping-particle":"","parse-names":false,"suffix":""},{"dropping-particle":"","family":"Henderson","given":"Matthew","non-dropping-particle":"","parse-names":false,"suffix":""}],"container-title":"Weather, Climate, and Society","id":"ITEM-3","issue":"4","issued":{"date-parts":[["2014"]]},"page":"520-530","title":"Social Media and Severe Weather: Do Tweets Provide a Valid Indicator of Public Attention to Severe Weather Risk Communication?","type":"article-journal","volume":"6"},"uris":["http://www.mendeley.com/documents/?uuid=f5d26f9d-b985-4f38-b98f-abf14a62f51d"]},{"id":"ITEM-4","itemData":{"DOI":"10.1080/00909882.2018.1544718","ISSN":"14795752","abstract":"The Citizen Disaster Communication Assessment (CDCA) measures individual disaster communication activities that are intended to help communities cope across all phases of a disaster. Using the CDCA, this study examined associations among citizen disaster communication, neighborhood belonging, and community resilience using three different samples representing different disaster phases (Pre-event, Event, Post-event). Results indicate that more citizen disaster communication was associated with stronger perceptions of neighborhood belonging and community resilience at the Event and Post-event phases. In terms of specific citizen disaster communication processes that proved important, communication to correct disaster rumors and share stories was associated with greater feelings of belonging. Communication intended to confirm disaster information and tell stories was associated with stronger community resilience perceptions. Overall, results (a) confirm that citizen disaster communication is an important part of the disaster response and recovery ecosystem and (b) offer evidence of concurrent validity for the CDCA.","author":[{"dropping-particle":"","family":"Spialek","given":"Matthew L.","non-dropping-particle":"","parse-names":false,"suffix":""},{"dropping-particle":"","family":"Houston","given":"J. Brian","non-dropping-particle":"","parse-names":false,"suffix":""}],"container-title":"Journal of Applied Communication Research","id":"ITEM-4","issue":"1","issued":{"date-parts":[["2019"]]},"page":"1-23","publisher":"Taylor &amp; Francis","title":"The influence of citizen disaster communication on perceptions of neighborhood belonging and community resilience","type":"article-journal","volume":"47"},"uris":["http://www.mendeley.com/documents/?uuid=11f75a32-373b-460a-babe-f7b38e61611c"]}],"mendeley":{"formattedCitation":"(Spialek &amp; Houston, 2019; Pfefferbaum, Pfefferbaum, &amp; Van Horn, 2018; Ripberger et al., 2014; Sellnow &amp; Sellnow, 2010)","plainTextFormattedCitation":"(Spialek &amp; Houston, 2019; Pfefferbaum, Pfefferbaum, &amp; Van Horn, 2018; Ripberger et al., 2014; Sellnow &amp; Sellnow, 2010)","previouslyFormattedCitation":"(Spialek &amp; Houston, 2019; Pfefferbaum, Pfefferbaum, &amp; Van Horn, 2018; Ripberger et al., 2014; Sellnow &amp; Sellnow, 2010)"},"properties":{"noteIndex":0},"schema":"https://github.com/citation-style-language/schema/raw/master/csl-citation.json"}</w:instrText>
      </w:r>
      <w:r w:rsidR="00844D9B">
        <w:rPr>
          <w:rFonts w:cs="Calibri"/>
        </w:rPr>
        <w:fldChar w:fldCharType="separate"/>
      </w:r>
      <w:r w:rsidR="00844D9B" w:rsidRPr="00844D9B">
        <w:rPr>
          <w:rFonts w:cs="Calibri"/>
          <w:noProof/>
        </w:rPr>
        <w:t>(Spialek &amp; Houston, 2019; Pfefferbaum, Pfefferbaum, &amp; Van Horn, 2018; Ripberger et al., 2014; Sellnow &amp; Sellnow, 2010)</w:t>
      </w:r>
      <w:r w:rsidR="00844D9B">
        <w:rPr>
          <w:rFonts w:cs="Calibri"/>
        </w:rPr>
        <w:fldChar w:fldCharType="end"/>
      </w:r>
      <w:r w:rsidR="00844D9B">
        <w:rPr>
          <w:rFonts w:cs="Calibri"/>
        </w:rPr>
        <w:t xml:space="preserve">. This highlights the importance of acknowledging the various intersections of society within disaster management, risk communications, and digital use. Taking one example of </w:t>
      </w:r>
      <w:r w:rsidR="00233ECA">
        <w:rPr>
          <w:rFonts w:cs="Calibri"/>
        </w:rPr>
        <w:t>a</w:t>
      </w:r>
      <w:r w:rsidR="00844D9B">
        <w:rPr>
          <w:rFonts w:cs="Calibri"/>
        </w:rPr>
        <w:t xml:space="preserve"> socio-demographic intersection, such as age one can see the challenges. </w:t>
      </w:r>
    </w:p>
    <w:p w14:paraId="061CB8E5" w14:textId="77777777" w:rsidR="00C30014" w:rsidRDefault="00C30014" w:rsidP="00542D7B">
      <w:pPr>
        <w:rPr>
          <w:rFonts w:cs="Calibri"/>
        </w:rPr>
      </w:pPr>
    </w:p>
    <w:p w14:paraId="16EDD448" w14:textId="77777777" w:rsidR="00844D9B" w:rsidRPr="00A0151B" w:rsidRDefault="007A5ADB" w:rsidP="00542D7B">
      <w:pPr>
        <w:rPr>
          <w:rFonts w:cs="Calibri"/>
          <w:lang w:val="en-CA"/>
        </w:rPr>
      </w:pPr>
      <w:r>
        <w:rPr>
          <w:rFonts w:cs="Calibri"/>
        </w:rPr>
        <w:t xml:space="preserve">The literature notes that not only is age a factor within the first level of the divide, namely not owning or engaging the hardware, but that the hardware is not always accessible </w:t>
      </w:r>
      <w:r>
        <w:rPr>
          <w:rFonts w:cs="Calibri"/>
        </w:rPr>
        <w:fldChar w:fldCharType="begin" w:fldLock="1"/>
      </w:r>
      <w:r>
        <w:rPr>
          <w:rFonts w:cs="Calibri"/>
        </w:rPr>
        <w:instrText>ADDIN CSL_CITATION {"citationItems":[{"id":"ITEM-1","itemData":{"DOI":"10.1177/1461444814538648","abstract":"The diffusion of the Internet is reaching a level between 80% and 90% in Western societies. Yet, while the digital divide is closing for young cohorts, it is still an issue when comparing various generations. This study focuses specifically on the so-called 'grey divide', a divide among seniors of age 65+ years. Based on a representative survey in Switzerland (N = 1105), it is found that Internet use is strongly skewed in this age group leading to a partial exclusion of the old seniors (70+). Logistic regression shows that gender differences in usage disappear if controlled for education, income, technical interest, pre-retirement computer use and marital status. Furthermore, the social context appears to have a manifold influence on Internet use. Encouragement by family and friends is a strong predictor for Internet use, and private learning settings are preferred over professional courses. Implications for digital inequality initiatives and further research are discussed.","author":[{"dropping-particle":"","family":"Friemel","given":"Thomas N","non-dropping-particle":"","parse-names":false,"suffix":""}],"container-title":"New Media &amp; Society","id":"ITEM-1","issue":"2","issued":{"date-parts":[["2016"]]},"page":"313-331","title":"The digital divide has grown old: Determinants of a digital divide among seniors","type":"article-journal","volume":"18"},"uris":["http://www.mendeley.com/documents/?uuid=9be918b7-016f-316c-a440-803dda1de9eb"]},{"id":"ITEM-2","itemData":{"DOI":"10.1504/IJIIM.2013.053785","ISSN":"1750-0028","abstract":"The worldwide elderly population continues to grow, in terms of raw numbers as well as their use of computers and the internet. These facts notwithstanding, it appears that vendors of information technology products, both hardware and software, have largely ignored seniors. Research has shown that these ‘silver surfers’ are one of that fastest-growing user groups online and, furthermore, have more disposable income than any other segment of modern society. This paper investigates elderly computer and internet usage by incorporating the results of three separate research streams that have reported on this topic. Implications for both practice and research are presented.","author":[{"dropping-particle":"","family":"McMurtrey","given":"Mark E.","non-dropping-particle":"","parse-names":false,"suffix":""},{"dropping-particle":"","family":"McGaughey","given":"Ronald E.","non-dropping-particle":"","parse-names":false,"suffix":""},{"dropping-particle":"","family":"Downey","given":"James P.","non-dropping-particle":"","parse-names":false,"suffix":""},{"dropping-particle":"","family":"Zeltmann","given":"Steven M.","non-dropping-particle":"","parse-names":false,"suffix":""}],"container-title":"International Journal of Intercultural Information Management","id":"ITEM-2","issue":"2","issued":{"date-parts":[["2013"]]},"page":"107 - 122","title":"Seniors and information technology: lessons from the field","type":"article-journal","volume":"3"},"uris":["http://www.mendeley.com/documents/?uuid=9fd6e58a-fc12-39ec-bbc7-69d98d8e1619"]}],"mendeley":{"formattedCitation":"(Friemel, 2016; McMurtrey et al., 2013)","plainTextFormattedCitation":"(Friemel, 2016; McMurtrey et al., 2013)","previouslyFormattedCitation":"(Friemel, 2016; McMurtrey et al., 2013)"},"properties":{"noteIndex":0},"schema":"https://github.com/citation-style-language/schema/raw/master/csl-citation.json"}</w:instrText>
      </w:r>
      <w:r>
        <w:rPr>
          <w:rFonts w:cs="Calibri"/>
        </w:rPr>
        <w:fldChar w:fldCharType="separate"/>
      </w:r>
      <w:r w:rsidRPr="007A5ADB">
        <w:rPr>
          <w:rFonts w:cs="Calibri"/>
          <w:noProof/>
        </w:rPr>
        <w:t>(Friemel, 2016; McMurtrey et al., 2013)</w:t>
      </w:r>
      <w:r>
        <w:rPr>
          <w:rFonts w:cs="Calibri"/>
        </w:rPr>
        <w:fldChar w:fldCharType="end"/>
      </w:r>
      <w:r>
        <w:rPr>
          <w:rFonts w:cs="Calibri"/>
        </w:rPr>
        <w:t xml:space="preserve">. </w:t>
      </w:r>
      <w:r w:rsidR="00542D7B">
        <w:rPr>
          <w:rFonts w:cs="Calibri"/>
        </w:rPr>
        <w:t xml:space="preserve">This is seen within recent data, with 29% of the 75+ age range being counted as digitally excluded </w:t>
      </w:r>
      <w:r w:rsidR="00542D7B">
        <w:rPr>
          <w:rFonts w:cs="Calibri"/>
        </w:rPr>
        <w:fldChar w:fldCharType="begin" w:fldLock="1"/>
      </w:r>
      <w:r w:rsidR="00542D7B">
        <w:rPr>
          <w:rFonts w:cs="Calibri"/>
        </w:rPr>
        <w:instrText>ADDIN CSL_CITATION {"citationItems":[{"id":"ITEM-1","itemData":{"abstract":"There has been a significant increase in the self-reported volume of internet use since 2011. Overall estimated weekly volume of use of the internet among users has increased to an average of just under 17 hours per week (16.8 vs. 15.1 hours in 2011). Over half (53%) of UK adults now use a mobile phone to go online, rising to 86% among smartphone users, and more than one in ten use a tablet computer (16%), games console/ player (16%), or a portable media player (12%), all significant increases since 2011. On average, UK adult internet users claim to visit 19 websites in a typical week. There are considerable differences between demographic groups; for example, those over 75 estimate that they visit on average seven websites and ‘narrow users’ 1 six. This compares to people in AB households, and men, who estimate that they visit on average 27 and 24 respectively. Some 22% UK adult internet users say they visit fewer than five websites in a typical week.","author":[{"dropping-particle":"","family":"Ofcom","given":"","non-dropping-particle":"","parse-names":false,"suffix":""}],"id":"ITEM-1","issue":"19th April","issued":{"date-parts":[["2024"]]},"number-of-pages":"45","title":"Adults’ Media Use and Attitudes Report 2024","type":"report"},"uris":["http://www.mendeley.com/documents/?uuid=d0c06d2e-658c-42f4-89ea-36b5b59110f1"]}],"mendeley":{"formattedCitation":"(Ofcom, 2024)","plainTextFormattedCitation":"(Ofcom, 2024)","previouslyFormattedCitation":"(Ofcom, 2024)"},"properties":{"noteIndex":0},"schema":"https://github.com/citation-style-language/schema/raw/master/csl-citation.json"}</w:instrText>
      </w:r>
      <w:r w:rsidR="00542D7B">
        <w:rPr>
          <w:rFonts w:cs="Calibri"/>
        </w:rPr>
        <w:fldChar w:fldCharType="separate"/>
      </w:r>
      <w:r w:rsidR="00542D7B" w:rsidRPr="00542D7B">
        <w:rPr>
          <w:rFonts w:cs="Calibri"/>
          <w:noProof/>
        </w:rPr>
        <w:t>(Ofcom, 2024)</w:t>
      </w:r>
      <w:r w:rsidR="00542D7B">
        <w:rPr>
          <w:rFonts w:cs="Calibri"/>
        </w:rPr>
        <w:fldChar w:fldCharType="end"/>
      </w:r>
      <w:r w:rsidR="00542D7B">
        <w:rPr>
          <w:rFonts w:cs="Calibri"/>
        </w:rPr>
        <w:t>. However</w:t>
      </w:r>
      <w:r w:rsidR="008D4A61">
        <w:rPr>
          <w:rFonts w:cs="Calibri"/>
        </w:rPr>
        <w:t>,</w:t>
      </w:r>
      <w:r w:rsidR="00542D7B">
        <w:rPr>
          <w:rFonts w:cs="Calibri"/>
        </w:rPr>
        <w:t xml:space="preserve"> within this 29%, it is reported that 52% of this group get a friend or family member to conduct online activities for them </w:t>
      </w:r>
      <w:r w:rsidR="00542D7B">
        <w:rPr>
          <w:rFonts w:cs="Calibri"/>
        </w:rPr>
        <w:fldChar w:fldCharType="begin" w:fldLock="1"/>
      </w:r>
      <w:r w:rsidR="00C30014">
        <w:rPr>
          <w:rFonts w:cs="Calibri"/>
        </w:rPr>
        <w:instrText>ADDIN CSL_CITATION {"citationItems":[{"id":"ITEM-1","itemData":{"abstract":"There has been a significant increase in the self-reported volume of internet use since 2011. Overall estimated weekly volume of use of the internet among users has increased to an average of just under 17 hours per week (16.8 vs. 15.1 hours in 2011). Over half (53%) of UK adults now use a mobile phone to go online, rising to 86% among smartphone users, and more than one in ten use a tablet computer (16%), games console/ player (16%), or a portable media player (12%), all significant increases since 2011. On average, UK adult internet users claim to visit 19 websites in a typical week. There are considerable differences between demographic groups; for example, those over 75 estimate that they visit on average seven websites and ‘narrow users’ 1 six. This compares to people in AB households, and men, who estimate that they visit on average 27 and 24 respectively. Some 22% UK adult internet users say they visit fewer than five websites in a typical week.","author":[{"dropping-particle":"","family":"Ofcom","given":"","non-dropping-particle":"","parse-names":false,"suffix":""}],"id":"ITEM-1","issue":"19th April","issued":{"date-parts":[["2024"]]},"number-of-pages":"45","title":"Adults’ Media Use and Attitudes Report 2024","type":"report"},"uris":["http://www.mendeley.com/documents/?uuid=d0c06d2e-658c-42f4-89ea-36b5b59110f1"]}],"mendeley":{"formattedCitation":"(Ofcom, 2024)","plainTextFormattedCitation":"(Ofcom, 2024)","previouslyFormattedCitation":"(Ofcom, 2024)"},"properties":{"noteIndex":0},"schema":"https://github.com/citation-style-language/schema/raw/master/csl-citation.json"}</w:instrText>
      </w:r>
      <w:r w:rsidR="00542D7B">
        <w:rPr>
          <w:rFonts w:cs="Calibri"/>
        </w:rPr>
        <w:fldChar w:fldCharType="separate"/>
      </w:r>
      <w:r w:rsidR="00542D7B" w:rsidRPr="00542D7B">
        <w:rPr>
          <w:rFonts w:cs="Calibri"/>
          <w:noProof/>
        </w:rPr>
        <w:t>(Ofcom, 2024)</w:t>
      </w:r>
      <w:r w:rsidR="00542D7B">
        <w:rPr>
          <w:rFonts w:cs="Calibri"/>
        </w:rPr>
        <w:fldChar w:fldCharType="end"/>
      </w:r>
      <w:r w:rsidR="00542D7B">
        <w:rPr>
          <w:rFonts w:cs="Calibri"/>
        </w:rPr>
        <w:t xml:space="preserve">. </w:t>
      </w:r>
      <w:r>
        <w:rPr>
          <w:rFonts w:cs="Calibri"/>
        </w:rPr>
        <w:t xml:space="preserve">This highlights the danger of not using an intersectional approach to research, as using the term age doesn’t acknowledge or accommodate the various physical, sociological and psychological variances that come with aging </w:t>
      </w:r>
      <w:r>
        <w:rPr>
          <w:rFonts w:cs="Calibri"/>
        </w:rPr>
        <w:fldChar w:fldCharType="begin" w:fldLock="1"/>
      </w:r>
      <w:r w:rsidR="00542D7B">
        <w:rPr>
          <w:rFonts w:cs="Calibri"/>
        </w:rPr>
        <w:instrText>ADDIN CSL_CITATION {"citationItems":[{"id":"ITEM-1","itemData":{"DOI":"10.1093/iwc/iws020","ISSN":"0953-5438","author":[{"dropping-particle":"","family":"Choudrie","given":"J.","non-dropping-particle":"","parse-names":false,"suffix":""},{"dropping-particle":"","family":"Ghinea","given":"G.","non-dropping-particle":"","parse-names":false,"suffix":""},{"dropping-particle":"","family":"Songonuga","given":"V. N.","non-dropping-particle":"","parse-names":false,"suffix":""}],"container-title":"Interacting with Computers","id":"ITEM-1","issue":"6","issued":{"date-parts":[["2013"]]},"page":"417-442","title":"Silver Surfers, E-government and the Digital Divide: An Exploratory Study of UK Local Authority Websites and Older Citizens","type":"article-journal","volume":"25"},"uris":["http://www.mendeley.com/documents/?uuid=65de5e4a-2d3c-37bc-a80a-fb3ff61e4e27"]},{"id":"ITEM-2","itemData":{"DOI":"10.1080/1369118X.2016.1164740","ISSN":"1369-118X","abstract":"Relying on Jensen and Helles’ model for studying the Internet as a cultural forum, this study aimed to explore the extent to which traditional media are displaced by innovative communication practices within the older audience of new media. The study was based on a cross-European survey of 1039 Internet users aged 60 years and up. Results indicated that older Internet users are significantly more inclined to use traditional mass media than new social media and prefer synchronous to asynchronous mass media. This audience, however, is not homogeneous, as four subsegments were identified. These groups differed in their media repertoires, sociocultural background and leisure preferences. The findings suggest that despite the increasing percentage of older Internet users, this audience tends to adhere to familiar media practices, with only a minority making intense use of new practices. With very few cross-national differences, this tendency appears to be universal, suggesting overall media use traditi...","author":[{"dropping-particle":"","family":"Nimrod","given":"Galit","non-dropping-particle":"","parse-names":false,"suffix":""}],"container-title":"Information, Communication &amp; Society","id":"ITEM-2","issue":"2","issued":{"date-parts":[["2017","2","21"]]},"page":"233-249","publisher":"Routledge","title":"Older audiences in the digital media environment","type":"article-journal","volume":"20"},"uris":["http://www.mendeley.com/documents/?uuid=01a2cf60-81fc-3cc0-a069-ea57e4d612d1"]}],"mendeley":{"formattedCitation":"(Nimrod, 2017; Choudrie, Ghinea, &amp; Songonuga, 2013)","plainTextFormattedCitation":"(Nimrod, 2017; Choudrie, Ghinea, &amp; Songonuga, 2013)","previouslyFormattedCitation":"(Nimrod, 2017; Choudrie, Ghinea, &amp; Songonuga, 2013)"},"properties":{"noteIndex":0},"schema":"https://github.com/citation-style-language/schema/raw/master/csl-citation.json"}</w:instrText>
      </w:r>
      <w:r>
        <w:rPr>
          <w:rFonts w:cs="Calibri"/>
        </w:rPr>
        <w:fldChar w:fldCharType="separate"/>
      </w:r>
      <w:r w:rsidRPr="007A5ADB">
        <w:rPr>
          <w:rFonts w:cs="Calibri"/>
          <w:noProof/>
        </w:rPr>
        <w:t>(Nimrod, 2017; Choudrie, Ghinea, &amp; Songonuga, 2013)</w:t>
      </w:r>
      <w:r>
        <w:rPr>
          <w:rFonts w:cs="Calibri"/>
        </w:rPr>
        <w:fldChar w:fldCharType="end"/>
      </w:r>
      <w:r>
        <w:rPr>
          <w:rFonts w:cs="Calibri"/>
        </w:rPr>
        <w:t>.</w:t>
      </w:r>
    </w:p>
    <w:p w14:paraId="3CF58346" w14:textId="77777777" w:rsidR="00844D9B" w:rsidRDefault="00844D9B" w:rsidP="00866155">
      <w:pPr>
        <w:rPr>
          <w:rFonts w:cs="Calibri"/>
        </w:rPr>
      </w:pPr>
    </w:p>
    <w:p w14:paraId="31B9D6B4" w14:textId="77777777" w:rsidR="00787F73" w:rsidRDefault="00742FB7" w:rsidP="00866155">
      <w:r>
        <w:rPr>
          <w:rFonts w:cs="Calibri"/>
        </w:rPr>
        <w:t xml:space="preserve">There is also an increasing understanding of the wider structural issues which influence an individual’s engagement online, including housing provision and whether there is broadband access or 4G signal </w:t>
      </w:r>
      <w:r>
        <w:fldChar w:fldCharType="begin" w:fldLock="1"/>
      </w:r>
      <w:r>
        <w:rPr>
          <w:rFonts w:cs="Calibri"/>
        </w:rPr>
        <w:instrText>ADDIN CSL_CITATION {"citationItems":[{"id":"ITEM-1","itemData":{"DOI":"10.1016/j.diggeo.2022.100041","ISSN":"26663783","abstract":"Digital exclusion and poverty are understood to be closely linked, and existing literature on the topic makes clear that the contexts of people's lives shape their experiences of digital exclusion in important ways. Indeed, the online and offline aspects of life are in many regards inextricable. As such, this paper focuses on the complex relationship between digital exclusion and poverty, and examines how a range of spatial, material, and temporal factors related to experiences of poverty shape opportunities to use the internet. Drawing upon qualitative data from interviews with coaches and participants in a programme which seeks to help low-income people find work, manage their money, and get online, the paper traces several key ways in which different aspects of poverty – including housing inequality – coalesce to shape experiences of digital exclusion. In doing so, the paper argues that examining the ways in which these seemingly offline aspects of poverty affect opportunities to use the internet provides an opportunity to enhance understandings of exactly how digital exclusion is manifested for those experiencing poverty.","author":[{"dropping-particle":"","family":"Holmes","given":"Hannah","non-dropping-particle":"","parse-names":false,"suffix":""},{"dropping-particle":"","family":"Burgess","given":"Gemma","non-dropping-particle":"","parse-names":false,"suffix":""}],"container-title":"Digital Geography and Society","id":"ITEM-1","issued":{"date-parts":[["2022"]]},"page":"1-9","title":"Digital exclusion and poverty in the UK: How structural inequality shapes experiences of getting online","type":"article-journal","volume":"3"},"uris":["http://www.mendeley.com/documents/?uuid=a5d72ba4-5729-45de-a51e-ca85c70c5384"]}],"mendeley":{"formattedCitation":"(Holmes &amp; Burgess, 2022)","plainTextFormattedCitation":"(Holmes &amp; Burgess, 2022)","previouslyFormattedCitation":"(Holmes &amp; Burgess, 2022)"},"properties":{"noteIndex":0},"schema":"https://github.com/citation-style-language/schema/raw/master/csl-citation.json"}</w:instrText>
      </w:r>
      <w:r>
        <w:rPr>
          <w:rFonts w:cs="Calibri"/>
        </w:rPr>
        <w:fldChar w:fldCharType="separate"/>
      </w:r>
      <w:r>
        <w:rPr>
          <w:rFonts w:cs="Calibri"/>
          <w:noProof/>
        </w:rPr>
        <w:t>(Holmes &amp; Burgess, 2022)</w:t>
      </w:r>
      <w:r>
        <w:rPr>
          <w:rFonts w:cs="Calibri"/>
        </w:rPr>
        <w:fldChar w:fldCharType="end"/>
      </w:r>
      <w:r>
        <w:rPr>
          <w:rFonts w:cs="Calibri"/>
        </w:rPr>
        <w:t>; however, even with these structural issues being resolved, there are still groups of people who are choosing not to engage online, or follow content creators, such as SYFR.</w:t>
      </w:r>
    </w:p>
    <w:p w14:paraId="416E9773" w14:textId="77777777" w:rsidR="00787F73" w:rsidRDefault="00787F73" w:rsidP="00866155">
      <w:pPr>
        <w:rPr>
          <w:rFonts w:cs="Calibri"/>
        </w:rPr>
      </w:pPr>
    </w:p>
    <w:p w14:paraId="4AB4EB5F" w14:textId="2887729C" w:rsidR="00787F73" w:rsidRDefault="00742FB7" w:rsidP="00866155">
      <w:r>
        <w:rPr>
          <w:rFonts w:cs="Calibri"/>
        </w:rPr>
        <w:t xml:space="preserve">The digital divide and wider digital exclusion therefore closely links to existing social inequalities, suggesting that digital exclusion needs to be included into wider social deprivation models and policies </w:t>
      </w:r>
      <w:r>
        <w:fldChar w:fldCharType="begin" w:fldLock="1"/>
      </w:r>
      <w:r>
        <w:rPr>
          <w:rFonts w:cs="Calibri"/>
        </w:rPr>
        <w:instrText>ADDIN CSL_CITATION {"citationItems":[{"id":"ITEM-1","itemData":{"DOI":"10.1016/j.poetic.2006.05.004","abstract":"From the end of the 1990s onwards the digital divide, commonly defined as the gap between those who have and do not have access to computers and the Internet, has been a central issue on the scholarly and political agenda of new media development. This article makes an inventory of 5 years of digital divide research (2000–2005). The article focuses on three questions. (1) To what type of inequality does the digital divide concept refer? (2) What is new about the inequality of access to and use of ICTs as compared to other scarce material and immaterial resources? (3) Do new types of inequality exist or rise in the information society? The results of digital divide research are classified under four successive types of access: motivational, physical, skills and usage. A shift of attention from physical access to skills and usage is observed. In terms of physical access the divide seems to be closing in the most developed countries; concerning digital skills and the use of applications the divide persists or widens. Among the shortcomings of digital divide research are its lack of theory, conceptual definition, interdisciplinary approach, qualitative research and longitudinal research. #","author":[{"dropping-particle":"","family":"Dijk","given":"Jan A G M","non-dropping-particle":"van","parse-names":false,"suffix":""}],"container-title":"Poetics","id":"ITEM-1","issue":"4-5","issued":{"date-parts":[["2006"]]},"page":"221 - 235","title":"Digital divide research, achievements and shortcomings","type":"article-journal","volume":"34"},"uris":["http://www.mendeley.com/documents/?uuid=81626349-ddbe-3702-8994-c9efb377b397"]},{"id":"ITEM-2","itemData":{"DOI":"10.1080/1369118X.2015.1084023","ISSN":"14684462","abstract":"ABSTRACTBased on the idea that Internet use can be conceptualized in terms of depth (frequency) and width (differentiated) uses of the Web, this study explored how socio-demographic factors and digital skills are related to frequency and types of Facebook use among young adults. It used a face-to-face representative survey conducted in the three main urban areas of Chile among a sample of 18-to 29-year olds. The results found that men and more educated young people had higher levels of skills, confirming that the so-called ‘digital natives’ are not a monolithic group. They also revealed that digital skills did not predict frequency of Facebook use. Furthermore, lower educated young people tended to use Facebook more frequently. Although these results go against the long-established digital divide research, traditional digital gaps emerged when types of use were analyzed. While more educated and skillful individuals tended to use Facebook for informational and mobilizing purposes, socio-demographic factors...","author":[{"dropping-particle":"","family":"Correa","given":"Teresa","non-dropping-particle":"","parse-names":false,"suffix":""}],"container-title":"Information Communication and Society","id":"ITEM-2","issue":"8","issued":{"date-parts":[["2016"]]},"page":"1095-1107","title":"Digital skills and social media use: how Internet skills are related to different types of Facebook use among ‘digital natives’","type":"article-journal","volume":"19"},"uris":["http://www.mendeley.com/documents/?uuid=487b665a-3545-479d-8afb-aa5e78296f9d"]},{"id":"ITEM-3","itemData":{"DOI":"10.1016/j.diggeo.2022.100041","ISSN":"26663783","abstract":"Digital exclusion and poverty are understood to be closely linked, and existing literature on the topic makes clear that the contexts of people's lives shape their experiences of digital exclusion in important ways. Indeed, the online and offline aspects of life are in many regards inextricable. As such, this paper focuses on the complex relationship between digital exclusion and poverty, and examines how a range of spatial, material, and temporal factors related to experiences of poverty shape opportunities to use the internet. Drawing upon qualitative data from interviews with coaches and participants in a programme which seeks to help low-income people find work, manage their money, and get online, the paper traces several key ways in which different aspects of poverty – including housing inequality – coalesce to shape experiences of digital exclusion. In doing so, the paper argues that examining the ways in which these seemingly offline aspects of poverty affect opportunities to use the internet provides an opportunity to enhance understandings of exactly how digital exclusion is manifested for those experiencing poverty.","author":[{"dropping-particle":"","family":"Holmes","given":"Hannah","non-dropping-particle":"","parse-names":false,"suffix":""},{"dropping-particle":"","family":"Burgess","given":"Gemma","non-dropping-particle":"","parse-names":false,"suffix":""}],"container-title":"Digital Geography and Society","id":"ITEM-3","issued":{"date-parts":[["2022"]]},"page":"1-9","title":"Digital exclusion and poverty in the UK: How structural inequality shapes experiences of getting online","type":"article-journal","volume":"3"},"uris":["http://www.mendeley.com/documents/?uuid=a5d72ba4-5729-45de-a51e-ca85c70c5384"]}],"mendeley":{"formattedCitation":"(Holmes &amp; Burgess, 2022; Correa, 2016; van Dijk, 2006)","plainTextFormattedCitation":"(Holmes &amp; Burgess, 2022; Correa, 2016; van Dijk, 2006)","previouslyFormattedCitation":"(Holmes &amp; Burgess, 2022; Correa, 2016; van Dijk, 2006)"},"properties":{"noteIndex":0},"schema":"https://github.com/citation-style-language/schema/raw/master/csl-citation.json"}</w:instrText>
      </w:r>
      <w:r>
        <w:rPr>
          <w:rFonts w:cs="Calibri"/>
        </w:rPr>
        <w:fldChar w:fldCharType="separate"/>
      </w:r>
      <w:r>
        <w:rPr>
          <w:rFonts w:cs="Calibri"/>
          <w:noProof/>
        </w:rPr>
        <w:t>(Holmes &amp; Burgess, 2022; Correa, 2016; van Dijk, 2006)</w:t>
      </w:r>
      <w:r>
        <w:rPr>
          <w:rFonts w:cs="Calibri"/>
        </w:rPr>
        <w:fldChar w:fldCharType="end"/>
      </w:r>
      <w:r>
        <w:rPr>
          <w:rFonts w:cs="Calibri"/>
        </w:rPr>
        <w:t xml:space="preserve">. </w:t>
      </w:r>
      <w:r>
        <w:rPr>
          <w:rFonts w:cs="Calibri"/>
        </w:rPr>
        <w:lastRenderedPageBreak/>
        <w:t>This continues the neoliberal theme, as digital exclusion can be viewed as a challenge for the individual to overcome and for the private sector to provide</w:t>
      </w:r>
      <w:r w:rsidR="008D4A61">
        <w:rPr>
          <w:rFonts w:cs="Calibri"/>
        </w:rPr>
        <w:t>. It</w:t>
      </w:r>
      <w:r>
        <w:rPr>
          <w:rFonts w:cs="Calibri"/>
        </w:rPr>
        <w:t xml:space="preserve"> focus</w:t>
      </w:r>
      <w:r w:rsidR="008D4A61">
        <w:rPr>
          <w:rFonts w:cs="Calibri"/>
        </w:rPr>
        <w:t>es</w:t>
      </w:r>
      <w:r>
        <w:rPr>
          <w:rFonts w:cs="Calibri"/>
        </w:rPr>
        <w:t xml:space="preserve"> on the individual’s need to access the hardware and seek out training, combined with the onus on the private companies to improve access and pricing </w:t>
      </w:r>
      <w:r>
        <w:fldChar w:fldCharType="begin" w:fldLock="1"/>
      </w:r>
      <w:r>
        <w:rPr>
          <w:rFonts w:cs="Calibri"/>
        </w:rPr>
        <w:instrText>ADDIN CSL_CITATION {"citationItems":[{"id":"ITEM-1","itemData":{"DOI":"10.1016/j.diggeo.2022.100041","ISSN":"26663783","abstract":"Digital exclusion and poverty are understood to be closely linked, and existing literature on the topic makes clear that the contexts of people's lives shape their experiences of digital exclusion in important ways. Indeed, the online and offline aspects of life are in many regards inextricable. As such, this paper focuses on the complex relationship between digital exclusion and poverty, and examines how a range of spatial, material, and temporal factors related to experiences of poverty shape opportunities to use the internet. Drawing upon qualitative data from interviews with coaches and participants in a programme which seeks to help low-income people find work, manage their money, and get online, the paper traces several key ways in which different aspects of poverty – including housing inequality – coalesce to shape experiences of digital exclusion. In doing so, the paper argues that examining the ways in which these seemingly offline aspects of poverty affect opportunities to use the internet provides an opportunity to enhance understandings of exactly how digital exclusion is manifested for those experiencing poverty.","author":[{"dropping-particle":"","family":"Holmes","given":"Hannah","non-dropping-particle":"","parse-names":false,"suffix":""},{"dropping-particle":"","family":"Burgess","given":"Gemma","non-dropping-particle":"","parse-names":false,"suffix":""}],"container-title":"Digital Geography and Society","id":"ITEM-1","issued":{"date-parts":[["2022"]]},"page":"1-9","title":"Digital exclusion and poverty in the UK: How structural inequality shapes experiences of getting online","type":"article-journal","volume":"3"},"uris":["http://www.mendeley.com/documents/?uuid=a5d72ba4-5729-45de-a51e-ca85c70c5384"]}],"mendeley":{"formattedCitation":"(Holmes &amp; Burgess, 2022)","plainTextFormattedCitation":"(Holmes &amp; Burgess, 2022)","previouslyFormattedCitation":"(Holmes &amp; Burgess, 2022)"},"properties":{"noteIndex":0},"schema":"https://github.com/citation-style-language/schema/raw/master/csl-citation.json"}</w:instrText>
      </w:r>
      <w:r>
        <w:rPr>
          <w:rFonts w:cs="Calibri"/>
        </w:rPr>
        <w:fldChar w:fldCharType="separate"/>
      </w:r>
      <w:r>
        <w:rPr>
          <w:rFonts w:cs="Calibri"/>
          <w:noProof/>
        </w:rPr>
        <w:t>(Holmes &amp; Burgess, 2022)</w:t>
      </w:r>
      <w:r>
        <w:rPr>
          <w:rFonts w:cs="Calibri"/>
        </w:rPr>
        <w:fldChar w:fldCharType="end"/>
      </w:r>
      <w:r w:rsidR="00233ECA">
        <w:rPr>
          <w:rFonts w:cs="Calibri"/>
        </w:rPr>
        <w:t>. This combination appears to</w:t>
      </w:r>
      <w:r>
        <w:rPr>
          <w:rFonts w:cs="Calibri"/>
        </w:rPr>
        <w:t xml:space="preserve"> reduc</w:t>
      </w:r>
      <w:r w:rsidR="00233ECA">
        <w:rPr>
          <w:rFonts w:cs="Calibri"/>
        </w:rPr>
        <w:t>e</w:t>
      </w:r>
      <w:r>
        <w:rPr>
          <w:rFonts w:cs="Calibri"/>
        </w:rPr>
        <w:t xml:space="preserve"> the pressure on state governments to provide the support. Within the UK, there are proposals to develop the UK’s satellite network to increase 5G access across the country to reduce the digital divide in rural and hard to reach areas </w:t>
      </w:r>
      <w:r>
        <w:fldChar w:fldCharType="begin" w:fldLock="1"/>
      </w:r>
      <w:r>
        <w:rPr>
          <w:rFonts w:cs="Calibri"/>
        </w:rPr>
        <w:instrText>ADDIN CSL_CITATION {"citationItems":[{"id":"ITEM-1","itemData":{"URL":"https://www.gov.uk/government/news/boost-for-broadband-and-5g-coverage-revolution-rollout-as-government-explores-plan-to-open-160-million-satellites-fund","author":[{"dropping-particle":"","family":"Department for Science Innovation and Technology","given":".","non-dropping-particle":"","parse-names":false,"suffix":""},{"dropping-particle":"","family":"UK Space Agency","given":".","non-dropping-particle":"","parse-names":false,"suffix":""},{"dropping-particle":"","family":"The Rt Hon Michelle Donelan MP","given":".","non-dropping-particle":"","parse-names":false,"suffix":""}],"container-title":"GOV.UK","id":"ITEM-1","issued":{"date-parts":[["2023"]]},"title":"Boost for broadband and 5G coverage revolution rollout as government explores plan to open £160 million satellites fund","type":"webpage"},"uris":["http://www.mendeley.com/documents/?uuid=4873ce8d-a66d-4c11-8362-0ba7b7533bf4"]}],"mendeley":{"formattedCitation":"(Department for Science Innovation and Technology, UK Space Agency, &amp; The Rt Hon Michelle Donelan MP, 2023)","plainTextFormattedCitation":"(Department for Science Innovation and Technology, UK Space Agency, &amp; The Rt Hon Michelle Donelan MP, 2023)","previouslyFormattedCitation":"(Department for Science Innovation and Technology, UK Space Agency, &amp; The Rt Hon Michelle Donelan MP, 2023)"},"properties":{"noteIndex":0},"schema":"https://github.com/citation-style-language/schema/raw/master/csl-citation.json"}</w:instrText>
      </w:r>
      <w:r>
        <w:rPr>
          <w:rFonts w:cs="Calibri"/>
        </w:rPr>
        <w:fldChar w:fldCharType="separate"/>
      </w:r>
      <w:r>
        <w:rPr>
          <w:rFonts w:cs="Calibri"/>
          <w:noProof/>
        </w:rPr>
        <w:t>(Department for Science Innovation and Technology, UK Space Agency, &amp; The Rt Hon Michelle Donelan MP, 2023)</w:t>
      </w:r>
      <w:r>
        <w:rPr>
          <w:rFonts w:cs="Calibri"/>
        </w:rPr>
        <w:fldChar w:fldCharType="end"/>
      </w:r>
      <w:r>
        <w:rPr>
          <w:rFonts w:cs="Calibri"/>
        </w:rPr>
        <w:t xml:space="preserve">; however, even with these structural changes, there is still little government support for training individuals in digital skills, and this is often left to not-for-profit organisations </w:t>
      </w:r>
      <w:r>
        <w:fldChar w:fldCharType="begin" w:fldLock="1"/>
      </w:r>
      <w:r>
        <w:rPr>
          <w:rFonts w:cs="Calibri"/>
        </w:rPr>
        <w:instrText>ADDIN CSL_CITATION {"citationItems":[{"id":"ITEM-1","itemData":{"URL":"https://www.goodthingsfoundation.org/what-we-do/","author":[{"dropping-particle":"","family":"The Good Things Foundation","given":".","non-dropping-particle":"","parse-names":false,"suffix":""}],"container-title":"The Good Things Foundation","id":"ITEM-1","issued":{"date-parts":[["2021"]]},"title":"What we do","type":"webpage"},"uris":["http://www.mendeley.com/documents/?uuid=fdce286a-a86a-4b5b-aee6-1bf824236bef"]}],"mendeley":{"formattedCitation":"(The Good Things Foundation, 2021)","plainTextFormattedCitation":"(The Good Things Foundation, 2021)","previouslyFormattedCitation":"(The Good Things Foundation, 2021)"},"properties":{"noteIndex":0},"schema":"https://github.com/citation-style-language/schema/raw/master/csl-citation.json"}</w:instrText>
      </w:r>
      <w:r>
        <w:rPr>
          <w:rFonts w:cs="Calibri"/>
        </w:rPr>
        <w:fldChar w:fldCharType="separate"/>
      </w:r>
      <w:r>
        <w:rPr>
          <w:rFonts w:cs="Calibri"/>
          <w:noProof/>
        </w:rPr>
        <w:t>(The Good Things Foundation, 2021)</w:t>
      </w:r>
      <w:r>
        <w:rPr>
          <w:rFonts w:cs="Calibri"/>
        </w:rPr>
        <w:fldChar w:fldCharType="end"/>
      </w:r>
      <w:r>
        <w:rPr>
          <w:rFonts w:cs="Calibri"/>
        </w:rPr>
        <w:t>.</w:t>
      </w:r>
    </w:p>
    <w:p w14:paraId="19B67820" w14:textId="77777777" w:rsidR="00787F73" w:rsidRDefault="00787F73" w:rsidP="00866155">
      <w:pPr>
        <w:rPr>
          <w:rFonts w:cs="Calibri"/>
        </w:rPr>
      </w:pPr>
    </w:p>
    <w:p w14:paraId="082B2A96" w14:textId="46DC26A1" w:rsidR="00787F73" w:rsidRDefault="00742FB7" w:rsidP="00866155">
      <w:pPr>
        <w:rPr>
          <w:rFonts w:cs="Calibri"/>
        </w:rPr>
      </w:pPr>
      <w:bookmarkStart w:id="425" w:name="_Hlk179556495"/>
      <w:r>
        <w:rPr>
          <w:rFonts w:cs="Calibri"/>
        </w:rPr>
        <w:t xml:space="preserve">This neoliberal agenda is also influencing national government to encourage public sector organisations onto social media, with the growth of e-governance and the use of social media as a low cost communications tool and as a method to increase transparency </w:t>
      </w:r>
      <w:r>
        <w:fldChar w:fldCharType="begin" w:fldLock="1"/>
      </w:r>
      <w:r w:rsidR="00974B75">
        <w:rPr>
          <w:rFonts w:cs="Calibri"/>
        </w:rPr>
        <w:instrText>ADDIN CSL_CITATION {"citationItems":[{"id":"ITEM-1","itemData":{"DOI":"10.1016/J.GIQ.2008.05.004","ISSN":"0740-624X","abstract":"Theoretically and practically E-Government and the digital divide are intertwined social phenomena. Using sophisticated information technologies (IT) in government has little social value if citizens are not able to use services or interact in political processes in meaningful ways. Similarly, understanding the development and use of IT in government without incorporating a demand perspective would potentially lead to partial explanations of a complex social reality. This article argues that studies about E-Government and the digital divide, which have been relatively disconnected research areas, have important parallels and potential intersections. These parallels may be useful in understanding E-Government projects and policies in a more comprehensive way and, consequently, for developing effective digital strategies. The paper reviews trajectories in E-Government and digital divide research and suggests potential implications drawn from the digital divide literature for E-Government research and practice, including model and theory development, understanding users, and some determinants of demand.","author":[{"dropping-particle":"","family":"Helbig","given":"Natalie","non-dropping-particle":"","parse-names":false,"suffix":""},{"dropping-particle":"","family":"Gil-Garica","given":"Ramón","non-dropping-particle":"","parse-names":false,"suffix":""},{"dropping-particle":"","family":"Ferro","given":"Enrico","non-dropping-particle":"","parse-names":false,"suffix":""}],"container-title":"Government Information Quarterly","id":"ITEM-1","issue":"1","issued":{"date-parts":[["2009","1","1"]]},"note":"Good paper for e-governance","page":"89-97","publisher":"JAI","title":"Understanding the complexity of electronic government: Implications from the digital divide literature","type":"article-journal","volume":"26"},"uris":["http://www.mendeley.com/documents/?uuid=cb0afc40-7dfd-37c7-b592-2c1f36b2b17b"]},{"id":"ITEM-2","itemData":{"DOI":"10.2307/25145732","abstract":"E-governance comprises the use of information and communication technologies (ICTs) to support public services, government administration, democratic processes, and relationships among citizens, civil society, the private sector, and the state. Developed over more than two decades of technology innovation and policy response, the evolution of e-governance is examined in terms of five interrelated objectives: a policy framework, enhanced public services, high-quality and cost-effective government operations, citizen engagement in democratic processes, and administrative and institutional reform. This summary assessment of e-governance in U.S. states and local governments shows that the greatest investment and progress have been made in enhanced public services and improved government operations. Policy development has moved forward on several fronts, but new policy issues continually add to an increasingly complex set of concerns. The least progress appears to have occurred in enhancing democracy and exploring the implications of e-governance for administrative and institutional reform. ICT-enabled governance will continue to evolve for the foreseeable future providing a dynamic environment for ongoing learning and action.","author":[{"dropping-particle":"","family":"Dawes","given":"Sharon S.","non-dropping-particle":"","parse-names":false,"suffix":""}],"container-title":"Public Administration Review","id":"ITEM-2","issue":"S1","issued":{"date-parts":[["2008"]]},"page":"S86 - S102","publisher":"WileyAmerican Society for Public Administration","title":"The Evolution and Continuing Challenges of E-Governance","type":"article-journal","volume":"68"},"uris":["http://www.mendeley.com/documents/?uuid=3d411dc2-1fdc-3a39-97ae-697ad6d06a75"]},{"id":"ITEM-3","itemData":{"DOI":"10.1093/iwc/iws020","ISSN":"0953-5438","author":[{"dropping-particle":"","family":"Choudrie","given":"J.","non-dropping-particle":"","parse-names":false,"suffix":""},{"dropping-particle":"","family":"Ghinea","given":"G.","non-dropping-particle":"","parse-names":false,"suffix":""},{"dropping-particle":"","family":"Songonuga","given":"V. N.","non-dropping-particle":"","parse-names":false,"suffix":""}],"container-title":"Interacting with Computers","id":"ITEM-3","issue":"6","issued":{"date-parts":[["2013"]]},"page":"417-442","title":"Silver Surfers, E-government and the Digital Divide: An Exploratory Study of UK Local Authority Websites and Older Citizens","type":"article-journal","volume":"25"},"uris":["http://www.mendeley.com/documents/?uuid=65de5e4a-2d3c-37bc-a80a-fb3ff61e4e27"]},{"id":"ITEM-4","itemData":{"DOI":"10.1016/j.jaging.2021.100952","ISSN":"08904065","PMID":"34425987","abstract":"European local authorities increasingly use social media to present services and activities organized for citizens living in the particular area. Previous studies found that authority-managed social media visually depicted older adults as being active, sociable, happy, and physically capable, reflecting the normative “third age” representation. Yet few studies to date have examined how local authorities produce the photos of older adults for social media posting. Drawing on semi-structured interviews with communication officers in a Swedish municipality, the purpose of this study is to investigate the production process for social media photos of older adults within local authorities from an institutional logics perspective. The analysis illustrates that communication officers strive to create a good image of the municipality and its services, follow municipal policy and EU law on data protection, seek photos through particular sources, adjust to and develop photographic standards of good photos, and endeavor to promote social media engagement in the photos. These motives and work practices of communication officers contribute to the visual representations of older adults as engaging in municipal services, being socially active, and staying physically capable. The analysis also indicates that both social media and bureaucratic logics encourage officers to produce photos of older adults that highlight the bright side of later life. The findings contribute to previous studies on online representations of older adults generated by local authorities, by showing how the third age representation may come about in practice, and which logics may influence officers to generate such representation. Furthermore, the knowledge provided could be used as a basis for assessment and improvement on authorities' production for social media photos of older adults, which in turn contributes to more diverse and thoughtful representations of older adults and later life in authority-managed social media.","author":[{"dropping-particle":"","family":"Xu","given":"Wenqian","non-dropping-particle":"","parse-names":false,"suffix":""},{"dropping-particle":"","family":"Taghizadeh Larsson","given":"Annika","non-dropping-particle":"","parse-names":false,"suffix":""}],"container-title":"Journal of Aging Studies","id":"ITEM-4","issued":{"date-parts":[["2021"]]},"page":"1 - 11","title":"Communication officers in local authorities meeting social media: On the production of social media photos of older adults","type":"article-journal","volume":"58"},"uris":["http://www.mendeley.com/documents/?uuid=f57bd4e4-c651-431d-b4c2-8a0250ed77b5"]}],"mendeley":{"formattedCitation":"(Xu &amp; Taghizadeh Larsson, 2021; Choudrie, Ghinea, &amp; Songonuga, 2013; Helbig, Gil-Garica, &amp; Ferro, 2009; Dawes, 2008)","plainTextFormattedCitation":"(Xu &amp; Taghizadeh Larsson, 2021; Choudrie, Ghinea, &amp; Songonuga, 2013; Helbig, Gil-Garica, &amp; Ferro, 2009; Dawes, 2008)","previouslyFormattedCitation":"(Xu &amp; Taghizadeh Larsson, 2021; Choudrie, Ghinea, &amp; Songonuga, 2013; Helbig, Gil-Garica, &amp; Ferro, 2009; Dawes, 2008)"},"properties":{"noteIndex":0},"schema":"https://github.com/citation-style-language/schema/raw/master/csl-citation.json"}</w:instrText>
      </w:r>
      <w:r>
        <w:rPr>
          <w:rFonts w:cs="Calibri"/>
        </w:rPr>
        <w:fldChar w:fldCharType="separate"/>
      </w:r>
      <w:r>
        <w:rPr>
          <w:rFonts w:cs="Calibri"/>
          <w:noProof/>
        </w:rPr>
        <w:t>(Xu &amp; Taghizadeh Larsson, 2021; Choudrie, Ghinea, &amp; Songonuga, 2013; Helbig, Gil-Garica, &amp; Ferro, 2009; Dawes, 2008)</w:t>
      </w:r>
      <w:r>
        <w:rPr>
          <w:rFonts w:cs="Calibri"/>
        </w:rPr>
        <w:fldChar w:fldCharType="end"/>
      </w:r>
      <w:r>
        <w:rPr>
          <w:rFonts w:cs="Calibri"/>
        </w:rPr>
        <w:t xml:space="preserve">. This increased use of social media to communicate key information by businesses and public sector agencies creates a challenge for the digitally excluded; if people cannot access the online materials or follow the accounts they risk missing crucial information, incurring financial penalties, and becoming socially excluded </w:t>
      </w:r>
      <w:r>
        <w:fldChar w:fldCharType="begin" w:fldLock="1"/>
      </w:r>
      <w:r w:rsidR="00974B75">
        <w:rPr>
          <w:rFonts w:cs="Calibri"/>
        </w:rPr>
        <w:instrText>ADDIN CSL_CITATION {"citationItems":[{"id":"ITEM-1","itemData":{"DOI":"10.1177/1461444814538648","abstract":"The diffusion of the Internet is reaching a level between 80% and 90% in Western societies. Yet, while the digital divide is closing for young cohorts, it is still an issue when comparing various generations. This study focuses specifically on the so-called 'grey divide', a divide among seniors of age 65+ years. Based on a representative survey in Switzerland (N = 1105), it is found that Internet use is strongly skewed in this age group leading to a partial exclusion of the old seniors (70+). Logistic regression shows that gender differences in usage disappear if controlled for education, income, technical interest, pre-retirement computer use and marital status. Furthermore, the social context appears to have a manifold influence on Internet use. Encouragement by family and friends is a strong predictor for Internet use, and private learning settings are preferred over professional courses. Implications for digital inequality initiatives and further research are discussed.","author":[{"dropping-particle":"","family":"Friemel","given":"Thomas N","non-dropping-particle":"","parse-names":false,"suffix":""}],"container-title":"New Media &amp; Society","id":"ITEM-1","issue":"2","issued":{"date-parts":[["2016"]]},"page":"313-331","title":"The digital divide has grown old: Determinants of a digital divide among seniors","type":"article-journal","volume":"18"},"uris":["http://www.mendeley.com/documents/?uuid=9be918b7-016f-316c-a440-803dda1de9eb"]},{"id":"ITEM-2","itemData":{"DOI":"10.1093/iwc/iws020","ISSN":"0953-5438","author":[{"dropping-particle":"","family":"Choudrie","given":"J.","non-dropping-particle":"","parse-names":false,"suffix":""},{"dropping-particle":"","family":"Ghinea","given":"G.","non-dropping-particle":"","parse-names":false,"suffix":""},{"dropping-particle":"","family":"Songonuga","given":"V. N.","non-dropping-particle":"","parse-names":false,"suffix":""}],"container-title":"Interacting with Computers","id":"ITEM-2","issue":"6","issued":{"date-parts":[["2013"]]},"page":"417-442","title":"Silver Surfers, E-government and the Digital Divide: An Exploratory Study of UK Local Authority Websites and Older Citizens","type":"article-journal","volume":"25"},"uris":["http://www.mendeley.com/documents/?uuid=65de5e4a-2d3c-37bc-a80a-fb3ff61e4e27"]},{"id":"ITEM-3","itemData":{"DOI":"10.1016/J.GIQ.2008.05.004","ISSN":"0740-624X","abstract":"Theoretically and practically E-Government and the digital divide are intertwined social phenomena. Using sophisticated information technologies (IT) in government has little social value if citizens are not able to use services or interact in political processes in meaningful ways. Similarly, understanding the development and use of IT in government without incorporating a demand perspective would potentially lead to partial explanations of a complex social reality. This article argues that studies about E-Government and the digital divide, which have been relatively disconnected research areas, have important parallels and potential intersections. These parallels may be useful in understanding E-Government projects and policies in a more comprehensive way and, consequently, for developing effective digital strategies. The paper reviews trajectories in E-Government and digital divide research and suggests potential implications drawn from the digital divide literature for E-Government research and practice, including model and theory development, understanding users, and some determinants of demand.","author":[{"dropping-particle":"","family":"Helbig","given":"Natalie","non-dropping-particle":"","parse-names":false,"suffix":""},{"dropping-particle":"","family":"Gil-Garica","given":"Ramón","non-dropping-particle":"","parse-names":false,"suffix":""},{"dropping-particle":"","family":"Ferro","given":"Enrico","non-dropping-particle":"","parse-names":false,"suffix":""}],"container-title":"Government Information Quarterly","id":"ITEM-3","issue":"1","issued":{"date-parts":[["2009","1","1"]]},"note":"Good paper for e-governance","page":"89-97","publisher":"JAI","title":"Understanding the complexity of electronic government: Implications from the digital divide literature","type":"article-journal","volume":"26"},"uris":["http://www.mendeley.com/documents/?uuid=cb0afc40-7dfd-37c7-b592-2c1f36b2b17b"]},{"id":"ITEM-4","itemData":{"DOI":"10.1016/j.techfore.2021.121359","ISSN":"00401625","abstract":"This article provides a systematic review of the digital divide, a phenomenon which refers to disparities in Information and Communications Technology access, usage, and outcomes. It uniquely identifies the factors affecting the digital divide that have emerged in recent years (2017–2021) as well as investigate if there are new forms or levels of the divide that have surfaced in recent literature. The findings, based on 50 included studies, show that the factors affecting the digital divide can be classified into three different segments and nine main categories: sociodemographic, socioeconomic, personal elements, social support, type of technology, digital training, rights, infrastructure, and large-scale events. Out of all factors, education has been linked to the digital divide the most. The majority of recent literature have studied Level 2 of the divide. Also, only one article in the sample has considered the digital divide at the firm level. Findings also show that a new form, type-of-internet access, and two potential new levels of the digital divide, algorithmic awareness and data inequalities, have been identified in the contemporary literature. The results contribute to the understanding and development of the different perspectives of the digital divide concept. They also contribute to the stream of literature on the determinants of the divide and to the social inequalities and digital inclusion literature. This review can be seen as a guide for managers to realize and understand the forms that the divide can take and to delve into their organizational capabilities on the digitalization front and evaluate where further development is needed within their organizations to help diminish the divide.","author":[{"dropping-particle":"","family":"Lythreatis","given":"Sophie","non-dropping-particle":"","parse-names":false,"suffix":""},{"dropping-particle":"","family":"Singh","given":"Sanjay Kumar","non-dropping-particle":"","parse-names":false,"suffix":""},{"dropping-particle":"","family":"El-Kassar","given":"Abdul Nasser","non-dropping-particle":"","parse-names":false,"suffix":""}],"container-title":"Technological Forecasting and Social Change","id":"ITEM-4","issued":{"date-parts":[["2022"]]},"page":"1 - 11","title":"The digital divide: A review and future research agenda","type":"article-journal","volume":"175"},"uris":["http://www.mendeley.com/documents/?uuid=cfa3e6e0-9ee3-4543-abe0-b95d170da6de"]},{"id":"ITEM-5","itemData":{"DOI":"10.1016/j.diggeo.2022.100041","ISSN":"26663783","abstract":"Digital exclusion and poverty are understood to be closely linked, and existing literature on the topic makes clear that the contexts of people's lives shape their experiences of digital exclusion in important ways. Indeed, the online and offline aspects of life are in many regards inextricable. As such, this paper focuses on the complex relationship between digital exclusion and poverty, and examines how a range of spatial, material, and temporal factors related to experiences of poverty shape opportunities to use the internet. Drawing upon qualitative data from interviews with coaches and participants in a programme which seeks to help low-income people find work, manage their money, and get online, the paper traces several key ways in which different aspects of poverty – including housing inequality – coalesce to shape experiences of digital exclusion. In doing so, the paper argues that examining the ways in which these seemingly offline aspects of poverty affect opportunities to use the internet provides an opportunity to enhance understandings of exactly how digital exclusion is manifested for those experiencing poverty.","author":[{"dropping-particle":"","family":"Holmes","given":"Hannah","non-dropping-particle":"","parse-names":false,"suffix":""},{"dropping-particle":"","family":"Burgess","given":"Gemma","non-dropping-particle":"","parse-names":false,"suffix":""}],"container-title":"Digital Geography and Society","id":"ITEM-5","issued":{"date-parts":[["2022"]]},"page":"1-9","title":"Digital exclusion and poverty in the UK: How structural inequality shapes experiences of getting online","type":"article-journal","volume":"3"},"uris":["http://www.mendeley.com/documents/?uuid=a5d72ba4-5729-45de-a51e-ca85c70c5384"]}],"mendeley":{"formattedCitation":"(Holmes &amp; Burgess, 2022; Lythreatis, Singh, &amp; El-Kassar, 2022; Friemel, 2016; Choudrie, Ghinea, &amp; Songonuga, 2013; Helbig, Gil-Garica, &amp; Ferro, 2009)","plainTextFormattedCitation":"(Holmes &amp; Burgess, 2022; Lythreatis, Singh, &amp; El-Kassar, 2022; Friemel, 2016; Choudrie, Ghinea, &amp; Songonuga, 2013; Helbig, Gil-Garica, &amp; Ferro, 2009)","previouslyFormattedCitation":"(Holmes &amp; Burgess, 2022; Lythreatis, Singh, &amp; El-Kassar, 2022; Friemel, 2016; Choudrie, Ghinea, &amp; Songonuga, 2013; Helbig, Gil-Garica, &amp; Ferro, 2009)"},"properties":{"noteIndex":0},"schema":"https://github.com/citation-style-language/schema/raw/master/csl-citation.json"}</w:instrText>
      </w:r>
      <w:r>
        <w:rPr>
          <w:rFonts w:cs="Calibri"/>
        </w:rPr>
        <w:fldChar w:fldCharType="separate"/>
      </w:r>
      <w:r>
        <w:rPr>
          <w:rFonts w:cs="Calibri"/>
          <w:noProof/>
        </w:rPr>
        <w:t>(Holmes &amp; Burgess, 2022; Lythreatis, Singh, &amp; El-Kassar, 2022; Friemel, 2016; Choudrie, Ghinea, &amp; Songonuga, 2013; Helbig, Gil-Garica, &amp; Ferro, 2009)</w:t>
      </w:r>
      <w:r>
        <w:rPr>
          <w:rFonts w:cs="Calibri"/>
        </w:rPr>
        <w:fldChar w:fldCharType="end"/>
      </w:r>
      <w:r>
        <w:rPr>
          <w:rFonts w:cs="Calibri"/>
        </w:rPr>
        <w:t xml:space="preserve">. In 2021, 94% of adults in the UK used the internet, this means that 6% of adults (an estimated 1.7 million households) were not online </w:t>
      </w:r>
      <w:r>
        <w:fldChar w:fldCharType="begin" w:fldLock="1"/>
      </w:r>
      <w:r>
        <w:rPr>
          <w:rFonts w:cs="Calibri"/>
        </w:rPr>
        <w:instrText>ADDIN CSL_CITATION {"citationItems":[{"id":"ITEM-1","itemData":{"author":[{"dropping-particle":"","family":"Ofcom","given":"","non-dropping-particle":"","parse-names":false,"suffix":""}],"id":"ITEM-1","issue":"June","issued":{"date-parts":[["2022"]]},"number-of-pages":"1-128","title":"Online Nation 2022 Report","type":"report"},"uris":["http://www.mendeley.com/documents/?uuid=c5bb2cc7-993f-4faa-af41-2c4e4df781d1"]}],"mendeley":{"formattedCitation":"(Ofcom, 2022)","plainTextFormattedCitation":"(Ofcom, 2022)","previouslyFormattedCitation":"(Ofcom, 2022)"},"properties":{"noteIndex":0},"schema":"https://github.com/citation-style-language/schema/raw/master/csl-citation.json"}</w:instrText>
      </w:r>
      <w:r>
        <w:rPr>
          <w:rFonts w:cs="Calibri"/>
        </w:rPr>
        <w:fldChar w:fldCharType="separate"/>
      </w:r>
      <w:r>
        <w:rPr>
          <w:rFonts w:cs="Calibri"/>
          <w:noProof/>
        </w:rPr>
        <w:t>(Ofcom, 2022)</w:t>
      </w:r>
      <w:r>
        <w:rPr>
          <w:rFonts w:cs="Calibri"/>
        </w:rPr>
        <w:fldChar w:fldCharType="end"/>
      </w:r>
      <w:r>
        <w:rPr>
          <w:rFonts w:cs="Calibri"/>
        </w:rPr>
        <w:t xml:space="preserve">; however, one must note this only includes data for people directly engaging online, not people who have support networks who engage online </w:t>
      </w:r>
      <w:r w:rsidR="008D4A61">
        <w:rPr>
          <w:rFonts w:cs="Calibri"/>
        </w:rPr>
        <w:t>on their behalf</w:t>
      </w:r>
      <w:r>
        <w:rPr>
          <w:rFonts w:cs="Calibri"/>
        </w:rPr>
        <w:t xml:space="preserve">, such as buying items online for them. This </w:t>
      </w:r>
      <w:r w:rsidR="008D4A61">
        <w:rPr>
          <w:rFonts w:cs="Calibri"/>
        </w:rPr>
        <w:t xml:space="preserve">highlights </w:t>
      </w:r>
      <w:r>
        <w:rPr>
          <w:rFonts w:cs="Calibri"/>
        </w:rPr>
        <w:t>the importance of understanding the digital divide, especially in terms of engagement from public bodies, such as SYFR, who have a statutory obligation to support their communities. Examining how public sector organisations view and aim to combat the barriers and challenges faced by people engaging online would be an interesting avenue for future research.</w:t>
      </w:r>
    </w:p>
    <w:p w14:paraId="7B0D707D" w14:textId="77777777" w:rsidR="00CC646F" w:rsidRDefault="00CC646F" w:rsidP="00866155">
      <w:pPr>
        <w:rPr>
          <w:rFonts w:cs="Calibri"/>
        </w:rPr>
      </w:pPr>
    </w:p>
    <w:p w14:paraId="4DA16DDC" w14:textId="77777777" w:rsidR="00CC646F" w:rsidRDefault="00CC646F" w:rsidP="00866155">
      <w:r>
        <w:rPr>
          <w:rFonts w:cs="Calibri"/>
        </w:rPr>
        <w:lastRenderedPageBreak/>
        <w:t>The concept of the digital divide is therefore of great importance when discussing the use of social media for community disaster resilience. As discussed in section 2.4.</w:t>
      </w:r>
      <w:r w:rsidR="00E63E9A">
        <w:rPr>
          <w:rFonts w:cs="Calibri"/>
        </w:rPr>
        <w:t>3</w:t>
      </w:r>
      <w:r>
        <w:rPr>
          <w:rFonts w:cs="Calibri"/>
        </w:rPr>
        <w:t xml:space="preserve">, social capital is an important factor within the development of community resilience, enabling community members to develop bonding, bridging and linking social capital </w:t>
      </w:r>
      <w:r>
        <w:rPr>
          <w:rFonts w:cs="Calibri"/>
        </w:rPr>
        <w:fldChar w:fldCharType="begin" w:fldLock="1"/>
      </w:r>
      <w:r w:rsidR="007E5BCF">
        <w:rPr>
          <w:rFonts w:cs="Calibri"/>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India","type":"article-journal","volume":"19"},"uris":["http://www.mendeley.com/documents/?uuid=d8bcf27c-1efc-4c15-8204-cd8b37719dd2"]},{"id":"ITEM-2","itemData":{"DOI":"10.1007/s13280-021-01678-9","ISBN":"1328002101","ISSN":"16547209","PMID":"35015248","abstract":"Social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-2","issue":"6","issued":{"date-parts":[["2022"]]},"page":"1371-1387","title":"Building community resilience in a context of climate change: The role of social capital","type":"article-journal","volume":"51"},"uris":["http://www.mendeley.com/documents/?uuid=811839c2-2eda-4cbc-80b5-6bfc7c4a8392"]}],"mendeley":{"formattedCitation":"(Carmen et al., 2022; Sanyal &amp; Routray, 2016)","plainTextFormattedCitation":"(Carmen et al., 2022; Sanyal &amp; Routray, 2016)","previouslyFormattedCitation":"(Carmen et al., 2022; Sanyal &amp; Routray, 2016)"},"properties":{"noteIndex":0},"schema":"https://github.com/citation-style-language/schema/raw/master/csl-citation.json"}</w:instrText>
      </w:r>
      <w:r>
        <w:rPr>
          <w:rFonts w:cs="Calibri"/>
        </w:rPr>
        <w:fldChar w:fldCharType="separate"/>
      </w:r>
      <w:r w:rsidRPr="00CC646F">
        <w:rPr>
          <w:rFonts w:cs="Calibri"/>
          <w:noProof/>
        </w:rPr>
        <w:t>(Carmen et al., 2022; Sanyal &amp; Routray, 2016)</w:t>
      </w:r>
      <w:r>
        <w:rPr>
          <w:rFonts w:cs="Calibri"/>
        </w:rPr>
        <w:fldChar w:fldCharType="end"/>
      </w:r>
      <w:r>
        <w:rPr>
          <w:rFonts w:cs="Calibri"/>
        </w:rPr>
        <w:t xml:space="preserve">. This poses a challenge when organisations are moving more of their material and interactions online. If someone is digitally excluded, they will not be able to develop </w:t>
      </w:r>
      <w:r w:rsidRPr="00A0151B">
        <w:rPr>
          <w:rFonts w:cs="Calibri"/>
          <w:i/>
          <w:iCs/>
        </w:rPr>
        <w:t>linking</w:t>
      </w:r>
      <w:r>
        <w:rPr>
          <w:rFonts w:cs="Calibri"/>
        </w:rPr>
        <w:t xml:space="preserve"> social capital with relevant organisations, such as SYFR. This would limit SYFR</w:t>
      </w:r>
      <w:r w:rsidR="008D4A61">
        <w:rPr>
          <w:rFonts w:cs="Calibri"/>
        </w:rPr>
        <w:t>’</w:t>
      </w:r>
      <w:r>
        <w:rPr>
          <w:rFonts w:cs="Calibri"/>
        </w:rPr>
        <w:t>s ability to reach and communicate with some of the most vulnerable members in society.</w:t>
      </w:r>
      <w:r w:rsidR="008409C6">
        <w:rPr>
          <w:rFonts w:cs="Calibri"/>
        </w:rPr>
        <w:t xml:space="preserve">  </w:t>
      </w:r>
    </w:p>
    <w:p w14:paraId="450073E7" w14:textId="77777777" w:rsidR="00787F73" w:rsidRDefault="00787F73" w:rsidP="00866155">
      <w:pPr>
        <w:rPr>
          <w:rFonts w:cs="Calibri"/>
        </w:rPr>
      </w:pPr>
    </w:p>
    <w:p w14:paraId="3D6B3CBC" w14:textId="77777777" w:rsidR="00787F73" w:rsidRDefault="00742FB7" w:rsidP="00866155">
      <w:r>
        <w:rPr>
          <w:rFonts w:cs="Calibri"/>
        </w:rPr>
        <w:t xml:space="preserve">This thesis focused on how SYFR can use social media to support community disaster resilience, and as such needs to understand how social media is used by the individuals and the communities who are digitally included. </w:t>
      </w:r>
    </w:p>
    <w:bookmarkEnd w:id="425"/>
    <w:p w14:paraId="5605CDA4" w14:textId="77777777" w:rsidR="00787F73" w:rsidRDefault="00787F73" w:rsidP="00866155">
      <w:pPr>
        <w:rPr>
          <w:rFonts w:cs="Calibri"/>
        </w:rPr>
      </w:pPr>
    </w:p>
    <w:p w14:paraId="37AEE226" w14:textId="77777777" w:rsidR="00787F73" w:rsidRDefault="00742FB7" w:rsidP="00866155">
      <w:pPr>
        <w:pStyle w:val="Heading3"/>
      </w:pPr>
      <w:bookmarkStart w:id="426" w:name="_Toc140071603"/>
      <w:bookmarkStart w:id="427" w:name="_Toc522884866"/>
      <w:bookmarkStart w:id="428" w:name="_Toc93336021"/>
      <w:bookmarkStart w:id="429" w:name="_Toc98148358"/>
      <w:bookmarkStart w:id="430" w:name="_Toc10621095"/>
      <w:bookmarkStart w:id="431" w:name="_Toc523750413"/>
      <w:bookmarkStart w:id="432" w:name="_Toc523850274"/>
      <w:bookmarkStart w:id="433" w:name="_Toc22633731"/>
      <w:bookmarkStart w:id="434" w:name="_Toc153554325"/>
      <w:bookmarkStart w:id="435" w:name="_Toc158823566"/>
      <w:bookmarkStart w:id="436" w:name="_Toc193367207"/>
      <w:r>
        <w:rPr>
          <w:rFonts w:ascii="Calibri" w:hAnsi="Calibri" w:cs="Calibri"/>
        </w:rPr>
        <w:t xml:space="preserve">2.5.4: Putting the Social in </w:t>
      </w:r>
      <w:bookmarkEnd w:id="426"/>
      <w:bookmarkEnd w:id="427"/>
      <w:bookmarkEnd w:id="428"/>
      <w:bookmarkEnd w:id="429"/>
      <w:bookmarkEnd w:id="430"/>
      <w:bookmarkEnd w:id="431"/>
      <w:bookmarkEnd w:id="432"/>
      <w:bookmarkEnd w:id="433"/>
      <w:r>
        <w:rPr>
          <w:rFonts w:ascii="Calibri" w:hAnsi="Calibri" w:cs="Calibri"/>
        </w:rPr>
        <w:t>social media.</w:t>
      </w:r>
      <w:bookmarkEnd w:id="434"/>
      <w:bookmarkEnd w:id="435"/>
      <w:bookmarkEnd w:id="436"/>
    </w:p>
    <w:p w14:paraId="4B268FEA" w14:textId="2B92526C" w:rsidR="00787F73" w:rsidRDefault="00742FB7" w:rsidP="00866155">
      <w:r>
        <w:rPr>
          <w:rFonts w:cs="Calibri"/>
        </w:rPr>
        <w:t xml:space="preserve">When new technology and media are created there is often a concern over their impact on person to person relationships; this was seen with the creation of the television, with the fear that it would reduce community engagement and other traditional relationships, such as family dynamics </w:t>
      </w:r>
      <w:r>
        <w:fldChar w:fldCharType="begin" w:fldLock="1"/>
      </w:r>
      <w:r w:rsidR="00974B75">
        <w:rPr>
          <w:rFonts w:cs="Calibri"/>
        </w:rPr>
        <w:instrText>ADDIN CSL_CITATION {"citationItems":[{"id":"ITEM-1","itemData":{"author":[{"dropping-particle":"","family":"Rainie","given":"Lee","non-dropping-particle":"","parse-names":false,"suffix":""},{"dropping-particle":"","family":"Wellman","given":"Barry","non-dropping-particle":"","parse-names":false,"suffix":""}],"chapter-number":"5","container-title":"Networked: The New Social Operating System","id":"ITEM-1","issued":{"date-parts":[["2012"]]},"note":"&amp;quot;Networked relationships on and offline reinforce networked individual- ism.&amp;quot; (pp145)\n\n&amp;quot;People ’ s lives offline and online are now integrated — it no longer makes sense to make a distinction.&amp;quot; (pp146)","page":"117 - 146","publisher":"MIT Press","title":"Networked Relationships","type":"chapter"},"uris":["http://www.mendeley.com/documents/?uuid=541cf531-c923-4ffd-8704-07b0c3f903cb"]},{"id":"ITEM-2","itemData":{"ISSN":"1086-3214","author":[{"dropping-particle":"","family":"Putnam","given":"Robert D","non-dropping-particle":"","parse-names":false,"suffix":""}],"container-title":"Journal of democracy","id":"ITEM-2","issue":"1","issued":{"date-parts":[["1995"]]},"page":"65-78","publisher":"The Johns Hopkins University Press","title":"Bowling alone: America's declining social capital","type":"article-journal","volume":"6"},"uris":["http://www.mendeley.com/documents/?uuid=73a3321c-875f-4e9b-81fd-15b2afb905cf"]}],"mendeley":{"formattedCitation":"(Rainie &amp; Wellman, 2012; Putnam, 1995)","plainTextFormattedCitation":"(Rainie &amp; Wellman, 2012; Putnam, 1995)","previouslyFormattedCitation":"(Rainie &amp; Wellman, 2012; Putnam, 1995)"},"properties":{"noteIndex":0},"schema":"https://github.com/citation-style-language/schema/raw/master/csl-citation.json"}</w:instrText>
      </w:r>
      <w:r>
        <w:rPr>
          <w:rFonts w:cs="Calibri"/>
        </w:rPr>
        <w:fldChar w:fldCharType="separate"/>
      </w:r>
      <w:r>
        <w:rPr>
          <w:rFonts w:cs="Calibri"/>
          <w:noProof/>
        </w:rPr>
        <w:t>(Rainie &amp; Wellman, 2012; Putnam, 1995)</w:t>
      </w:r>
      <w:r>
        <w:rPr>
          <w:rFonts w:cs="Calibri"/>
        </w:rPr>
        <w:fldChar w:fldCharType="end"/>
      </w:r>
      <w:r>
        <w:rPr>
          <w:rFonts w:cs="Calibri"/>
        </w:rPr>
        <w:t>,</w:t>
      </w:r>
      <w:r w:rsidR="008D4A61">
        <w:rPr>
          <w:rFonts w:cs="Calibri"/>
        </w:rPr>
        <w:t xml:space="preserve">. </w:t>
      </w:r>
      <w:r w:rsidR="000D66C3">
        <w:rPr>
          <w:rFonts w:cs="Calibri"/>
        </w:rPr>
        <w:t>This can</w:t>
      </w:r>
      <w:r>
        <w:rPr>
          <w:rFonts w:cs="Calibri"/>
        </w:rPr>
        <w:t xml:space="preserve"> be viewed as the process of shifting logics. With the growing use of the internet, and specifically social media, there was a concern about what it meant for relationships and traditional community environments </w:t>
      </w:r>
      <w:r>
        <w:fldChar w:fldCharType="begin" w:fldLock="1"/>
      </w:r>
      <w:r w:rsidR="00974B75">
        <w:rPr>
          <w:rFonts w:cs="Calibri"/>
        </w:rPr>
        <w:instrText>ADDIN CSL_CITATION {"citationItems":[{"id":"ITEM-1","itemData":{"ISBN":"9780745643328","abstract":"\"The internet and the mobile phone have disrupted many of our conventional understandings of our selves and our relationships, raising anxieties and hopes about their effects on our lives. This timely and vibrant book provides frameworks for thinking critically about the roles of digital media in personal relationships. Rather than providing exuberant accounts or cautionary tales, it offers a data-grounded primer on how to make sense of these important changes in relational life. The book identifies the core relational issues these media disturb and shows how the ways we talk about them echo historical discussions about earlier communication technologies. Chapters explore how we use mediated language and nonverbal behavior to develop and maintain communities, social networks, new relationships, and to maintain relationships in our everyday lives. It combines research findings with lively examples to address questions such as whether mediated interaction can be warm and personal, whether people are honest about themselves online, whether relationships that start online can work, and whether using these media damages the other relationships in our lives. Throughout, the book argues for approaching these questions with firm understandings of the qualities of media as well as the social and personal contexts in which they are developed and used. Personal Connections in the Digital Age will be required reading for all students and scholars of media, communication studies, and sociology, as well as all those who want a firmer understanding of digital media and everyday life.\"--Back cover. New forms of personal connection -- Making new media make sense -- Communication in digital spaces -- Communities and networks -- New relationships, new selves? -- Digital media in relational development and maintenance -- Conclusion : The myth of cyberspace.","author":[{"dropping-particle":"","family":"Baym","given":"Nancy K.","non-dropping-particle":"","parse-names":false,"suffix":""}],"edition":"First","id":"ITEM-1","issued":{"date-parts":[["2015"]]},"number-of-pages":"286","publisher":"Polity Press","publisher-place":"Cambridge","title":"Personal Connections in the Digital Age","type":"book"},"uris":["http://www.mendeley.com/documents/?uuid=c714c08f-3dce-3d34-b65f-746be99fc8f6"]}],"mendeley":{"formattedCitation":"(Baym, 2015)","plainTextFormattedCitation":"(Baym, 2015)","previouslyFormattedCitation":"(Baym, 2015)"},"properties":{"noteIndex":0},"schema":"https://github.com/citation-style-language/schema/raw/master/csl-citation.json"}</w:instrText>
      </w:r>
      <w:r>
        <w:rPr>
          <w:rFonts w:cs="Calibri"/>
        </w:rPr>
        <w:fldChar w:fldCharType="separate"/>
      </w:r>
      <w:r w:rsidR="00974B75" w:rsidRPr="00974B75">
        <w:rPr>
          <w:rFonts w:cs="Calibri"/>
          <w:noProof/>
        </w:rPr>
        <w:t>(Baym, 2015)</w:t>
      </w:r>
      <w:r>
        <w:rPr>
          <w:rFonts w:cs="Calibri"/>
        </w:rPr>
        <w:fldChar w:fldCharType="end"/>
      </w:r>
      <w:r>
        <w:rPr>
          <w:rFonts w:cs="Calibri"/>
        </w:rPr>
        <w:t xml:space="preserve">, with research exploring the perceived dichotomy of online and offline relationships, known as </w:t>
      </w:r>
      <w:r>
        <w:rPr>
          <w:rFonts w:cs="Calibri"/>
          <w:i/>
          <w:iCs/>
        </w:rPr>
        <w:t>digital dualism</w:t>
      </w:r>
      <w:r>
        <w:rPr>
          <w:rFonts w:cs="Calibri"/>
        </w:rPr>
        <w:t xml:space="preserve">; however, this is a simplistic view, as relationships operate fluidly between online and offline spaces </w:t>
      </w:r>
      <w:r>
        <w:fldChar w:fldCharType="begin" w:fldLock="1"/>
      </w:r>
      <w:r w:rsidR="00974B75">
        <w:rPr>
          <w:rFonts w:cs="Calibri"/>
        </w:rPr>
        <w:instrText>ADDIN CSL_CITATION {"citationItems":[{"id":"ITEM-1","itemData":{"DOI":"10.2307/20054158","ISSN":"0008-4263","PMID":"21214056","abstract":"The integration of traditional (offline and face-to-face) and virtual ethnographic methods can aid researchers interested in developing understandings of relationships between online and offline cultural life, and examining the diffuse and sometimes global character of youth resistance. In constructing this argument, I have used insights from studies on youth activism and the rave subculture. These studies also informed my central theoretical suggestion: that an approach to research underscored by a sensitivity to everyday experiences and the power structures framing these experiences can (still) be a powerful guide for understanding flows and circuits of resistance in Internet-influenced cultures.","author":[{"dropping-particle":"","family":"Wilson","given":"Brian","non-dropping-particle":"","parse-names":false,"suffix":""}],"container-title":"Canadian Journal of Education","id":"ITEM-1","issue":"1","issued":{"date-parts":[["2006"]]},"page":"307 - 328","title":"Ethnography, the Internet, and Youth Culture: Strategies for Examining Social Resistance and \"Online-Offline\" Relationships","type":"article-journal","volume":"29"},"uris":["http://www.mendeley.com/documents/?uuid=5fc30142-e3ff-406f-ae97-c783247e2dd4"]},{"id":"ITEM-2","itemData":{"DOI":"10.1016/j.appdev.2008.07.003","ISBN":"0193-3973","ISSN":"01933973","PMID":"15998057","abstract":"Social networking sites (e.g., MySpace and Facebook) are popular online communication forms among adolescents and emerging adults. Yet little is known about young people's activities on these sites and how their networks of \"friends\" relate to their other online (e.g., instant messaging) and offline networks. In this study, college students responded, in person and online, to questions about their online activities and closest friends in three contexts: social networking sites, instant messaging, and face-to-face. Results showed that participants often used the Internet, especially social networking sites, to connect and reconnect with friends and family members. Hence, there was overlap between participants' online and offline networks. However, the overlap was imperfect; the pattern suggested that emerging adults may use different online contexts to strengthen different aspects of their offline connections. Information from this survey is relevant to concerns about young people's life online. © 2008 Elsevier Inc. All rights reserved.","author":[{"dropping-particle":"","family":"Subrahmanyam","given":"Kaveri","non-dropping-particle":"","parse-names":false,"suffix":""},{"dropping-particle":"","family":"Reich","given":"Stephanie M.","non-dropping-particle":"","parse-names":false,"suffix":""},{"dropping-particle":"","family":"Waechter","given":"Natalia","non-dropping-particle":"","parse-names":false,"suffix":""},{"dropping-particle":"","family":"Espinoza","given":"Guadalupe","non-dropping-particle":"","parse-names":false,"suffix":""}],"container-title":"Journal of Applied Developmental Psychology","id":"ITEM-2","issue":"6","issued":{"date-parts":[["2008"]]},"page":"420-433","publisher":"Elsevier Inc.","title":"Online and offline social networks: Use of social networking sites by emerging adults","type":"article-journal","volume":"29"},"uris":["http://www.mendeley.com/documents/?uuid=42d79f0e-f3f1-46f5-a416-24cd2af9a1a9"]},{"id":"ITEM-3","itemData":{"URL":"https://thesocietypages.org/cyborgology/2011/02/24/digital-dualism-versus-augmented-reality","abstract":"This post is about the fallacy of the digital dualism. He argues for an augmented reality that consists of the amalgamation of the experiences that happen in the physical realm and in the digital realm, which is part of our reality and the boundaries between real and virtual is blurred each day a bit more.","accessed":{"date-parts":[["2019","10","7"]]},"author":[{"dropping-particle":"","family":"Jurgenson","given":"Nathan","non-dropping-particle":"","parse-names":false,"suffix":""}],"container-title":"The Society Pages","id":"ITEM-3","issued":{"date-parts":[["2011"]]},"page":"1-2","title":"Digital Dualism vs Augmented Reality","type":"webpage"},"uris":["http://www.mendeley.com/documents/?uuid=b9e4f303-8caa-48c1-a393-d49aeb1b7616"]}],"mendeley":{"formattedCitation":"(Jurgenson, 2011; Subrahmanyam et al., 2008; Wilson, 2006)","plainTextFormattedCitation":"(Jurgenson, 2011; Subrahmanyam et al., 2008; Wilson, 2006)","previouslyFormattedCitation":"(Jurgenson, 2011; Subrahmanyam et al., 2008; Wilson, 2006)"},"properties":{"noteIndex":0},"schema":"https://github.com/citation-style-language/schema/raw/master/csl-citation.json"}</w:instrText>
      </w:r>
      <w:r>
        <w:rPr>
          <w:rFonts w:cs="Calibri"/>
        </w:rPr>
        <w:fldChar w:fldCharType="separate"/>
      </w:r>
      <w:r>
        <w:rPr>
          <w:rFonts w:cs="Calibri"/>
          <w:noProof/>
        </w:rPr>
        <w:t>(Jurgenson, 2011; Subrahmanyam et al., 2008; Wilson, 2006)</w:t>
      </w:r>
      <w:r>
        <w:rPr>
          <w:rFonts w:cs="Calibri"/>
        </w:rPr>
        <w:fldChar w:fldCharType="end"/>
      </w:r>
      <w:r>
        <w:rPr>
          <w:rFonts w:cs="Calibri"/>
        </w:rPr>
        <w:t>. This section explores this continuum</w:t>
      </w:r>
      <w:r w:rsidR="00BA0CD4">
        <w:rPr>
          <w:rFonts w:cs="Calibri"/>
        </w:rPr>
        <w:t>.</w:t>
      </w:r>
    </w:p>
    <w:p w14:paraId="216BE21F" w14:textId="77777777" w:rsidR="00787F73" w:rsidRDefault="00787F73" w:rsidP="00866155">
      <w:pPr>
        <w:rPr>
          <w:rFonts w:cs="Calibri"/>
        </w:rPr>
      </w:pPr>
    </w:p>
    <w:p w14:paraId="42CE7822" w14:textId="77777777" w:rsidR="00787F73" w:rsidRDefault="00742FB7" w:rsidP="00866155">
      <w:pPr>
        <w:pStyle w:val="Heading4"/>
        <w:spacing w:line="360" w:lineRule="auto"/>
      </w:pPr>
      <w:bookmarkStart w:id="437" w:name="_Toc98148359"/>
      <w:r>
        <w:rPr>
          <w:rFonts w:ascii="Calibri" w:hAnsi="Calibri" w:cs="Calibri"/>
        </w:rPr>
        <w:t>Individual use of social media</w:t>
      </w:r>
      <w:bookmarkEnd w:id="437"/>
    </w:p>
    <w:p w14:paraId="05E38506" w14:textId="580197B4" w:rsidR="00787F73" w:rsidRDefault="00742FB7" w:rsidP="00866155">
      <w:r>
        <w:rPr>
          <w:rFonts w:cs="Calibri"/>
        </w:rPr>
        <w:t xml:space="preserve">To better understand how individuals use social media, there needs to be an examination of who is online and what platforms they are using. Ofcom data suggests that within the 94% of UK adults online, Facebook is still the most popular site, with 94% of those adults visiting Facebook in September 2021, 92% on YouTube, 73% on Instagram, and 62% on Twitter </w:t>
      </w:r>
      <w:r>
        <w:lastRenderedPageBreak/>
        <w:fldChar w:fldCharType="begin" w:fldLock="1"/>
      </w:r>
      <w:r>
        <w:rPr>
          <w:rFonts w:cs="Calibri"/>
        </w:rPr>
        <w:instrText>ADDIN CSL_CITATION {"citationItems":[{"id":"ITEM-1","itemData":{"author":[{"dropping-particle":"","family":"Ofcom","given":"","non-dropping-particle":"","parse-names":false,"suffix":""}],"id":"ITEM-1","issue":"June","issued":{"date-parts":[["2022"]]},"number-of-pages":"1-128","title":"Online Nation 2022 Report","type":"report"},"uris":["http://www.mendeley.com/documents/?uuid=c5bb2cc7-993f-4faa-af41-2c4e4df781d1"]}],"mendeley":{"formattedCitation":"(Ofcom, 2022)","plainTextFormattedCitation":"(Ofcom, 2022)","previouslyFormattedCitation":"(Ofcom, 2022)"},"properties":{"noteIndex":0},"schema":"https://github.com/citation-style-language/schema/raw/master/csl-citation.json"}</w:instrText>
      </w:r>
      <w:r>
        <w:rPr>
          <w:rFonts w:cs="Calibri"/>
        </w:rPr>
        <w:fldChar w:fldCharType="separate"/>
      </w:r>
      <w:r>
        <w:rPr>
          <w:rFonts w:cs="Calibri"/>
          <w:noProof/>
        </w:rPr>
        <w:t>(Ofcom, 2022)</w:t>
      </w:r>
      <w:r>
        <w:rPr>
          <w:rFonts w:cs="Calibri"/>
        </w:rPr>
        <w:fldChar w:fldCharType="end"/>
      </w:r>
      <w:r>
        <w:rPr>
          <w:rFonts w:cs="Calibri"/>
        </w:rPr>
        <w:t>.</w:t>
      </w:r>
      <w:r w:rsidR="00C30014">
        <w:rPr>
          <w:rFonts w:cs="Calibri"/>
        </w:rPr>
        <w:t xml:space="preserve"> It is important to acknowledge the variation within these figures when considering different socio-demographic interactions. For instance, when we examine age, there is a difference in the platforms that are used. If we explore the use of Facebook, 77% of over 65s actively engage on the platform, while only 9% of 16-24s use it </w:t>
      </w:r>
      <w:r w:rsidR="00C30014">
        <w:rPr>
          <w:rFonts w:cs="Calibri"/>
        </w:rPr>
        <w:fldChar w:fldCharType="begin" w:fldLock="1"/>
      </w:r>
      <w:r w:rsidR="00CF14FD">
        <w:rPr>
          <w:rFonts w:cs="Calibri"/>
        </w:rPr>
        <w:instrText>ADDIN CSL_CITATION {"citationItems":[{"id":"ITEM-1","itemData":{"abstract":"There has been a significant increase in the self-reported volume of internet use since 2011. Overall estimated weekly volume of use of the internet among users has increased to an average of just under 17 hours per week (16.8 vs. 15.1 hours in 2011). Over half (53%) of UK adults now use a mobile phone to go online, rising to 86% among smartphone users, and more than one in ten use a tablet computer (16%), games console/ player (16%), or a portable media player (12%), all significant increases since 2011. On average, UK adult internet users claim to visit 19 websites in a typical week. There are considerable differences between demographic groups; for example, those over 75 estimate that they visit on average seven websites and ‘narrow users’ 1 six. This compares to people in AB households, and men, who estimate that they visit on average 27 and 24 respectively. Some 22% UK adult internet users say they visit fewer than five websites in a typical week.","author":[{"dropping-particle":"","family":"Ofcom","given":"","non-dropping-particle":"","parse-names":false,"suffix":""}],"id":"ITEM-1","issue":"19th April","issued":{"date-parts":[["2024"]]},"number-of-pages":"45","title":"Adults’ Media Use and Attitudes Report 2024","type":"report"},"uris":["http://www.mendeley.com/documents/?uuid=d0c06d2e-658c-42f4-89ea-36b5b59110f1"]}],"mendeley":{"formattedCitation":"(Ofcom, 2024)","plainTextFormattedCitation":"(Ofcom, 2024)","previouslyFormattedCitation":"(Ofcom, 2024)"},"properties":{"noteIndex":0},"schema":"https://github.com/citation-style-language/schema/raw/master/csl-citation.json"}</w:instrText>
      </w:r>
      <w:r w:rsidR="00C30014">
        <w:rPr>
          <w:rFonts w:cs="Calibri"/>
        </w:rPr>
        <w:fldChar w:fldCharType="separate"/>
      </w:r>
      <w:r w:rsidR="00C30014" w:rsidRPr="00C30014">
        <w:rPr>
          <w:rFonts w:cs="Calibri"/>
          <w:noProof/>
        </w:rPr>
        <w:t>(Ofcom, 2024)</w:t>
      </w:r>
      <w:r w:rsidR="00C30014">
        <w:rPr>
          <w:rFonts w:cs="Calibri"/>
        </w:rPr>
        <w:fldChar w:fldCharType="end"/>
      </w:r>
      <w:r w:rsidR="00C30014">
        <w:rPr>
          <w:rFonts w:cs="Calibri"/>
        </w:rPr>
        <w:t xml:space="preserve">. </w:t>
      </w:r>
      <w:r>
        <w:rPr>
          <w:rFonts w:cs="Calibri"/>
        </w:rPr>
        <w:t xml:space="preserve"> </w:t>
      </w:r>
      <w:r w:rsidR="00C30014">
        <w:rPr>
          <w:rFonts w:cs="Calibri"/>
        </w:rPr>
        <w:t>While there is a variation within the data, it still indicates</w:t>
      </w:r>
      <w:r>
        <w:rPr>
          <w:rFonts w:cs="Calibri"/>
        </w:rPr>
        <w:t xml:space="preserve"> a high percentage of adults within the UK engaging with one or more types of social media</w:t>
      </w:r>
      <w:r w:rsidR="00C30014">
        <w:rPr>
          <w:rFonts w:cs="Calibri"/>
        </w:rPr>
        <w:t>. I</w:t>
      </w:r>
      <w:r>
        <w:rPr>
          <w:rFonts w:cs="Calibri"/>
        </w:rPr>
        <w:t xml:space="preserve">t is therefore important to understand how individuals are using these platforms. </w:t>
      </w:r>
    </w:p>
    <w:p w14:paraId="0472F466" w14:textId="77777777" w:rsidR="00787F73" w:rsidRDefault="00787F73" w:rsidP="00866155">
      <w:pPr>
        <w:rPr>
          <w:rFonts w:cs="Calibri"/>
        </w:rPr>
      </w:pPr>
    </w:p>
    <w:p w14:paraId="4916AFE4" w14:textId="77777777" w:rsidR="00787F73" w:rsidRDefault="00742FB7" w:rsidP="00866155">
      <w:r>
        <w:rPr>
          <w:rFonts w:cs="Calibri"/>
        </w:rPr>
        <w:t xml:space="preserve">Social media can be used in a variety of ways: to create, maintain and strengthen relationships; for information exchange social support; and general companionship </w:t>
      </w:r>
      <w:r>
        <w:fldChar w:fldCharType="begin" w:fldLock="1"/>
      </w:r>
      <w:r>
        <w:rPr>
          <w:rFonts w:cs="Calibri"/>
        </w:rPr>
        <w:instrText>ADDIN CSL_CITATION {"citationItems":[{"id":"ITEM-1","itemData":{"DOI":"10.1080/01972240600677805","ISBN":"0197-2243","ISSN":"01972243","PMID":"20790468","abstract":"Recent studies have shown that adolescents use the Internet not only to maintain social relationships with distant relatives and friends but also to create new relationships online; some of these friendships become integrated into their social circle. Research has focused mainly on the effect of the Internet on existing relationships or the nature of online-only ties, so studies comparing the quality of online and face-to-face relationships are missing. The goal of this study is to bridge this gap. In keeping with previous studies on so- cial association, we argue that the quality of social relationships is dependent on duration and diversity of topics and activities carried together.Timeis important, as it facilitates thedevelopmentofacol- lective shared history and identity. Intimacy develops through the participation in shared activities and discussion of diverse issues of personal concern. Using a representative sample of the adolescent population in Israel, we find that closeness to a friend is a function of social similarity, content and activity multiplexity, and duration of the relationships. Friendships originated in the Internet are per- ceived as less close and supportive because they are relatively new and online friends are involved in less joint activities and less topics of discussion. The implications of the findings are discussed.","author":[{"dropping-particle":"","family":"Mesch","given":"Gustavo","non-dropping-particle":"","parse-names":false,"suffix":""},{"dropping-particle":"","family":"Talmud","given":"Ilan","non-dropping-particle":"","parse-names":false,"suffix":""}],"container-title":"The Information Society","id":"ITEM-1","issue":"3","issued":{"date-parts":[["2006"]]},"page":"137-148","title":"The quality of online and offline relationships: The role of multiplexity and duration of social relationships","type":"article-journal","volume":"22"},"uris":["http://www.mendeley.com/documents/?uuid=f7a102e4-0264-4ee1-a44e-db3cde9d96a6"]},{"id":"ITEM-2","itemData":{"DOI":"10.1016/j.appdev.2008.07.003","ISBN":"0193-3973","ISSN":"01933973","PMID":"15998057","abstract":"Social networking sites (e.g., MySpace and Facebook) are popular online communication forms among adolescents and emerging adults. Yet little is known about young people's activities on these sites and how their networks of \"friends\" relate to their other online (e.g., instant messaging) and offline networks. In this study, college students responded, in person and online, to questions about their online activities and closest friends in three contexts: social networking sites, instant messaging, and face-to-face. Results showed that participants often used the Internet, especially social networking sites, to connect and reconnect with friends and family members. Hence, there was overlap between participants' online and offline networks. However, the overlap was imperfect; the pattern suggested that emerging adults may use different online contexts to strengthen different aspects of their offline connections. Information from this survey is relevant to concerns about young people's life online. © 2008 Elsevier Inc. All rights reserved.","author":[{"dropping-particle":"","family":"Subrahmanyam","given":"Kaveri","non-dropping-particle":"","parse-names":false,"suffix":""},{"dropping-particle":"","family":"Reich","given":"Stephanie M.","non-dropping-particle":"","parse-names":false,"suffix":""},{"dropping-particle":"","family":"Waechter","given":"Natalia","non-dropping-particle":"","parse-names":false,"suffix":""},{"dropping-particle":"","family":"Espinoza","given":"Guadalupe","non-dropping-particle":"","parse-names":false,"suffix":""}],"container-title":"Journal of Applied Developmental Psychology","id":"ITEM-2","issue":"6","issued":{"date-parts":[["2008"]]},"page":"420-433","publisher":"Elsevier Inc.","title":"Online and offline social networks: Use of social networking sites by emerging adults","type":"article-journal","volume":"29"},"uris":["http://www.mendeley.com/documents/?uuid=42d79f0e-f3f1-46f5-a416-24cd2af9a1a9"]},{"id":"ITEM-3","itemData":{"DOI":"10.1080/1369118X.2015.1084023","ISSN":"14684462","abstract":"ABSTRACTBased on the idea that Internet use can be conceptualized in terms of depth (frequency) and width (differentiated) uses of the Web, this study explored how socio-demographic factors and digital skills are related to frequency and types of Facebook use among young adults. It used a face-to-face representative survey conducted in the three main urban areas of Chile among a sample of 18-to 29-year olds. The results found that men and more educated young people had higher levels of skills, confirming that the so-called ‘digital natives’ are not a monolithic group. They also revealed that digital skills did not predict frequency of Facebook use. Furthermore, lower educated young people tended to use Facebook more frequently. Although these results go against the long-established digital divide research, traditional digital gaps emerged when types of use were analyzed. While more educated and skillful individuals tended to use Facebook for informational and mobilizing purposes, socio-demographic factors...","author":[{"dropping-particle":"","family":"Correa","given":"Teresa","non-dropping-particle":"","parse-names":false,"suffix":""}],"container-title":"Information Communication and Society","id":"ITEM-3","issue":"8","issued":{"date-parts":[["2016"]]},"page":"1095-1107","title":"Digital skills and social media use: how Internet skills are related to different types of Facebook use among ‘digital natives’","type":"article-journal","volume":"19"},"uris":["http://www.mendeley.com/documents/?uuid=487b665a-3545-479d-8afb-aa5e78296f9d"]},{"id":"ITEM-4","itemData":{"author":[{"dropping-particle":"","family":"boyd","given":"Danah","non-dropping-particle":"","parse-names":false,"suffix":""}],"id":"ITEM-4","issued":{"date-parts":[["2014"]]},"number-of-pages":"1 - 296","publisher":"Yale University Press","publisher-place":"New Haven","title":"It's complicated: the social lives of networked teens","type":"book"},"uris":["http://www.mendeley.com/documents/?uuid=f820a129-4005-4921-b320-5cc686beb992"]}],"mendeley":{"formattedCitation":"(Correa, 2016; boyd, 2014; Subrahmanyam et al., 2008; Mesch &amp; Talmud, 2006)","plainTextFormattedCitation":"(Correa, 2016; boyd, 2014; Subrahmanyam et al., 2008; Mesch &amp; Talmud, 2006)","previouslyFormattedCitation":"(Correa, 2016; boyd, 2014; Subrahmanyam et al., 2008; Mesch &amp; Talmud, 2006)"},"properties":{"noteIndex":0},"schema":"https://github.com/citation-style-language/schema/raw/master/csl-citation.json"}</w:instrText>
      </w:r>
      <w:r>
        <w:rPr>
          <w:rFonts w:cs="Calibri"/>
        </w:rPr>
        <w:fldChar w:fldCharType="separate"/>
      </w:r>
      <w:r>
        <w:rPr>
          <w:rFonts w:cs="Calibri"/>
          <w:noProof/>
        </w:rPr>
        <w:t>(Correa, 2016; boyd, 2014; Subrahmanyam et al., 2008; Mesch &amp; Talmud, 2006)</w:t>
      </w:r>
      <w:r>
        <w:rPr>
          <w:rFonts w:cs="Calibri"/>
        </w:rPr>
        <w:fldChar w:fldCharType="end"/>
      </w:r>
      <w:r>
        <w:rPr>
          <w:rFonts w:cs="Calibri"/>
        </w:rPr>
        <w:t xml:space="preserve">. This includes engaging and communicating with one’s perceived community. </w:t>
      </w:r>
    </w:p>
    <w:p w14:paraId="06669892" w14:textId="77777777" w:rsidR="00787F73" w:rsidRDefault="00787F73" w:rsidP="00866155">
      <w:pPr>
        <w:rPr>
          <w:rFonts w:cs="Calibri"/>
        </w:rPr>
      </w:pPr>
    </w:p>
    <w:p w14:paraId="28F7CB3E" w14:textId="77777777" w:rsidR="00787F73" w:rsidRDefault="00742FB7" w:rsidP="00866155">
      <w:pPr>
        <w:pStyle w:val="Heading4"/>
        <w:spacing w:line="360" w:lineRule="auto"/>
      </w:pPr>
      <w:bookmarkStart w:id="438" w:name="_Toc98148360"/>
      <w:bookmarkStart w:id="439" w:name="_Hlk179556462"/>
      <w:r>
        <w:rPr>
          <w:rFonts w:ascii="Calibri" w:hAnsi="Calibri" w:cs="Calibri"/>
        </w:rPr>
        <w:t>Community uses of social media</w:t>
      </w:r>
      <w:bookmarkEnd w:id="438"/>
    </w:p>
    <w:p w14:paraId="453CD7D3" w14:textId="792E74A7" w:rsidR="00787F73" w:rsidRDefault="00C84401" w:rsidP="00866155">
      <w:pPr>
        <w:tabs>
          <w:tab w:val="left" w:pos="1764"/>
        </w:tabs>
      </w:pPr>
      <w:r>
        <w:rPr>
          <w:rFonts w:cs="Calibri"/>
        </w:rPr>
        <w:t>While</w:t>
      </w:r>
      <w:r w:rsidR="00742FB7">
        <w:rPr>
          <w:rFonts w:cs="Calibri"/>
        </w:rPr>
        <w:t xml:space="preserve"> social media often focuses on the individual and how they interact with networks, it is important to understand how individuals can come together to form a collective, both in the short term, during the initial impact of a disaster, and longer term, with the creation of communities </w:t>
      </w:r>
      <w:r w:rsidR="00742FB7">
        <w:fldChar w:fldCharType="begin" w:fldLock="1"/>
      </w:r>
      <w:r w:rsidR="00742FB7">
        <w:rPr>
          <w:rFonts w:cs="Calibri"/>
        </w:rPr>
        <w:instrText>ADDIN CSL_CITATION {"citationItems":[{"id":"ITEM-1","itemData":{"ISBN":"9781134063079","author":[{"dropping-particle":"","family":"Potts","given":"Liza","non-dropping-particle":"","parse-names":false,"suffix":""}],"id":"ITEM-1","issued":{"date-parts":[["2013"]]},"publisher":"Routledge","publisher-place":"London, UNITED KINGDOM","title":"Social Media in Disaster Response : How Experience Architects Can Build for Participation","type":"book"},"uris":["http://www.mendeley.com/documents/?uuid=1be30aa2-9808-4c3d-aa04-9f9ff6e902f9"]}],"mendeley":{"formattedCitation":"(Potts, 2013)","plainTextFormattedCitation":"(Potts, 2013)","previouslyFormattedCitation":"(Potts, 2013)"},"properties":{"noteIndex":0},"schema":"https://github.com/citation-style-language/schema/raw/master/csl-citation.json"}</w:instrText>
      </w:r>
      <w:r w:rsidR="00742FB7">
        <w:rPr>
          <w:rFonts w:cs="Calibri"/>
        </w:rPr>
        <w:fldChar w:fldCharType="separate"/>
      </w:r>
      <w:r w:rsidR="00742FB7">
        <w:rPr>
          <w:rFonts w:cs="Calibri"/>
          <w:noProof/>
        </w:rPr>
        <w:t>(Potts, 2013)</w:t>
      </w:r>
      <w:r w:rsidR="00742FB7">
        <w:rPr>
          <w:rFonts w:cs="Calibri"/>
        </w:rPr>
        <w:fldChar w:fldCharType="end"/>
      </w:r>
      <w:r w:rsidR="00B66626">
        <w:rPr>
          <w:rFonts w:cs="Calibri"/>
        </w:rPr>
        <w:t>.</w:t>
      </w:r>
      <w:r w:rsidR="00742FB7">
        <w:rPr>
          <w:rFonts w:cs="Calibri"/>
        </w:rPr>
        <w:t xml:space="preserve"> </w:t>
      </w:r>
      <w:r w:rsidR="00B66626">
        <w:rPr>
          <w:rFonts w:cs="Calibri"/>
        </w:rPr>
        <w:t>This</w:t>
      </w:r>
      <w:r w:rsidR="00742FB7">
        <w:rPr>
          <w:rFonts w:cs="Calibri"/>
        </w:rPr>
        <w:t xml:space="preserve">can be viewed as creating and developing new community logics. The literature suggests that the development of the internet and social media is not weakening traditional community but is transforming it into everyday life. This is seen through enabling an extension of the perceived spatial and temporal boundaries of the community and creating new connections that were not possible before such as communities of practice between bloggers, and health care professionals </w:t>
      </w:r>
      <w:r w:rsidR="00742FB7">
        <w:fldChar w:fldCharType="begin" w:fldLock="1"/>
      </w:r>
      <w:r w:rsidR="00742FB7">
        <w:rPr>
          <w:rFonts w:cs="Calibri"/>
        </w:rPr>
        <w:instrText>ADDIN CSL_CITATION {"citationItems":[{"id":"ITEM-1","itemData":{"DOI":"10.1.1.207.2863","ISBN":"0805852875","abstract":"Communities started changing from groups to networks well before the advent of the Internet. Initially, people believed that industrialization and bureaucratization would dissolve community groups and leave only isolated, alienated individuals. Then scholars discovered that communities continued, but more as sparsely-knit, spatially- dispersed social networks rather than as densely-knit, village-like local groups. A similar debate has developed about the impact of the Internet on community. Some fear that it will isolate people from face-to-face interactions. Others extol the Internet's ability to support far-flung communities of shared interest. Evidence to address this debate about the impact of the Internet on community is thundering in. Three studies done at the NetLab are concomitant with general findings, both in North America and worldwide, that rather than weakening community, the Internet adds to existing face-to-face and telephone contact. Rather than increasing or destroying community, the Internet can best be seen transforming community such that it becomes integrated into rhythms of daily life, with life online integrated with offline activities.","author":[{"dropping-particle":"","family":"Wellman","given":"Barry","non-dropping-particle":"","parse-names":false,"suffix":""},{"dropping-particle":"","family":"Boase","given":"Jeffrey","non-dropping-particle":"","parse-names":false,"suffix":""},{"dropping-particle":"","family":"Chen","given":"Wenhong","non-dropping-particle":"","parse-names":false,"suffix":""}],"container-title":"IT &amp; Society","id":"ITEM-1","issue":"1","issued":{"date-parts":[["2002"]]},"page":"151–165","title":"The networked nature of community: Online and offline","type":"article-journal","volume":"1"},"uris":["http://www.mendeley.com/documents/?uuid=101663d4-5471-46b0-957e-46bd9d5bacb4"]},{"id":"ITEM-2","itemData":{"DOI":"10.1080/0267257X.2018.1482941","ISSN":"14721376","abstract":"Much consumption-related activity online is outside of what is understood traditionally as community and is via user-generated content (UGC), of which blogs and YouTube channels in particular dominate in the beauty sphere. Community of practice (CoP) theory from social learning and organisation studies offers an alternative way to understand these consumption-based UGC practices. This study combines data from 25 interviews with blog- gers and YouTubers and their blog posts and videos. Among these UGC creators we find mutual engagement, shared repertoires and joint enterprise. This paper theorises consumption-based UGC creators as a CoP and contributes insights for mangers as to how to engage with them as practitioners and learners.","author":[{"dropping-particle":"","family":"Gannon","given":"Valerie","non-dropping-particle":"","parse-names":false,"suffix":""},{"dropping-particle":"","family":"Prothero","given":"Andrea","non-dropping-particle":"","parse-names":false,"suffix":""}],"container-title":"Journal of Marketing Management","id":"ITEM-2","issue":"7-8","issued":{"date-parts":[["2018"]]},"page":"592-619","title":"Beauty bloggers and YouTubers as a community of practice","type":"article-journal","volume":"34"},"uris":["http://www.mendeley.com/documents/?uuid=01edead1-a4d6-4a15-8c32-1c1d69fffaf3"]},{"id":"ITEM-3","itemData":{"DOI":"10.2196/jmir.5312","ISSN":"14388871","abstract":"Background: Prevailing health care structures and cultures restrict intraprofessional communication, inhibiting knowledge dissemination and impacting the translation of research into practice. Virtual communities may facilitate professional networking and knowledge sharing in and between health care disciplines. Objectives: This study aimed to review the literature on the use of social media by health care professionals in developing virtual communities that facilitate professional networking, knowledge sharing, and evidence-informed practice. Methods: An integrative literature review was conducted to identify research published between 1990 and 2015. Search strategies sourced electronic databases (PubMed, CINAHL), snowball references, and tables of contents of 3 journals. Papers that evaluated social media use by health care professionals (unless within an education framework) using any research design (except for research protocols or narrative reviews) were included. Standardized data extraction and quality assessment tools were used. Results: Overall, 72 studies were included: 44 qualitative (including 2 ethnographies, 26 qualitative descriptive, and 1 Q-sort) and 20 mixed-methods studies, and 8 literature reviews. The most common methods of data collection were Web-based observation (n=39), surveys (n=23), interviews (n=11), focus groups (n=2), and diaries (n=1). Study quality was mixed. Social media studied included Listservs (n=22), Twitter (n=18), general social media (n=17), discussion forums (n=7), Web 2.0 (n=3), virtual community of practice (n=3), wiki (n=1), and Facebook (n=1). A range of health care professionals were sampled in the studies, including physicians (n=24), nurses (n=15), allied health professionals (n=14), followed by health care professionals in general (n=8), a multidisciplinary clinical specialty area (n=9), and midwives (n=2). Of 36 virtual communities, 31 were monodiscipline for a discrete clinical specialty. Population uptake by the target group ranged from 1.6% to 29% (n=4). Evaluation using related theories of \"planned behavior\" and the \"technology acceptance model\" (n=3) suggests that social media use is mediated by an individual's positive attitude toward and accessibility of the media, which is reinforced by credible peers. The most common reason to establish a virtual community was to create a forum where relevant specialty knowledge could be shared and professional issues discussed (n=17). Most members demonstrat…","author":[{"dropping-particle":"","family":"Rolls","given":"Kaye","non-dropping-particle":"","parse-names":false,"suffix":""},{"dropping-particle":"","family":"Hansen","given":"Margaret","non-dropping-particle":"","parse-names":false,"suffix":""},{"dropping-particle":"","family":"Jackson","given":"Debra","non-dropping-particle":"","parse-names":false,"suffix":""},{"dropping-particle":"","family":"Elliott","given":"Doug","non-dropping-particle":"","parse-names":false,"suffix":""}],"container-title":"Journal of Medical Internet Research","id":"ITEM-3","issue":"6","issued":{"date-parts":[["2016"]]},"page":"1 - 19","title":"How health care professionals use social media to create virtual communities: An integrative review","type":"article-journal","volume":"18"},"uris":["http://www.mendeley.com/documents/?uuid=edb9d126-12c1-47e5-8600-c32dccb72287"]}],"mendeley":{"formattedCitation":"(Gannon &amp; Prothero, 2018; Rolls et al., 2016; Wellman, Boase, &amp; Chen, 2002)","plainTextFormattedCitation":"(Gannon &amp; Prothero, 2018; Rolls et al., 2016; Wellman, Boase, &amp; Chen, 2002)","previouslyFormattedCitation":"(Gannon &amp; Prothero, 2018; Rolls et al., 2016; Wellman, Boase, &amp; Chen, 2002)"},"properties":{"noteIndex":0},"schema":"https://github.com/citation-style-language/schema/raw/master/csl-citation.json"}</w:instrText>
      </w:r>
      <w:r w:rsidR="00742FB7">
        <w:rPr>
          <w:rFonts w:cs="Calibri"/>
        </w:rPr>
        <w:fldChar w:fldCharType="separate"/>
      </w:r>
      <w:r w:rsidR="00742FB7">
        <w:rPr>
          <w:rFonts w:cs="Calibri"/>
          <w:noProof/>
        </w:rPr>
        <w:t>(Gannon &amp; Prothero, 2018; Rolls et al., 2016; Wellman, Boase, &amp; Chen, 2002)</w:t>
      </w:r>
      <w:r w:rsidR="00742FB7">
        <w:rPr>
          <w:rFonts w:cs="Calibri"/>
        </w:rPr>
        <w:fldChar w:fldCharType="end"/>
      </w:r>
      <w:r w:rsidR="00742FB7">
        <w:rPr>
          <w:rFonts w:cs="Calibri"/>
        </w:rPr>
        <w:t xml:space="preserve">. </w:t>
      </w:r>
    </w:p>
    <w:bookmarkEnd w:id="439"/>
    <w:p w14:paraId="4A308C5F" w14:textId="77777777" w:rsidR="00787F73" w:rsidRDefault="00787F73" w:rsidP="00866155">
      <w:pPr>
        <w:tabs>
          <w:tab w:val="left" w:pos="1764"/>
        </w:tabs>
        <w:rPr>
          <w:rFonts w:cs="Calibri"/>
        </w:rPr>
      </w:pPr>
    </w:p>
    <w:p w14:paraId="438606BB" w14:textId="7C86B432" w:rsidR="00787F73" w:rsidRDefault="00742FB7" w:rsidP="00866155">
      <w:pPr>
        <w:tabs>
          <w:tab w:val="left" w:pos="1764"/>
        </w:tabs>
      </w:pPr>
      <w:bookmarkStart w:id="440" w:name="_Hlk179556451"/>
      <w:r>
        <w:rPr>
          <w:rFonts w:cs="Calibri"/>
        </w:rPr>
        <w:t xml:space="preserve">Social media has enabled connective action, which describes the ability to join with individuals and groups in an online space to work together towards a shared goal, as there is a reduced cost to participation </w:t>
      </w:r>
      <w:r>
        <w:fldChar w:fldCharType="begin" w:fldLock="1"/>
      </w:r>
      <w:r>
        <w:rPr>
          <w:rFonts w:cs="Calibri"/>
        </w:rPr>
        <w:instrText>ADDIN CSL_CITATION {"citationItems":[{"id":"ITEM-1","itemData":{"DOI":"10.1080/1369118X.2012.670661","ISSN":"1369-118X","abstract":"From the Arab Spring and los indignados in Spain, to Occupy Wall Street (and beyond), large-scale, sustained protests are using digital media in ways that go beyond sending and receiving messages. Some of these action formations contain relatively small roles for formal brick and mortar organizations. Others involve well-established advocacy organizations, in hybrid relations with other organizations, using technologies that enable personalized public engagement. Both stand in contrast to the more familiar organizationally managed and brokered action conventionally associated with social movement and issue advocacy. This article examines the organizational dynamics that emerge when communication becomes a prominent part of organizational structure. It argues that understanding such variations in large-scale action networks requires distinguishing between at least two logics that may be in play: The familiar logic of collective action associated with high levels of organizational resources and the formatio...","author":[{"dropping-particle":"","family":"Bennett","given":"W. Lance","non-dropping-particle":"","parse-names":false,"suffix":""},{"dropping-particle":"","family":"Segerberg","given":"Alexandra","non-dropping-particle":"","parse-names":false,"suffix":""}],"container-title":"Information, Communication &amp; Society","id":"ITEM-1","issue":"5","issued":{"date-parts":[["2012","6"]]},"page":"739-768","publisher":"Routledge","title":"The Logic of Connective Action","type":"article-journal","volume":"15"},"uris":["http://www.mendeley.com/documents/?uuid=2d5794b1-fa3d-3cd3-986c-4b6486b3c095"]}],"mendeley":{"formattedCitation":"(Bennett &amp; Segerberg, 2012)","plainTextFormattedCitation":"(Bennett &amp; Segerberg, 2012)","previouslyFormattedCitation":"(Bennett &amp; Segerberg, 2012)"},"properties":{"noteIndex":0},"schema":"https://github.com/citation-style-language/schema/raw/master/csl-citation.json"}</w:instrText>
      </w:r>
      <w:r>
        <w:rPr>
          <w:rFonts w:cs="Calibri"/>
        </w:rPr>
        <w:fldChar w:fldCharType="separate"/>
      </w:r>
      <w:r>
        <w:rPr>
          <w:rFonts w:cs="Calibri"/>
          <w:noProof/>
        </w:rPr>
        <w:t>(Bennett &amp; Segerberg, 2012)</w:t>
      </w:r>
      <w:r>
        <w:rPr>
          <w:rFonts w:cs="Calibri"/>
        </w:rPr>
        <w:fldChar w:fldCharType="end"/>
      </w:r>
      <w:r>
        <w:rPr>
          <w:rFonts w:cs="Calibri"/>
        </w:rPr>
        <w:t xml:space="preserve">, from the reduced need to travel to a meeting in person. This increased communication between communities online can enable connective action, but also the sharing of information and ideas. This communication of information can be viewed as creating a </w:t>
      </w:r>
      <w:r>
        <w:rPr>
          <w:rFonts w:cs="Calibri"/>
          <w:i/>
          <w:iCs/>
        </w:rPr>
        <w:t>hybrid media system</w:t>
      </w:r>
      <w:r>
        <w:rPr>
          <w:rFonts w:cs="Calibri"/>
        </w:rPr>
        <w:t xml:space="preserve"> </w:t>
      </w:r>
      <w:r>
        <w:fldChar w:fldCharType="begin" w:fldLock="1"/>
      </w:r>
      <w:r w:rsidR="00974B75">
        <w:rPr>
          <w:rFonts w:cs="Calibri"/>
        </w:rPr>
        <w:instrText>ADDIN CSL_CITATION {"citationItems":[{"id":"ITEM-1","itemData":{"ISBN":"9781138860766","author":[{"dropping-particle":"","family":"Chadwick","given":"A","non-dropping-particle":"","parse-names":false,"suffix":""},{"dropping-particle":"","family":"Dennis","given":"J","non-dropping-particle":"","parse-names":false,"suffix":""},{"dropping-particle":"","family":"Smith","given":"AP","non-dropping-particle":"","parse-names":false,"suffix":""}],"chapter-number":"1","container-title":"The Routledge Companion to Social Media and Politics","editor":[{"dropping-particle":"","family":"A Bruns","given":"","non-dropping-particle":"","parse-names":false,"suffix":""}],"id":"ITEM-1","issued":{"date-parts":[["2016"]]},"page":"7 - 22","publisher":"Routledge","publisher-place":"New York","title":"Politics in the age of hybrid media: power, systems, and media logics","type":"chapter"},"uris":["http://www.mendeley.com/documents/?uuid=479ba372-9006-43bc-bd0b-fad31814a757"]},{"id":"ITEM-2","itemData":{"author":[{"dropping-particle":"","family":"Chadwick","given":"Andrew","non-dropping-particle":"","parse-names":false,"suffix":""}],"id":"ITEM-2","issued":{"date-parts":[["2017"]]},"publisher":"Oxford University Press","publisher-place":"Oxford","title":"The Hybrid Media System: Politics and Power","type":"book"},"uris":["http://www.mendeley.com/documents/?uuid=43242c5d-f24d-4ad4-88bb-7025ff9e1265"]}],"mendeley":{"formattedCitation":"(Chadwick, 2017; Chadwick, Dennis, &amp; Smith, 2016)","plainTextFormattedCitation":"(Chadwick, 2017; Chadwick, Dennis, &amp; Smith, 2016)","previouslyFormattedCitation":"(Chadwick, 2017; Chadwick, Dennis, &amp; Smith, 2016)"},"properties":{"noteIndex":0},"schema":"https://github.com/citation-style-language/schema/raw/master/csl-citation.json"}</w:instrText>
      </w:r>
      <w:r>
        <w:rPr>
          <w:rFonts w:cs="Calibri"/>
        </w:rPr>
        <w:fldChar w:fldCharType="separate"/>
      </w:r>
      <w:r>
        <w:rPr>
          <w:rFonts w:cs="Calibri"/>
          <w:noProof/>
        </w:rPr>
        <w:t xml:space="preserve">(Chadwick, </w:t>
      </w:r>
      <w:r>
        <w:rPr>
          <w:rFonts w:cs="Calibri"/>
          <w:noProof/>
        </w:rPr>
        <w:lastRenderedPageBreak/>
        <w:t>2017; Chadwick, Dennis, &amp; Smith, 2016)</w:t>
      </w:r>
      <w:r>
        <w:rPr>
          <w:rFonts w:cs="Calibri"/>
        </w:rPr>
        <w:fldChar w:fldCharType="end"/>
      </w:r>
      <w:r>
        <w:rPr>
          <w:rFonts w:cs="Calibri"/>
        </w:rPr>
        <w:t xml:space="preserve"> which is “built upon interactions among older and newer media logics” </w:t>
      </w:r>
      <w:r>
        <w:fldChar w:fldCharType="begin" w:fldLock="1"/>
      </w:r>
      <w:r w:rsidR="00974B75">
        <w:rPr>
          <w:rFonts w:cs="Calibri"/>
        </w:rPr>
        <w:instrText>ADDIN CSL_CITATION {"citationItems":[{"id":"ITEM-1","itemData":{"ISBN":"9781138860766","author":[{"dropping-particle":"","family":"Chadwick","given":"A","non-dropping-particle":"","parse-names":false,"suffix":""},{"dropping-particle":"","family":"Dennis","given":"J","non-dropping-particle":"","parse-names":false,"suffix":""},{"dropping-particle":"","family":"Smith","given":"AP","non-dropping-particle":"","parse-names":false,"suffix":""}],"chapter-number":"1","container-title":"The Routledge Companion to Social Media and Politics","editor":[{"dropping-particle":"","family":"A Bruns","given":"","non-dropping-particle":"","parse-names":false,"suffix":""}],"id":"ITEM-1","issued":{"date-parts":[["2016"]]},"page":"7 - 22","publisher":"Routledge","publisher-place":"New York","title":"Politics in the age of hybrid media: power, systems, and media logics","type":"chapter"},"locator":"8","uris":["http://www.mendeley.com/documents/?uuid=479ba372-9006-43bc-bd0b-fad31814a757"]}],"mendeley":{"formattedCitation":"(Chadwick, Dennis, &amp; Smith, 2016, p. 8)","plainTextFormattedCitation":"(Chadwick, Dennis, &amp; Smith, 2016, p. 8)","previouslyFormattedCitation":"(Chadwick, Dennis, &amp; Smith, 2016, p. 8)"},"properties":{"noteIndex":0},"schema":"https://github.com/citation-style-language/schema/raw/master/csl-citation.json"}</w:instrText>
      </w:r>
      <w:r>
        <w:rPr>
          <w:rFonts w:cs="Calibri"/>
        </w:rPr>
        <w:fldChar w:fldCharType="separate"/>
      </w:r>
      <w:r>
        <w:rPr>
          <w:rFonts w:cs="Calibri"/>
          <w:noProof/>
        </w:rPr>
        <w:t>(Chadwick, Dennis, &amp; Smith, 2016, p. 8)</w:t>
      </w:r>
      <w:r>
        <w:rPr>
          <w:rFonts w:cs="Calibri"/>
        </w:rPr>
        <w:fldChar w:fldCharType="end"/>
      </w:r>
      <w:r>
        <w:rPr>
          <w:rFonts w:cs="Calibri"/>
        </w:rPr>
        <w:t xml:space="preserve">. This enables individuals to intervene in real-time to news and events, and to have an influence on the public discourse surrounding a topic </w:t>
      </w:r>
      <w:r>
        <w:fldChar w:fldCharType="begin" w:fldLock="1"/>
      </w:r>
      <w:bookmarkStart w:id="441" w:name="_Hlk153267755"/>
      <w:r w:rsidR="00974B75">
        <w:rPr>
          <w:rFonts w:cs="Calibri"/>
        </w:rPr>
        <w:instrText>ADDIN CSL_CITATION {"citationItems":[{"id":"ITEM-1","itemData":{"ISBN":"9781138860766","author":[{"dropping-particle":"","family":"Chadwick","given":"A","non-dropping-particle":"","parse-names":false,"suffix":""},{"dropping-particle":"","family":"Dennis","given":"J","non-dropping-particle":"","parse-names":false,"suffix":""},{"dropping-particle":"","family":"Smith","given":"AP","non-dropping-particle":"","parse-names":false,"suffix":""}],"chapter-number":"1","container-title":"The Routledge Companion to Social Media and Politics","editor":[{"dropping-particle":"","family":"A Bruns","given":"","non-dropping-particle":"","parse-names":false,"suffix":""}],"id":"ITEM-1","issued":{"date-parts":[["2016"]]},"page":"7 - 22","publisher":"Routledge","publisher-place":"New York","title":"Politics in the age of hybrid media: power, systems, and media logics","type":"chapter"},"uris":["http://www.mendeley.com/documents/?uuid=479ba372-9006-43bc-bd0b-fad31814a757"]}],"mendeley":{"formattedCitation":"(Chadwick, Dennis, &amp; Smith, 2016)","plainTextFormattedCitation":"(Chadwick, Dennis, &amp; Smith, 2016)","previouslyFormattedCitation":"(Chadwick, Dennis, &amp; Smith, 2016)"},"properties":{"noteIndex":0},"schema":"https://github.com/citation-style-language/schema/raw/master/csl-citation.json"}</w:instrText>
      </w:r>
      <w:r>
        <w:rPr>
          <w:rFonts w:cs="Calibri"/>
        </w:rPr>
        <w:fldChar w:fldCharType="separate"/>
      </w:r>
      <w:r>
        <w:rPr>
          <w:rFonts w:cs="Calibri"/>
          <w:noProof/>
        </w:rPr>
        <w:t>(Chadwick, Dennis, &amp; Smith, 2016)</w:t>
      </w:r>
      <w:r>
        <w:rPr>
          <w:rFonts w:cs="Calibri"/>
        </w:rPr>
        <w:fldChar w:fldCharType="end"/>
      </w:r>
      <w:bookmarkEnd w:id="441"/>
      <w:r>
        <w:rPr>
          <w:rFonts w:cs="Calibri"/>
        </w:rPr>
        <w:t xml:space="preserve">.. </w:t>
      </w:r>
      <w:r w:rsidR="00D855A4">
        <w:rPr>
          <w:rFonts w:cs="Calibri"/>
        </w:rPr>
        <w:t xml:space="preserve">The concept of connective action can also be viewed through the lens of community resilience. Patel et al’s (2017) systematic literature review examined the different elements examined within community resilience research, one of which was community networks and governance. Therefore, the use of social media to connect and collectively organise can be viewed as developing community resilience. One could also link connective action to the building of bonding social capital within the communities </w:t>
      </w:r>
      <w:r w:rsidR="00D855A4">
        <w:rPr>
          <w:rFonts w:cs="Calibri"/>
        </w:rPr>
        <w:fldChar w:fldCharType="begin" w:fldLock="1"/>
      </w:r>
      <w:r w:rsidR="00751A84">
        <w:rPr>
          <w:rFonts w:cs="Calibri"/>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India","type":"article-journal","volume":"19"},"uris":["http://www.mendeley.com/documents/?uuid=d8bcf27c-1efc-4c15-8204-cd8b37719dd2"]},{"id":"ITEM-2","itemData":{"DOI":"10.1007/s13280-021-01678-9","ISBN":"1328002101","ISSN":"16547209","PMID":"35015248","abstract":"Social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-2","issue":"6","issued":{"date-parts":[["2022"]]},"page":"1371-1387","title":"Building community resilience in a context of climate change: The role of social capital","type":"article-journal","volume":"51"},"uris":["http://www.mendeley.com/documents/?uuid=811839c2-2eda-4cbc-80b5-6bfc7c4a8392"]}],"mendeley":{"formattedCitation":"(Carmen et al., 2022; Sanyal &amp; Routray, 2016)","plainTextFormattedCitation":"(Carmen et al., 2022; Sanyal &amp; Routray, 2016)","previouslyFormattedCitation":"(Carmen et al., 2022; Sanyal &amp; Routray, 2016)"},"properties":{"noteIndex":0},"schema":"https://github.com/citation-style-language/schema/raw/master/csl-citation.json"}</w:instrText>
      </w:r>
      <w:r w:rsidR="00D855A4">
        <w:rPr>
          <w:rFonts w:cs="Calibri"/>
        </w:rPr>
        <w:fldChar w:fldCharType="separate"/>
      </w:r>
      <w:r w:rsidR="00751A84" w:rsidRPr="00751A84">
        <w:rPr>
          <w:rFonts w:cs="Calibri"/>
          <w:noProof/>
        </w:rPr>
        <w:t>(Carmen et al., 2022; Sanyal &amp; Routray, 2016)</w:t>
      </w:r>
      <w:r w:rsidR="00D855A4">
        <w:rPr>
          <w:rFonts w:cs="Calibri"/>
        </w:rPr>
        <w:fldChar w:fldCharType="end"/>
      </w:r>
      <w:r w:rsidR="008409C6">
        <w:rPr>
          <w:rFonts w:cs="Calibri"/>
        </w:rPr>
        <w:t>.</w:t>
      </w:r>
    </w:p>
    <w:bookmarkEnd w:id="440"/>
    <w:p w14:paraId="07BD1532" w14:textId="77777777" w:rsidR="00787F73" w:rsidRDefault="00787F73" w:rsidP="00866155">
      <w:pPr>
        <w:tabs>
          <w:tab w:val="left" w:pos="1764"/>
        </w:tabs>
        <w:rPr>
          <w:rFonts w:cs="Calibri"/>
        </w:rPr>
      </w:pPr>
    </w:p>
    <w:p w14:paraId="7BE2C9CC" w14:textId="71B53CE3" w:rsidR="00787F73" w:rsidRDefault="00742FB7" w:rsidP="00866155">
      <w:pPr>
        <w:tabs>
          <w:tab w:val="left" w:pos="1764"/>
        </w:tabs>
      </w:pPr>
      <w:r>
        <w:rPr>
          <w:rFonts w:cs="Calibri"/>
        </w:rPr>
        <w:t>This suggests that social media can be beneficial to members of the community who are online (direct engagement) or have support networks which share the information with them (indirect engagement)</w:t>
      </w:r>
      <w:r w:rsidR="008409C6">
        <w:rPr>
          <w:rFonts w:cs="Calibri"/>
        </w:rPr>
        <w:t>. H</w:t>
      </w:r>
      <w:r>
        <w:rPr>
          <w:rFonts w:cs="Calibri"/>
        </w:rPr>
        <w:t>owever, the</w:t>
      </w:r>
      <w:r w:rsidR="008409C6">
        <w:rPr>
          <w:rFonts w:cs="Calibri"/>
        </w:rPr>
        <w:t>se networks</w:t>
      </w:r>
      <w:r>
        <w:rPr>
          <w:rFonts w:cs="Calibri"/>
        </w:rPr>
        <w:t xml:space="preserve"> are not only used for positive interactions and can support and enable the growth of negative and dangerous interactions.</w:t>
      </w:r>
    </w:p>
    <w:p w14:paraId="46647E83" w14:textId="77777777" w:rsidR="00787F73" w:rsidRDefault="00742FB7" w:rsidP="00866155">
      <w:pPr>
        <w:spacing w:after="160"/>
      </w:pPr>
      <w:r>
        <w:rPr>
          <w:rFonts w:cs="Calibri"/>
        </w:rPr>
        <w:t xml:space="preserve"> </w:t>
      </w:r>
    </w:p>
    <w:p w14:paraId="1856348B" w14:textId="77777777" w:rsidR="00787F73" w:rsidRDefault="00742FB7" w:rsidP="00866155">
      <w:pPr>
        <w:pStyle w:val="Heading4"/>
        <w:spacing w:line="360" w:lineRule="auto"/>
      </w:pPr>
      <w:bookmarkStart w:id="442" w:name="_Toc98148361"/>
      <w:bookmarkStart w:id="443" w:name="_Hlk179556420"/>
      <w:bookmarkStart w:id="444" w:name="_Toc523750414"/>
      <w:bookmarkStart w:id="445" w:name="_Toc523850275"/>
      <w:bookmarkStart w:id="446" w:name="_Toc10621096"/>
      <w:r>
        <w:rPr>
          <w:rFonts w:ascii="Calibri" w:hAnsi="Calibri" w:cs="Calibri"/>
        </w:rPr>
        <w:t>The negative aspects of social media</w:t>
      </w:r>
      <w:bookmarkEnd w:id="442"/>
    </w:p>
    <w:p w14:paraId="3E2A80E1" w14:textId="50EDCC9F" w:rsidR="00787F73" w:rsidRPr="00E97EA9" w:rsidRDefault="00C84401" w:rsidP="00866155">
      <w:pPr>
        <w:tabs>
          <w:tab w:val="left" w:pos="1764"/>
        </w:tabs>
      </w:pPr>
      <w:r>
        <w:rPr>
          <w:rFonts w:cs="Calibri"/>
        </w:rPr>
        <w:t>While</w:t>
      </w:r>
      <w:r w:rsidR="00742FB7" w:rsidRPr="00E97EA9">
        <w:rPr>
          <w:rFonts w:cs="Calibri"/>
        </w:rPr>
        <w:t xml:space="preserve"> social media can support individuals to develop and maintain relationships and connect with communities in their geographical area and beyond, it can also enable negative and dangerous behaviours, both individually and between users.</w:t>
      </w:r>
    </w:p>
    <w:p w14:paraId="7F9EFD0B" w14:textId="77777777" w:rsidR="00787F73" w:rsidRPr="00E97EA9" w:rsidRDefault="00787F73" w:rsidP="00866155">
      <w:pPr>
        <w:tabs>
          <w:tab w:val="left" w:pos="1764"/>
        </w:tabs>
        <w:rPr>
          <w:rFonts w:cs="Calibri"/>
        </w:rPr>
      </w:pPr>
    </w:p>
    <w:p w14:paraId="115E8FE0" w14:textId="77777777" w:rsidR="00B03115" w:rsidRDefault="00742FB7" w:rsidP="00866155">
      <w:pPr>
        <w:tabs>
          <w:tab w:val="left" w:pos="1764"/>
        </w:tabs>
        <w:rPr>
          <w:rFonts w:cs="Calibri"/>
          <w:lang w:eastAsia="en-US"/>
        </w:rPr>
      </w:pPr>
      <w:r w:rsidRPr="00E97EA9">
        <w:rPr>
          <w:rFonts w:cs="Calibri"/>
        </w:rPr>
        <w:t xml:space="preserve">Individually, users </w:t>
      </w:r>
      <w:r w:rsidR="00DB2BD5" w:rsidRPr="00E97EA9">
        <w:rPr>
          <w:rFonts w:cs="Calibri"/>
        </w:rPr>
        <w:t xml:space="preserve">can </w:t>
      </w:r>
      <w:r w:rsidRPr="00E97EA9">
        <w:rPr>
          <w:rFonts w:cs="Calibri"/>
        </w:rPr>
        <w:t xml:space="preserve">experience a range of negative impacts from using social media. This can include impact to their self-esteem, cyber-bullying, the sexual exploitation of children, the organisation of riots, trolling culture, and information overload </w:t>
      </w:r>
      <w:r w:rsidRPr="00E97EA9">
        <w:fldChar w:fldCharType="begin" w:fldLock="1"/>
      </w:r>
      <w:r w:rsidR="00974B75" w:rsidRPr="00E97EA9">
        <w:rPr>
          <w:rFonts w:cs="Calibri"/>
        </w:rPr>
        <w:instrText>ADDIN CSL_CITATION {"citationItems":[{"id":"ITEM-1","itemData":{"DOI":"10.2202/1944-2866.1071","ISSN":"1944-2866","abstract":"Ten years after the Belfast Agreement, Northern Ireland remains a divided society as signified by the persistence and even proliferation of interface areas, often divided by so-called ‘peace walls’ and intermittent conflict between rival communities on either side. Recent media reports have suggested that online interactions between rival interface communities on social networking sites may be undermining efforts to foster better intercommunity relationships. This article explores the extent to which key stakeholders are aware of the use of the Internet by young people to plan street riots in interface areas in Northern Ireland and their responses to this ‘anti-social’ use of sites such as Bebo. It presents evidence to suggest that stakeholder awareness about the extent of the use of social media by young people to organize street riots is based on rumour and hearsay. Key stakeholders report that Internet Safety programmes have received positive feedback from local audiences but concede that they are unlikely have any significant impact upon the level of anti-social behavior in interface areas.","author":[{"dropping-particle":"","family":"Reilly","given":"Paul","non-dropping-particle":"","parse-names":false,"suffix":""}],"container-title":"Policy &amp; Internet","id":"ITEM-1","issue":"1","issued":{"date-parts":[["2011"]]},"page":"1-23","title":"'Anti-social' Networking in Northern Ireland: Policy Responses to Young People's Use of Social Media for Organizing Anti-social Behavior","type":"article-journal","volume":"3"},"uris":["http://www.mendeley.com/documents/?uuid=744b50ad-a7cc-4dee-95b4-2335ab04cb8d"]},{"id":"ITEM-2","itemData":{"DOI":"10.1177/0306422011409641","ISSN":"03064220","abstract":"A loose community of anarchic and anonymous people is testing the limits of free speech on the internet. Whitney Phillips interviews one of them","author":[{"dropping-particle":"","family":"Phillips","given":"Whitney","non-dropping-particle":"","parse-names":false,"suffix":""}],"container-title":"Index on Censorship","id":"ITEM-2","issue":"2","issued":{"date-parts":[["2011"]]},"page":"68-76","title":"Meet the trolls","type":"article-journal","volume":"40"},"uris":["http://www.mendeley.com/documents/?uuid=fb161d99-02db-4e8c-aa12-b27fd60e70f5"]},{"id":"ITEM-3","itemData":{"DOI":"10.1177/2056305119849493","ISBN":"2056305119","ISSN":"20563051","abstract":"When considering the extremist turn of the Trump-era internet, it is critical to interrogate the influence of subcultural trolling on and around 4chan from 2008 to 2012. The troll space isn’t the only space worth interrogating, however. During this same period, there was a marked overlap between subcultural trolling and the nebulous, discursive category known colloquially as “internet culture.” Both were swiftly absorbed into broader popular culture. Both were characterized by overwhelming irony and detached, fetishized laughter. That participants in these early internet culture spaces (which included but were not limited to “classic” subcultural trolling) were overwhelmingly white, middle class, and felt comfortable enough in their subject positions to respond to the world with a blanket “lol” speaks to much deeper problems than the obvious problems. Pressingly, the things that were—and that for some people, still are—fun and funny and apparently harmless online need more careful unpacking. Fun and funny and apparently harmless things have a way of obscuring weapons that privileged people cannot see, because they do not have to see them. They also have a way of establishing precedent and a step-by-step media manipulation guide that is easily hijacked by those looking to do harm, whose actions often fly under the radar—because those actions look familiar, because they look like the things that used to be fun.","author":[{"dropping-particle":"","family":"Phillips","given":"Whitney","non-dropping-particle":"","parse-names":false,"suffix":""}],"container-title":"Social Media and Society","id":"ITEM-3","issue":"3","issued":{"date-parts":[["2019"]]},"page":"1-4","title":"It Wasn’t Just the Trolls: Early Internet Culture, “Fun,” and the Fires of Exclusionary Laughter","type":"article-journal","volume":"5"},"uris":["http://www.mendeley.com/documents/?uuid=47ba655c-5d2e-43d6-b582-c67eb09192ee"]},{"id":"ITEM-4","itemData":{"ISSN":"2352-250X","author":[{"dropping-particle":"","family":"Cingel","given":"Drew P.","non-dropping-particle":"","parse-names":false,"suffix":""},{"dropping-particle":"","family":"Carter","given":"Michael C.","non-dropping-particle":"","parse-names":false,"suffix":""},{"dropping-particle":"","family":"Krause","given":"Hannes-Vincent","non-dropping-particle":"","parse-names":false,"suffix":""}],"container-title":"Current Opinion in Psychology","id":"ITEM-4","issued":{"date-parts":[["2022"]]},"page":"1-6","title":"Social media and self-esteem","type":"article-journal","volume":"45"},"uris":["http://www.mendeley.com/documents/?uuid=d17b480c-846e-4152-b2f6-494c022151d5"]},{"id":"ITEM-5","itemData":{"DOI":"10.1007/s43076-022-00192-5","ISBN":"0123456789","ISSN":"23581883","abstract":"The coronavirus pandemic is a global pandemic of Coronavirus Disease 2019 (COVID-19) resulting from the Severe Acute Respiratory Syndrome Coronavirus 2 (SARS-CoV2). Despite its numerous benefits for sharing health information, social media has raised several concerns in terms of posing panic among the general population around the world during the COVID-19 pandemic. The main objective of this study was to investigate the negative impact of social media during the COVID-19 outbreak. A web-based poll was used to collect data from social media users. Snowball sampling was used to acquire information from participants for 1 month, from September 1 to September 30, 2020. To examine the effect of social media on fear among participants, the study employed Cohen’s d statistic, analysis of variance, Chi-squared test, and linear regression analysis. The study results showed that more than three-fourth (73.26%) used Facebook followed by Telegram by 14.49%. Health news was the most frequently seen, read, or heard with 88.20% of the total. Moreover, 86.73% of respondents experienced panic, while only 13.27% was not. Compared to males, females were more likely to follow health news (p &lt; 0.001). The majority of participants reported being psychologically affected, while only a few were physically affected. Females were substantially more affected mentally and reported significantly more fear than males (p &lt; 0.001). The effect of social media panic is associated with participants’ age, and gender at a 5% level of significance. A significant positive link between social media and the diffusion of COVID-19 fear has been shown in this study. According to the result of regression analysis, social media usage has a significant effect on the spread of panic among participants at a 5% level of significance. Study revealed that social media use has a significant impact on the development of panic among people regarding the COVID-19 epidemic, with possibly detrimental psychological and mental health repercussions.This study also discovered a strong correlation between COVID-19 fear and social media. According to the findings, the impact of social media on respondents’ terror levels differs depending on their age and gender. The government should take steps to punish those who spread false information or fake news to the public.","author":[{"dropping-particle":"","family":"Lelisho","given":"Mesfin Esayas","non-dropping-particle":"","parse-names":false,"suffix":""},{"dropping-particle":"","family":"Pandey","given":"Digvijay","non-dropping-particle":"","parse-names":false,"suffix":""},{"dropping-particle":"","family":"Alemu","given":"Bizuwork Derebew","non-dropping-particle":"","parse-names":false,"suffix":""},{"dropping-particle":"","family":"Pandey","given":"Binay Kumar","non-dropping-particle":"","parse-names":false,"suffix":""},{"dropping-particle":"","family":"Tareke","given":"Seid Ali","non-dropping-particle":"","parse-names":false,"suffix":""}],"container-title":"Trends in Psychology","id":"ITEM-5","issue":"1","issued":{"date-parts":[["2023"]]},"page":"123-142","title":"The Negative Impact of Social Media during COVID-19 Pandemic","type":"article-journal","volume":"31"},"uris":["http://www.mendeley.com/documents/?uuid=6bcb7d15-34b1-4aa7-ba02-82b4783f9455"]},{"id":"ITEM-6","itemData":{"DOI":"10.1016/j.ipm.2022.102935","ISSN":"03064573","abstract":"The rapid dissemination of misinformation in social media during the COVID-19 pandemic triggers panic and threatens the pandemic preparedness and control. Correction is a crucial countermeasure to debunk misperceptions. However, the effective mechanism of correction on social media is not fully verified. Previous works focus on psychological theories and experimental studies, while the applicability of conclusions to the actual social media is unclear. This study explores determinants governing the effectiveness of misinformation corrections on social media with a combination of a data-driven approach and related theories on psychology and communication. Specifically, referring to the Backfire Effect, Source Credibility, and Audience's role in dissemination theories, we propose five hypotheses containing seven potential factors (regarding correction content and publishers’ influence), e.g., the proportion of original misinformation and warnings of misinformation. Then, we obtain 1487 significant COVID-19 related corrections on Microblog between January 1st, 2020 and April 30th, 2020, and conduct annotations, which characterize each piece of correction based on the aforementioned factors. We demonstrate several promising conclusions through a comprehensive analysis of the dataset. For example, mentioning excessive original misinformation in corrections would not undermine people's believability within a short period after reading; warnings of misinformation in a demanding tone make correction worse; determinants of correction effectiveness vary among different topics of misinformation. Finally, we build a regression model to predict correction effectiveness. These results provide practical suggestions on misinformation correction on social media, and a tool to guide practitioners to revise corrections before publishing, leading to ideal efficacies.","author":[{"dropping-particle":"","family":"Zhang","given":"Yuqi","non-dropping-particle":"","parse-names":false,"suffix":""},{"dropping-particle":"","family":"Guo","given":"Bin","non-dropping-particle":"","parse-names":false,"suffix":""},{"dropping-particle":"","family":"Ding","given":"Yasan","non-dropping-particle":"","parse-names":false,"suffix":""},{"dropping-particle":"","family":"Liu","given":"Jiaqi","non-dropping-particle":"","parse-names":false,"suffix":""},{"dropping-particle":"","family":"Qiu","given":"Chen","non-dropping-particle":"","parse-names":false,"suffix":""},{"dropping-particle":"","family":"Liu","given":"Sicong","non-dropping-particle":"","parse-names":false,"suffix":""},{"dropping-particle":"","family":"Yu","given":"Zhiwen","non-dropping-particle":"","parse-names":false,"suffix":""}],"container-title":"Information Processing and Management","id":"ITEM-6","issue":"3","issued":{"date-parts":[["2022"]]},"page":"1 - 15","title":"Investigation of the determinants for misinformation correction effectiveness on social media during COVID-19 pandemic","type":"article-journal","volume":"59"},"uris":["http://www.mendeley.com/documents/?uuid=4bca301c-abc8-4885-b7b0-844f7a034457"]}],"mendeley":{"formattedCitation":"(Lelisho et al., 2023; Cingel, Carter, &amp; Krause, 2022; Zhang et al., 2022; Phillips, 2011, 2019; Reilly, 2011)","plainTextFormattedCitation":"(Lelisho et al., 2023; Cingel, Carter, &amp; Krause, 2022; Zhang et al., 2022; Phillips, 2011, 2019; Reilly, 2011)","previouslyFormattedCitation":"(Lelisho et al., 2023; Cingel, Carter, &amp; Krause, 2022; Zhang et al., 2022; Phillips, 2011, 2019; Reilly, 2011)"},"properties":{"noteIndex":0},"schema":"https://github.com/citation-style-language/schema/raw/master/csl-citation.json"}</w:instrText>
      </w:r>
      <w:r w:rsidRPr="00E97EA9">
        <w:rPr>
          <w:rFonts w:cs="Calibri"/>
        </w:rPr>
        <w:fldChar w:fldCharType="separate"/>
      </w:r>
      <w:r w:rsidRPr="00E97EA9">
        <w:rPr>
          <w:rFonts w:cs="Calibri"/>
          <w:noProof/>
        </w:rPr>
        <w:t>(Lelisho et al., 2023; Cingel, Carter, &amp; Krause, 2022; Zhang et al., 2022; Phillips, 2011, 2019; Reilly, 2011)</w:t>
      </w:r>
      <w:r w:rsidRPr="00E97EA9">
        <w:rPr>
          <w:rFonts w:cs="Calibri"/>
        </w:rPr>
        <w:fldChar w:fldCharType="end"/>
      </w:r>
      <w:r w:rsidRPr="00E97EA9">
        <w:rPr>
          <w:rFonts w:cs="Calibri"/>
        </w:rPr>
        <w:t xml:space="preserve">. These negative impacts of social media can impact users at any time, including prior and during a disaster. This was seen during the COVID-19 lockdowns, with an overload of information termed the </w:t>
      </w:r>
      <w:r w:rsidRPr="00E97EA9">
        <w:rPr>
          <w:rFonts w:cs="Calibri"/>
          <w:i/>
          <w:iCs/>
        </w:rPr>
        <w:t xml:space="preserve">infodemic </w:t>
      </w:r>
      <w:r w:rsidRPr="00E97EA9">
        <w:fldChar w:fldCharType="begin" w:fldLock="1"/>
      </w:r>
      <w:r w:rsidR="00974B75" w:rsidRPr="00E97EA9">
        <w:rPr>
          <w:rFonts w:cs="Calibri"/>
          <w:i/>
          <w:iCs/>
        </w:rPr>
        <w:instrText>ADDIN CSL_CITATION {"citationItems":[{"id":"ITEM-1","itemData":{"DOI":"10.1007/s43076-022-00192-5","ISBN":"0123456789","ISSN":"23581883","abstract":"The coronavirus pandemic is a global pandemic of Coronavirus Disease 2019 (COVID-19) resulting from the Severe Acute Respiratory Syndrome Coronavirus 2 (SARS-CoV2). Despite its numerous benefits for sharing health information, social media has raised several concerns in terms of posing panic among the general population around the world during the COVID-19 pandemic. The main objective of this study was to investigate the negative impact of social media during the COVID-19 outbreak. A web-based poll was used to collect data from social media users. Snowball sampling was used to acquire information from participants for 1 month, from September 1 to September 30, 2020. To examine the effect of social media on fear among participants, the study employed Cohen’s d statistic, analysis of variance, Chi-squared test, and linear regression analysis. The study results showed that more than three-fourth (73.26%) used Facebook followed by Telegram by 14.49%. Health news was the most frequently seen, read, or heard with 88.20% of the total. Moreover, 86.73% of respondents experienced panic, while only 13.27% was not. Compared to males, females were more likely to follow health news (p &lt; 0.001). The majority of participants reported being psychologically affected, while only a few were physically affected. Females were substantially more affected mentally and reported significantly more fear than males (p &lt; 0.001). The effect of social media panic is associated with participants’ age, and gender at a 5% level of significance. A significant positive link between social media and the diffusion of COVID-19 fear has been shown in this study. According to the result of regression analysis, social media usage has a significant effect on the spread of panic among participants at a 5% level of significance. Study revealed that social media use has a significant impact on the development of panic among people regarding the COVID-19 epidemic, with possibly detrimental psychological and mental health repercussions.This study also discovered a strong correlation between COVID-19 fear and social media. According to the findings, the impact of social media on respondents’ terror levels differs depending on their age and gender. The government should take steps to punish those who spread false information or fake news to the public.","author":[{"dropping-particle":"","family":"Lelisho","given":"Mesfin Esayas","non-dropping-particle":"","parse-names":false,"suffix":""},{"dropping-particle":"","family":"Pandey","given":"Digvijay","non-dropping-particle":"","parse-names":false,"suffix":""},{"dropping-particle":"","family":"Alemu","given":"Bizuwork Derebew","non-dropping-particle":"","parse-names":false,"suffix":""},{"dropping-particle":"","family":"Pandey","given":"Binay Kumar","non-dropping-particle":"","parse-names":false,"suffix":""},{"dropping-particle":"","family":"Tareke","given":"Seid Ali","non-dropping-particle":"","parse-names":false,"suffix":""}],"container-title":"Trends in Psychology","id":"ITEM-1","issue":"1","issued":{"date-parts":[["2023"]]},"page":"123-142","title":"The Negative Impact of Social Media during COVID-19 Pandemic","type":"article-journal","volume":"31"},"uris":["http://www.mendeley.com/documents/?uuid=6bcb7d15-34b1-4aa7-ba02-82b4783f9455"]},{"id":"ITEM-2","itemData":{"DOI":"10.1016/j.ipm.2022.102935","ISSN":"03064573","abstract":"The rapid dissemination of misinformation in social media during the COVID-19 pandemic triggers panic and threatens the pandemic preparedness and control. Correction is a crucial countermeasure to debunk misperceptions. However, the effective mechanism of correction on social media is not fully verified. Previous works focus on psychological theories and experimental studies, while the applicability of conclusions to the actual social media is unclear. This study explores determinants governing the effectiveness of misinformation corrections on social media with a combination of a data-driven approach and related theories on psychology and communication. Specifically, referring to the Backfire Effect, Source Credibility, and Audience's role in dissemination theories, we propose five hypotheses containing seven potential factors (regarding correction content and publishers’ influence), e.g., the proportion of original misinformation and warnings of misinformation. Then, we obtain 1487 significant COVID-19 related corrections on Microblog between January 1st, 2020 and April 30th, 2020, and conduct annotations, which characterize each piece of correction based on the aforementioned factors. We demonstrate several promising conclusions through a comprehensive analysis of the dataset. For example, mentioning excessive original misinformation in corrections would not undermine people's believability within a short period after reading; warnings of misinformation in a demanding tone make correction worse; determinants of correction effectiveness vary among different topics of misinformation. Finally, we build a regression model to predict correction effectiveness. These results provide practical suggestions on misinformation correction on social media, and a tool to guide practitioners to revise corrections before publishing, leading to ideal efficacies.","author":[{"dropping-particle":"","family":"Zhang","given":"Yuqi","non-dropping-particle":"","parse-names":false,"suffix":""},{"dropping-particle":"","family":"Guo","given":"Bin","non-dropping-particle":"","parse-names":false,"suffix":""},{"dropping-particle":"","family":"Ding","given":"Yasan","non-dropping-particle":"","parse-names":false,"suffix":""},{"dropping-particle":"","family":"Liu","given":"Jiaqi","non-dropping-particle":"","parse-names":false,"suffix":""},{"dropping-particle":"","family":"Qiu","given":"Chen","non-dropping-particle":"","parse-names":false,"suffix":""},{"dropping-particle":"","family":"Liu","given":"Sicong","non-dropping-particle":"","parse-names":false,"suffix":""},{"dropping-particle":"","family":"Yu","given":"Zhiwen","non-dropping-particle":"","parse-names":false,"suffix":""}],"container-title":"Information Processing and Management","id":"ITEM-2","issue":"3","issued":{"date-parts":[["2022"]]},"page":"1 - 15","title":"Investigation of the determinants for misinformation correction effectiveness on social media during COVID-19 pandemic","type":"article-journal","volume":"59"},"uris":["http://www.mendeley.com/documents/?uuid=4bca301c-abc8-4885-b7b0-844f7a034457"]}],"mendeley":{"formattedCitation":"(Lelisho et al., 2023; Zhang et al., 2022)","plainTextFormattedCitation":"(Lelisho et al., 2023; Zhang et al., 2022)","previouslyFormattedCitation":"(Lelisho et al., 2023; Zhang et al., 2022)"},"properties":{"noteIndex":0},"schema":"https://github.com/citation-style-language/schema/raw/master/csl-citation.json"}</w:instrText>
      </w:r>
      <w:r w:rsidRPr="00E97EA9">
        <w:rPr>
          <w:rFonts w:cs="Calibri"/>
          <w:i/>
          <w:iCs/>
        </w:rPr>
        <w:fldChar w:fldCharType="separate"/>
      </w:r>
      <w:r w:rsidRPr="00E97EA9">
        <w:rPr>
          <w:rFonts w:cs="Calibri"/>
          <w:iCs/>
          <w:noProof/>
        </w:rPr>
        <w:t>(Lelisho et al., 2023; Zhang et al., 2022)</w:t>
      </w:r>
      <w:r w:rsidRPr="00E97EA9">
        <w:rPr>
          <w:rFonts w:cs="Calibri"/>
          <w:i/>
          <w:iCs/>
        </w:rPr>
        <w:fldChar w:fldCharType="end"/>
      </w:r>
      <w:r w:rsidRPr="00E97EA9">
        <w:rPr>
          <w:rFonts w:cs="Calibri"/>
        </w:rPr>
        <w:t xml:space="preserve">. This saw users consuming large amounts of information from a variety of sources which led to increased rates of psychological distress </w:t>
      </w:r>
      <w:r w:rsidRPr="00E97EA9">
        <w:fldChar w:fldCharType="begin" w:fldLock="1"/>
      </w:r>
      <w:r w:rsidR="00974B75" w:rsidRPr="00E97EA9">
        <w:rPr>
          <w:rFonts w:cs="Calibri"/>
        </w:rPr>
        <w:instrText>ADDIN CSL_CITATION {"citationItems":[{"id":"ITEM-1","itemData":{"DOI":"10.1007/s43076-022-00192-5","ISBN":"0123456789","ISSN":"23581883","abstract":"The coronavirus pandemic is a global pandemic of Coronavirus Disease 2019 (COVID-19) resulting from the Severe Acute Respiratory Syndrome Coronavirus 2 (SARS-CoV2). Despite its numerous benefits for sharing health information, social media has raised several concerns in terms of posing panic among the general population around the world during the COVID-19 pandemic. The main objective of this study was to investigate the negative impact of social media during the COVID-19 outbreak. A web-based poll was used to collect data from social media users. Snowball sampling was used to acquire information from participants for 1 month, from September 1 to September 30, 2020. To examine the effect of social media on fear among participants, the study employed Cohen’s d statistic, analysis of variance, Chi-squared test, and linear regression analysis. The study results showed that more than three-fourth (73.26%) used Facebook followed by Telegram by 14.49%. Health news was the most frequently seen, read, or heard with 88.20% of the total. Moreover, 86.73% of respondents experienced panic, while only 13.27% was not. Compared to males, females were more likely to follow health news (p &lt; 0.001). The majority of participants reported being psychologically affected, while only a few were physically affected. Females were substantially more affected mentally and reported significantly more fear than males (p &lt; 0.001). The effect of social media panic is associated with participants’ age, and gender at a 5% level of significance. A significant positive link between social media and the diffusion of COVID-19 fear has been shown in this study. According to the result of regression analysis, social media usage has a significant effect on the spread of panic among participants at a 5% level of significance. Study revealed that social media use has a significant impact on the development of panic among people regarding the COVID-19 epidemic, with possibly detrimental psychological and mental health repercussions.This study also discovered a strong correlation between COVID-19 fear and social media. According to the findings, the impact of social media on respondents’ terror levels differs depending on their age and gender. The government should take steps to punish those who spread false information or fake news to the public.","author":[{"dropping-particle":"","family":"Lelisho","given":"Mesfin Esayas","non-dropping-particle":"","parse-names":false,"suffix":""},{"dropping-particle":"","family":"Pandey","given":"Digvijay","non-dropping-particle":"","parse-names":false,"suffix":""},{"dropping-particle":"","family":"Alemu","given":"Bizuwork Derebew","non-dropping-particle":"","parse-names":false,"suffix":""},{"dropping-particle":"","family":"Pandey","given":"Binay Kumar","non-dropping-particle":"","parse-names":false,"suffix":""},{"dropping-particle":"","family":"Tareke","given":"Seid Ali","non-dropping-particle":"","parse-names":false,"suffix":""}],"container-title":"Trends in Psychology","id":"ITEM-1","issue":"1","issued":{"date-parts":[["2023"]]},"page":"123-142","title":"The Negative Impact of Social Media during COVID-19 Pandemic","type":"article-journal","volume":"31"},"uris":["http://www.mendeley.com/documents/?uuid=6bcb7d15-34b1-4aa7-ba02-82b4783f9455"]},{"id":"ITEM-2","itemData":{"DOI":"10.1016/j.ipm.2022.102935","ISSN":"03064573","abstract":"The rapid dissemination of misinformation in social media during the COVID-19 pandemic triggers panic and threatens the pandemic preparedness and control. Correction is a crucial countermeasure to debunk misperceptions. However, the effective mechanism of correction on social media is not fully verified. Previous works focus on psychological theories and experimental studies, while the applicability of conclusions to the actual social media is unclear. This study explores determinants governing the effectiveness of misinformation corrections on social media with a combination of a data-driven approach and related theories on psychology and communication. Specifically, referring to the Backfire Effect, Source Credibility, and Audience's role in dissemination theories, we propose five hypotheses containing seven potential factors (regarding correction content and publishers’ influence), e.g., the proportion of original misinformation and warnings of misinformation. Then, we obtain 1487 significant COVID-19 related corrections on Microblog between January 1st, 2020 and April 30th, 2020, and conduct annotations, which characterize each piece of correction based on the aforementioned factors. We demonstrate several promising conclusions through a comprehensive analysis of the dataset. For example, mentioning excessive original misinformation in corrections would not undermine people's believability within a short period after reading; warnings of misinformation in a demanding tone make correction worse; determinants of correction effectiveness vary among different topics of misinformation. Finally, we build a regression model to predict correction effectiveness. These results provide practical suggestions on misinformation correction on social media, and a tool to guide practitioners to revise corrections before publishing, leading to ideal efficacies.","author":[{"dropping-particle":"","family":"Zhang","given":"Yuqi","non-dropping-particle":"","parse-names":false,"suffix":""},{"dropping-particle":"","family":"Guo","given":"Bin","non-dropping-particle":"","parse-names":false,"suffix":""},{"dropping-particle":"","family":"Ding","given":"Yasan","non-dropping-particle":"","parse-names":false,"suffix":""},{"dropping-particle":"","family":"Liu","given":"Jiaqi","non-dropping-particle":"","parse-names":false,"suffix":""},{"dropping-particle":"","family":"Qiu","given":"Chen","non-dropping-particle":"","parse-names":false,"suffix":""},{"dropping-particle":"","family":"Liu","given":"Sicong","non-dropping-particle":"","parse-names":false,"suffix":""},{"dropping-particle":"","family":"Yu","given":"Zhiwen","non-dropping-particle":"","parse-names":false,"suffix":""}],"container-title":"Information Processing and Management","id":"ITEM-2","issue":"3","issued":{"date-parts":[["2022"]]},"page":"1 - 15","title":"Investigation of the determinants for misinformation correction effectiveness on social media during COVID-19 pandemic","type":"article-journal","volume":"59"},"uris":["http://www.mendeley.com/documents/?uuid=4bca301c-abc8-4885-b7b0-844f7a034457"]}],"mendeley":{"formattedCitation":"(Lelisho et al., 2023; Zhang et al., 2022)","plainTextFormattedCitation":"(Lelisho et al., 2023; Zhang et al., 2022)","previouslyFormattedCitation":"(Lelisho et al., 2023; Zhang et al., 2022)"},"properties":{"noteIndex":0},"schema":"https://github.com/citation-style-language/schema/raw/master/csl-citation.json"}</w:instrText>
      </w:r>
      <w:r w:rsidRPr="00E97EA9">
        <w:rPr>
          <w:rFonts w:cs="Calibri"/>
        </w:rPr>
        <w:fldChar w:fldCharType="separate"/>
      </w:r>
      <w:r w:rsidRPr="00E97EA9">
        <w:rPr>
          <w:rFonts w:cs="Calibri"/>
          <w:noProof/>
          <w:lang w:eastAsia="en-US"/>
        </w:rPr>
        <w:t>(Lelisho et al., 2023; Zhang et al., 2022)</w:t>
      </w:r>
      <w:r w:rsidRPr="00E97EA9">
        <w:rPr>
          <w:rFonts w:cs="Calibri"/>
        </w:rPr>
        <w:fldChar w:fldCharType="end"/>
      </w:r>
      <w:r w:rsidRPr="00E97EA9">
        <w:rPr>
          <w:rFonts w:cs="Calibri"/>
          <w:lang w:eastAsia="en-US"/>
        </w:rPr>
        <w:t xml:space="preserve">; this has also been termed as doomscrolling  </w:t>
      </w:r>
      <w:r w:rsidRPr="00E97EA9">
        <w:fldChar w:fldCharType="begin" w:fldLock="1"/>
      </w:r>
      <w:r w:rsidR="00974B75" w:rsidRPr="00E97EA9">
        <w:rPr>
          <w:rFonts w:cs="Calibri"/>
          <w:lang w:eastAsia="en-US"/>
        </w:rPr>
        <w:instrText>ADDIN CSL_CITATION {"citationItems":[{"id":"ITEM-1","itemData":{"DOI":"10.1037/tmb0000059.supp","ISBN":"0000000256","abstract":"Doomscrolling refers to a unique media habit where social media users persistently attend to negative information in their newsfeeds about crises, disasters, and tragedies. Given the potential prevalence of this practice and its timely but chronic relevance for user experiences, political perceptions, well-being, and other outcomes, this project aimed to develop and validate a self-report measure of doomscrolling. Participant focus groups and an expert panel contributed to the refinement of an item bank, assessed in two survey studies for item structure, reliability, and construct validity. The item bank was tested with survey panelists across the Organisation for Economic Co-operation and Development; OECD (N = 401) to develop a unidimensional, 15-item scale with good reliability. Doomscrolling was less prevalent than anticipated, but variable. Tests of validity with survey panelists (N = 502) indicated that doomscrolling can be considered a distinct concept, and that it was closely related to online vigilance, problematic use of the internet and social media, and fear of missing out (FOMO). Doomscrolling was also linked to passive social media use, habitual media use, anxiety, poor self-control, and several personality traits. Men, younger adults, and the political-engaged were more likely to engage in doomscrolling.","author":[{"dropping-particle":"","family":"Sharma","given":"Bhakti","non-dropping-particle":"","parse-names":false,"suffix":""},{"dropping-particle":"","family":"Lee","given":"Susanna S.","non-dropping-particle":"","parse-names":false,"suffix":""},{"dropping-particle":"","family":"Johnson","given":"Benjamin K.","non-dropping-particle":"","parse-names":false,"suffix":""}],"container-title":"Technology, Mind, and Behavior","id":"ITEM-1","issue":"1","issued":{"date-parts":[["2022"]]},"page":"1 - 13","title":"The dark at the end of the tunnel: Doomscrolling on social media newsfeeds","type":"article-journal","volume":"3"},"uris":["http://www.mendeley.com/documents/?uuid=487fbfd9-d41d-4bf2-a9c9-71e1c1508137"]}],"mendeley":{"formattedCitation":"(Sharma, Lee, &amp; Johnson, 2022)","plainTextFormattedCitation":"(Sharma, Lee, &amp; Johnson, 2022)","previouslyFormattedCitation":"(Sharma, Lee, &amp; Johnson, 2022)"},"properties":{"noteIndex":0},"schema":"https://github.com/citation-style-language/schema/raw/master/csl-citation.json"}</w:instrText>
      </w:r>
      <w:r w:rsidRPr="00E97EA9">
        <w:rPr>
          <w:rFonts w:cs="Calibri"/>
          <w:lang w:eastAsia="en-US"/>
        </w:rPr>
        <w:fldChar w:fldCharType="separate"/>
      </w:r>
      <w:r w:rsidRPr="00E97EA9">
        <w:rPr>
          <w:rFonts w:cs="Calibri"/>
          <w:noProof/>
          <w:lang w:eastAsia="en-US"/>
        </w:rPr>
        <w:t>(Sharma, Lee, &amp; Johnson, 2022)</w:t>
      </w:r>
      <w:r w:rsidRPr="00E97EA9">
        <w:rPr>
          <w:rFonts w:cs="Calibri"/>
          <w:lang w:eastAsia="en-US"/>
        </w:rPr>
        <w:fldChar w:fldCharType="end"/>
      </w:r>
      <w:r w:rsidRPr="00E97EA9">
        <w:rPr>
          <w:rFonts w:cs="Calibri"/>
          <w:lang w:eastAsia="en-US"/>
        </w:rPr>
        <w:t xml:space="preserve">. </w:t>
      </w:r>
    </w:p>
    <w:p w14:paraId="73C24808" w14:textId="77777777" w:rsidR="00B03115" w:rsidRDefault="00B03115" w:rsidP="00866155">
      <w:pPr>
        <w:tabs>
          <w:tab w:val="left" w:pos="1764"/>
        </w:tabs>
        <w:rPr>
          <w:rFonts w:cs="Calibri"/>
          <w:lang w:eastAsia="en-US"/>
        </w:rPr>
      </w:pPr>
    </w:p>
    <w:p w14:paraId="7F525BEE" w14:textId="37592BE9" w:rsidR="00787F73" w:rsidRPr="00E97EA9" w:rsidRDefault="00C84401" w:rsidP="00866155">
      <w:pPr>
        <w:tabs>
          <w:tab w:val="left" w:pos="1764"/>
        </w:tabs>
      </w:pPr>
      <w:r>
        <w:rPr>
          <w:rFonts w:cs="Calibri"/>
        </w:rPr>
        <w:t>While</w:t>
      </w:r>
      <w:r w:rsidR="00742FB7" w:rsidRPr="00E97EA9">
        <w:rPr>
          <w:rFonts w:cs="Calibri"/>
          <w:lang w:eastAsia="en-US"/>
        </w:rPr>
        <w:t xml:space="preserve"> this thesis is focusing on the use of social media prior to an event, these concepts are important to understand as the sharing of negative stories and experiences on social media has been seen to reduce the individual’s perception of their community’s resilience </w:t>
      </w:r>
      <w:r w:rsidR="00742FB7" w:rsidRPr="00E97EA9">
        <w:fldChar w:fldCharType="begin" w:fldLock="1"/>
      </w:r>
      <w:r w:rsidR="00751A84">
        <w:rPr>
          <w:rFonts w:cs="Calibri"/>
          <w:lang w:eastAsia="en-US"/>
        </w:rPr>
        <w:instrText>ADDIN CSL_CITATION {"citationItems":[{"id":"ITEM-1","itemData":{"DOI":"10.1016/j.chb.2022.107294","ISSN":"07475632","abstract":"Facing the Covid outbreaks, public health researchers share a consensus that community resilience should be maintained and strengthened because it helps mitigate the physical and emotional tolls on individuals and communities. One way to achieve the goal is to build and strengthen community resilience through social media. However, social media's role in building community resilience has been poorly understood from a behavioral perspective. Guiding by uses and gratification theory and the coping literature, we build a model to examine how social media behaviors may influence community members' perceived community resilience, providing a “bottom-up” voice to deepen our understanding of community resilience and its implications for public health. The results shows that community members' social media engagement was significantly associated with their perceived community resilience. While helping others on social media led people to perceive their communities as less resilient, the use of social media for social support helped foster social capital, leading to more perceived resilience at the collective level. Overall, social media use played important roles in shaping people's perception of community resilience, helping community members and organizations evaluate their strengths and weaknesses, and make improvement to better address future challenges in the times of global disasters.","author":[{"dropping-particle":"","family":"Xie","given":"Lola","non-dropping-particle":"","parse-names":false,"suffix":""},{"dropping-particle":"","family":"Pinto","given":"Juliet","non-dropping-particle":"","parse-names":false,"suffix":""},{"dropping-particle":"","family":"Zhong","given":"Bu","non-dropping-particle":"","parse-names":false,"suffix":""}],"container-title":"Computers in Human Behavior","id":"ITEM-1","issued":{"date-parts":[["2022"]]},"page":"1 - 9","title":"Building community resilience on social media to help recover from the COVID-19 pandemic","type":"article-journal","volume":"134"},"uris":["http://www.mendeley.com/documents/?uuid=625f072e-ec3a-410e-b53c-06c711464573"]},{"id":"ITEM-2","itemData":{"DOI":"10.1109/TEM.2023.3290152","ISSN":"15580040","abstract":"The ubiquity of social media and the varying nature of subjective well-being (SWB) in a culturally heterogeneous world raises an essential question about how social media and culture jointly influence SWB. We argue that social media shapes the influence of cultural dimensions on SWB in nuanced ways, depending on the nature of the dimensions. Drawing on the affordance-based institutional logics perspective, we hypothesize that social media attenuates the adverse effects of power distance, masculinity, and uncertainty avoidance and amplifies the positive effects of individualism, long-term orientation, and indulgence on SWB. Using a dynamic panel model, our analysis shows that a degree of high social media diffusion in a country reduces the negative effect of power distance on SWB and increases the positive effect of individualism on SWB. These findings can help policymakers make informed decisions regarding increasing social media penetration as a means of overcoming negative cultural characteristics to enhance SWB.","author":[{"dropping-particle":"","family":"Arayankalam","given":"Jithesh","non-dropping-particle":"","parse-names":false,"suffix":""},{"dropping-particle":"","family":"Krishnan","given":"Satish","non-dropping-particle":"","parse-names":false,"suffix":""},{"dropping-particle":"","family":"Ractham","given":"Peter","non-dropping-particle":"","parse-names":false,"suffix":""},{"dropping-particle":"","family":"Papa","given":"Armando","non-dropping-particle":"","parse-names":false,"suffix":""}],"container-title":"IEEE Transactions on Engineering Management","id":"ITEM-2","issued":{"date-parts":[["2023"]]},"page":"1-17","title":"Social Media as an Amplifier or Attenuator: How Does Social Media Diffusion Shape the Influence of Culture on Subjective Well-Being","type":"article-journal"},"uris":["http://www.mendeley.com/documents/?uuid=26a85c19-7d40-4644-a009-3a4bc68b715b"]},{"id":"ITEM-3","itemData":{"DOI":"10.1371/currents.dis.db775aff25efc5ac4f0660ad9c9f7db2","ISSN":"2157-3999","abstract":"Background: Government, industry and charitable organisations have an increasing focus on programs intended to support community resilience to disasters. But has consensus been reached as to what defines 'community resilience' and what its core characteristics are? Methods: We undertook a systematic literature review of definitions of community resilience related to disasters. We conducted an inductive thematic analysis of the definitions and descriptions that we identified, in order to determine the proposed characteristics of community resilience prior to, during and after a disaster. Results: We identified 80 relevant papers. There was no evidence of a common, agreed definition of community resilience. In spite of this, evidence was found of nine core elements of community resilience that were common among the definitions. The core elements were: local knowledge, community networks and relationships, communication, health, governance and leadership, resources, economic investment, preparedness, and mental outlook. Within these core elements, we identified 19 sub-elements linked to community resilience. Conclusion: Our findings show that community resilience remains an amorphous concept that is understood and applied differently by different research groups. Yet in spite of the differences in conception and application, there are well-understood elements that are widely proposed as important for a resilient community. A focus on these individual elements may be more productive than attempting to define and study community resilience as a distinct concept. Tweet Patel SS, Rogers MB, Amlôt R, Rubin GJ. What Do We Mean by 'Community Resilience'? A","author":[{"dropping-particle":"","family":"Patel","given":"Sonny S","non-dropping-particle":"","parse-names":false,"suffix":""},{"dropping-particle":"","family":"Rogers","given":"M Brooke","non-dropping-particle":"","parse-names":false,"suffix":""},{"dropping-particle":"","family":"Amlôt","given":"Richard","non-dropping-particle":"","parse-names":false,"suffix":""},{"dropping-particle":"","family":"Rubin","given":"G James","non-dropping-particle":"","parse-names":false,"suffix":""}],"container-title":"PLoS currents","id":"ITEM-3","issued":{"date-parts":[["2017"]]},"page":"1-22","title":"What Do We Mean by 'Community Resilience'? A Systematic Literature Review of How It Is Defined in the Literature","type":"article-journal","volume":"9"},"uris":["http://www.mendeley.com/documents/?uuid=8b7e845a-0cc5-4c23-b38e-826bdf09e29d"]}],"mendeley":{"formattedCitation":"(Arayankalam et al., 2023; Xie, Pinto, &amp; Zhong, 2022; Patel et al., 2017)","plainTextFormattedCitation":"(Arayankalam et al., 2023; Xie, Pinto, &amp; Zhong, 2022; Patel et al., 2017)","previouslyFormattedCitation":"(Arayankalam et al., 2023; Xie, Pinto, &amp; Zhong, 2022; Patel et al., 2017)"},"properties":{"noteIndex":0},"schema":"https://github.com/citation-style-language/schema/raw/master/csl-citation.json"}</w:instrText>
      </w:r>
      <w:r w:rsidR="00742FB7" w:rsidRPr="00E97EA9">
        <w:rPr>
          <w:rFonts w:cs="Calibri"/>
          <w:lang w:eastAsia="en-US"/>
        </w:rPr>
        <w:fldChar w:fldCharType="separate"/>
      </w:r>
      <w:r w:rsidR="00751A84" w:rsidRPr="00751A84">
        <w:rPr>
          <w:rFonts w:cs="Calibri"/>
          <w:noProof/>
          <w:lang w:eastAsia="en-US"/>
        </w:rPr>
        <w:t>(Arayankalam et al., 2023; Xie, Pinto, &amp; Zhong, 2022; Patel et al., 2017)</w:t>
      </w:r>
      <w:r w:rsidR="00742FB7" w:rsidRPr="00E97EA9">
        <w:rPr>
          <w:rFonts w:cs="Calibri"/>
          <w:lang w:eastAsia="en-US"/>
        </w:rPr>
        <w:fldChar w:fldCharType="end"/>
      </w:r>
      <w:r w:rsidR="00742FB7" w:rsidRPr="00E97EA9">
        <w:rPr>
          <w:rFonts w:cs="Calibri"/>
          <w:lang w:eastAsia="en-US"/>
        </w:rPr>
        <w:t>.</w:t>
      </w:r>
      <w:r w:rsidR="00751A84">
        <w:rPr>
          <w:rFonts w:cs="Calibri"/>
          <w:lang w:eastAsia="en-US"/>
        </w:rPr>
        <w:t xml:space="preserve"> Not only does this influence the users subjective wellbeing, but it may influence the development of community resilience as the communities mental outlook will be affected </w:t>
      </w:r>
      <w:r w:rsidR="00751A84">
        <w:rPr>
          <w:rFonts w:cs="Calibri"/>
          <w:lang w:eastAsia="en-US"/>
        </w:rPr>
        <w:fldChar w:fldCharType="begin" w:fldLock="1"/>
      </w:r>
      <w:r w:rsidR="00ED2F2A">
        <w:rPr>
          <w:rFonts w:cs="Calibri"/>
          <w:lang w:eastAsia="en-US"/>
        </w:rPr>
        <w:instrText>ADDIN CSL_CITATION {"citationItems":[{"id":"ITEM-1","itemData":{"DOI":"10.1371/currents.dis.db775aff25efc5ac4f0660ad9c9f7db2","ISSN":"2157-3999","abstract":"Background: Government, industry and charitable organisations have an increasing focus on programs intended to support community resilience to disasters. But has consensus been reached as to what defines 'community resilience' and what its core characteristics are? Methods: We undertook a systematic literature review of definitions of community resilience related to disasters. We conducted an inductive thematic analysis of the definitions and descriptions that we identified, in order to determine the proposed characteristics of community resilience prior to, during and after a disaster. Results: We identified 80 relevant papers. There was no evidence of a common, agreed definition of community resilience. In spite of this, evidence was found of nine core elements of community resilience that were common among the definitions. The core elements were: local knowledge, community networks and relationships, communication, health, governance and leadership, resources, economic investment, preparedness, and mental outlook. Within these core elements, we identified 19 sub-elements linked to community resilience. Conclusion: Our findings show that community resilience remains an amorphous concept that is understood and applied differently by different research groups. Yet in spite of the differences in conception and application, there are well-understood elements that are widely proposed as important for a resilient community. A focus on these individual elements may be more productive than attempting to define and study community resilience as a distinct concept. Tweet Patel SS, Rogers MB, Amlôt R, Rubin GJ. What Do We Mean by 'Community Resilience'? A","author":[{"dropping-particle":"","family":"Patel","given":"Sonny S","non-dropping-particle":"","parse-names":false,"suffix":""},{"dropping-particle":"","family":"Rogers","given":"M Brooke","non-dropping-particle":"","parse-names":false,"suffix":""},{"dropping-particle":"","family":"Amlôt","given":"Richard","non-dropping-particle":"","parse-names":false,"suffix":""},{"dropping-particle":"","family":"Rubin","given":"G James","non-dropping-particle":"","parse-names":false,"suffix":""}],"container-title":"PLoS currents","id":"ITEM-1","issued":{"date-parts":[["2017"]]},"page":"1-22","title":"What Do We Mean by 'Community Resilience'? A Systematic Literature Review of How It Is Defined in the Literature","type":"article-journal","volume":"9"},"uris":["http://www.mendeley.com/documents/?uuid=8b7e845a-0cc5-4c23-b38e-826bdf09e29d"]}],"mendeley":{"formattedCitation":"(Patel et al., 2017)","plainTextFormattedCitation":"(Patel et al., 2017)","previouslyFormattedCitation":"(Patel et al., 2017)"},"properties":{"noteIndex":0},"schema":"https://github.com/citation-style-language/schema/raw/master/csl-citation.json"}</w:instrText>
      </w:r>
      <w:r w:rsidR="00751A84">
        <w:rPr>
          <w:rFonts w:cs="Calibri"/>
          <w:lang w:eastAsia="en-US"/>
        </w:rPr>
        <w:fldChar w:fldCharType="separate"/>
      </w:r>
      <w:r w:rsidR="00751A84" w:rsidRPr="00751A84">
        <w:rPr>
          <w:rFonts w:cs="Calibri"/>
          <w:noProof/>
          <w:lang w:eastAsia="en-US"/>
        </w:rPr>
        <w:t>(Patel et al., 2017)</w:t>
      </w:r>
      <w:r w:rsidR="00751A84">
        <w:rPr>
          <w:rFonts w:cs="Calibri"/>
          <w:lang w:eastAsia="en-US"/>
        </w:rPr>
        <w:fldChar w:fldCharType="end"/>
      </w:r>
      <w:r w:rsidR="00751A84">
        <w:rPr>
          <w:rFonts w:cs="Calibri"/>
          <w:lang w:eastAsia="en-US"/>
        </w:rPr>
        <w:t>.</w:t>
      </w:r>
      <w:r w:rsidR="00742FB7" w:rsidRPr="00E97EA9">
        <w:rPr>
          <w:rFonts w:cs="Calibri"/>
          <w:lang w:eastAsia="en-US"/>
        </w:rPr>
        <w:t xml:space="preserve"> This was examined in a US study researching COVID-19, where they reported a negative association between community information support and perceived resilience, with a suggestion that this may be due to exposure to more information which may make them think their community is unable to handle the event </w:t>
      </w:r>
      <w:r w:rsidR="00742FB7" w:rsidRPr="00E97EA9">
        <w:fldChar w:fldCharType="begin" w:fldLock="1"/>
      </w:r>
      <w:r w:rsidR="00974B75" w:rsidRPr="00E97EA9">
        <w:rPr>
          <w:rFonts w:cs="Calibri"/>
          <w:lang w:eastAsia="en-US"/>
        </w:rPr>
        <w:instrText>ADDIN CSL_CITATION {"citationItems":[{"id":"ITEM-1","itemData":{"DOI":"10.1016/j.chb.2022.107294","ISSN":"07475632","abstract":"Facing the Covid outbreaks, public health researchers share a consensus that community resilience should be maintained and strengthened because it helps mitigate the physical and emotional tolls on individuals and communities. One way to achieve the goal is to build and strengthen community resilience through social media. However, social media's role in building community resilience has been poorly understood from a behavioral perspective. Guiding by uses and gratification theory and the coping literature, we build a model to examine how social media behaviors may influence community members' perceived community resilience, providing a “bottom-up” voice to deepen our understanding of community resilience and its implications for public health. The results shows that community members' social media engagement was significantly associated with their perceived community resilience. While helping others on social media led people to perceive their communities as less resilient, the use of social media for social support helped foster social capital, leading to more perceived resilience at the collective level. Overall, social media use played important roles in shaping people's perception of community resilience, helping community members and organizations evaluate their strengths and weaknesses, and make improvement to better address future challenges in the times of global disasters.","author":[{"dropping-particle":"","family":"Xie","given":"Lola","non-dropping-particle":"","parse-names":false,"suffix":""},{"dropping-particle":"","family":"Pinto","given":"Juliet","non-dropping-particle":"","parse-names":false,"suffix":""},{"dropping-particle":"","family":"Zhong","given":"Bu","non-dropping-particle":"","parse-names":false,"suffix":""}],"container-title":"Computers in Human Behavior","id":"ITEM-1","issued":{"date-parts":[["2022"]]},"page":"1 - 9","title":"Building community resilience on social media to help recover from the COVID-19 pandemic","type":"article-journal","volume":"134"},"uris":["http://www.mendeley.com/documents/?uuid=625f072e-ec3a-410e-b53c-06c711464573"]}],"mendeley":{"formattedCitation":"(Xie, Pinto, &amp; Zhong, 2022)","plainTextFormattedCitation":"(Xie, Pinto, &amp; Zhong, 2022)","previouslyFormattedCitation":"(Xie, Pinto, &amp; Zhong, 2022)"},"properties":{"noteIndex":0},"schema":"https://github.com/citation-style-language/schema/raw/master/csl-citation.json"}</w:instrText>
      </w:r>
      <w:r w:rsidR="00742FB7" w:rsidRPr="00E97EA9">
        <w:rPr>
          <w:rFonts w:cs="Calibri"/>
          <w:lang w:eastAsia="en-US"/>
        </w:rPr>
        <w:fldChar w:fldCharType="separate"/>
      </w:r>
      <w:r w:rsidR="00742FB7" w:rsidRPr="00E97EA9">
        <w:rPr>
          <w:rFonts w:cs="Calibri"/>
          <w:noProof/>
          <w:lang w:eastAsia="en-US"/>
        </w:rPr>
        <w:t>(Xie, Pinto, &amp; Zhong, 2022)</w:t>
      </w:r>
      <w:r w:rsidR="00742FB7" w:rsidRPr="00E97EA9">
        <w:rPr>
          <w:rFonts w:cs="Calibri"/>
          <w:lang w:eastAsia="en-US"/>
        </w:rPr>
        <w:fldChar w:fldCharType="end"/>
      </w:r>
      <w:r w:rsidR="00742FB7" w:rsidRPr="00E97EA9">
        <w:rPr>
          <w:rFonts w:cs="Calibri"/>
          <w:lang w:eastAsia="en-US"/>
        </w:rPr>
        <w:t>.</w:t>
      </w:r>
    </w:p>
    <w:bookmarkEnd w:id="443"/>
    <w:p w14:paraId="159DB193" w14:textId="77777777" w:rsidR="00787F73" w:rsidRPr="00E97EA9" w:rsidRDefault="00787F73" w:rsidP="00866155">
      <w:pPr>
        <w:tabs>
          <w:tab w:val="left" w:pos="1764"/>
        </w:tabs>
        <w:rPr>
          <w:rFonts w:cs="Calibri"/>
          <w:lang w:eastAsia="en-US"/>
        </w:rPr>
      </w:pPr>
    </w:p>
    <w:p w14:paraId="5DB20E78" w14:textId="77777777" w:rsidR="00787F73" w:rsidRPr="00E97EA9" w:rsidRDefault="00742FB7" w:rsidP="00866155">
      <w:pPr>
        <w:tabs>
          <w:tab w:val="left" w:pos="1764"/>
        </w:tabs>
      </w:pPr>
      <w:r w:rsidRPr="00E97EA9">
        <w:rPr>
          <w:rFonts w:cs="Calibri"/>
        </w:rPr>
        <w:t xml:space="preserve">It is important to note that these negative aspects of social media are often due to design and control of the social media companies. Social media is often framed as a public good, however, social media companies, such as Meta, </w:t>
      </w:r>
      <w:r w:rsidRPr="00E97EA9">
        <w:rPr>
          <w:rFonts w:cs="Calibri"/>
          <w:i/>
          <w:iCs/>
        </w:rPr>
        <w:t>are</w:t>
      </w:r>
      <w:r w:rsidRPr="00E97EA9">
        <w:rPr>
          <w:rFonts w:cs="Calibri"/>
        </w:rPr>
        <w:t xml:space="preserve"> companies, their business is based on exploiting users’ data to make a profit and will be influenced by market and economic logics. This means that every time there is a hashtag trending on Twitter, or a community group discussing an event on Facebook, or someone uploads some user-generated content, these companies are profiting </w:t>
      </w:r>
      <w:r w:rsidRPr="00E97EA9">
        <w:fldChar w:fldCharType="begin" w:fldLock="1"/>
      </w:r>
      <w:r w:rsidR="00D177B9">
        <w:rPr>
          <w:rFonts w:cs="Calibri"/>
        </w:rPr>
        <w:instrText>ADDIN CSL_CITATION {"citationItems":[{"id":"ITEM-1","itemData":{"DOI":"10.1177/1461444811412159","ISSN":"1461-4448","abstract":"Research on digital labor tends to fall into idealized, oppositional binaries that are judgmental rather than based on detailed analyses of the actual system or site. Our goal in this article is to provide a view on digital labor that is grounded less in speculation but in narratives from the producers of the platforms and content of the digital economy. To provide original perspectives on digital work we emphasize the agency of the producers and freelancers working at the global outsourcing firm Samasource and the cable television network Current TV. Our analyses of these two cases reveal important questions regarding 1) the values and organizational culture of firm founders and executives and 2) the mobility of freelance workers within the networks of digital labor. In conclusion we interrogate how wealth is distributed within the network. Across these questions, we introduce a research agenda that considers to bridge the ethical challenges of labor exploitation as well as the promises of social entrepreneurship in the digital economy.","author":[{"dropping-particle":"","family":"Fish","given":"Adam","non-dropping-particle":"","parse-names":false,"suffix":""},{"dropping-particle":"","family":"Srinivasan","given":"Ramesh","non-dropping-particle":"","parse-names":false,"suffix":""}],"container-title":"New Media &amp; Society","id":"ITEM-1","issue":"1","issued":{"date-parts":[["2012","2","18"]]},"page":"137-152","title":"Digital labor is the new killer app","type":"article-journal","volume":"14"},"uris":["http://www.mendeley.com/documents/?uuid=6c78f4da-55c4-3060-8912-b73280149577"]},{"id":"ITEM-2","itemData":{"DOI":"10.1093/acprof:oso/9780199970773.001.0001","ISBN":"9780199970780","abstract":"Social media penetrate our lives: Facebook, YouTube, Twitter and many other platforms define daily habits of communication and creative production. This book studies the rise of social media, providing both a historical and a critical analysis of the emergence of major platforms in the context of a rapidly changing ecosystem of connective media. Author Jose van Dijck offers an analytical prism that can be used to view techno-cultural as well as socio-economic aspects of this transformation as well as to examine shared ideological principles between major social media platforms. This fascinating study will appeal to all readers interested in social media. Summary reprinted by permission of Oxford University Press","author":[{"dropping-particle":"","family":"Dijck","given":"José","non-dropping-particle":"van","parse-names":false,"suffix":""}],"id":"ITEM-2","issued":{"date-parts":[["2013"]]},"number-of-pages":"ix-ix","publisher":"Oxford University Press","publisher-place":"Oxford","title":"The culture of connectivity: a critical history of social media","type":"book"},"uris":["http://www.mendeley.com/documents/?uuid=d317c79f-a1a2-4d3e-8078-f9c38331ecd0"]}],"mendeley":{"formattedCitation":"(van Dijck, 2013b; Fish &amp; Srinivasan, 2012)","plainTextFormattedCitation":"(van Dijck, 2013b; Fish &amp; Srinivasan, 2012)","previouslyFormattedCitation":"(van Dijck, 2013b; Fish &amp; Srinivasan, 2012)"},"properties":{"noteIndex":0},"schema":"https://github.com/citation-style-language/schema/raw/master/csl-citation.json"}</w:instrText>
      </w:r>
      <w:r w:rsidRPr="00E97EA9">
        <w:rPr>
          <w:rFonts w:cs="Calibri"/>
        </w:rPr>
        <w:fldChar w:fldCharType="separate"/>
      </w:r>
      <w:r w:rsidR="00E37B0E" w:rsidRPr="00E37B0E">
        <w:rPr>
          <w:rFonts w:cs="Calibri"/>
          <w:noProof/>
        </w:rPr>
        <w:t>(van Dijck, 2013b; Fish &amp; Srinivasan, 2012)</w:t>
      </w:r>
      <w:r w:rsidRPr="00E97EA9">
        <w:rPr>
          <w:rFonts w:cs="Calibri"/>
        </w:rPr>
        <w:fldChar w:fldCharType="end"/>
      </w:r>
      <w:r w:rsidRPr="00E97EA9">
        <w:rPr>
          <w:rFonts w:cs="Calibri"/>
        </w:rPr>
        <w:t xml:space="preserve">. This is known as surveillance capitalism </w:t>
      </w:r>
      <w:r w:rsidRPr="00E97EA9">
        <w:fldChar w:fldCharType="begin" w:fldLock="1"/>
      </w:r>
      <w:r w:rsidRPr="00E97EA9">
        <w:rPr>
          <w:rFonts w:cs="Calibri"/>
        </w:rPr>
        <w:instrText>ADDIN CSL_CITATION {"citationItems":[{"id":"ITEM-1","itemData":{"DOI":"10.1177/0007650317718185","ISSN":"15524205","abstract":"This article provides a history of private sector tracking technologies, examining how the advent of commercial surveillance centered around a logic of data capitalism. Data capitalism is a system in which the commoditization of our data enables an asymmetric redistribution of power that is weighted toward the actors who have access and the capability to make sense of information. It is enacted through capitalism and justified by the association of networked technologies with the political and social benefits of online community, drawing upon narratives that foreground the social and political benefits of networked technologies. I examine its origins in the wake of the dotcom bubble, when technology makers sought to develop a new business model to support online commerce. By leveraging user data for advertising purposes, they contributed to an information environment in which every action leaves behind traces collected by companies for commercial purposes. Through analysis of primary source materials produced by technology makers, journalists, and business analysts, I examine the emergence of data capitalism between the mid-1990s and mid-2000s and its central role in the contemporary information economy.","author":[{"dropping-particle":"","family":"West","given":"Sarah Myers","non-dropping-particle":"","parse-names":false,"suffix":""}],"container-title":"Business and Society","id":"ITEM-1","issue":"1","issued":{"date-parts":[["2019"]]},"page":"20-41","title":"Data Capitalism: Redefining the Logics of Surveillance and Privacy","type":"article-journal","volume":"58"},"uris":["http://www.mendeley.com/documents/?uuid=18f58d22-e2c4-4455-ac8c-a7cabaa35381"]},{"id":"ITEM-2","itemData":{"DOI":"10.1057/jit.2015.5","ISSN":"14664437","abstract":"This article describes an emergent logic of accumulation in the networked sphere, ‘surveillance capitalism,’ and considers its implications for ‘information civilization.’ Google is to surveillance capitalism what General Motors was to managerial capitalism. Therefore the institutionalizing practices and operational assumptions of Google Inc. are the primary lens for this analysis as they are rendered in two recent articles authored by Google Chief Economist Hal Varian. Varian asserts four uses that follow from computer-mediated transactions: ‘data extraction and analysis,’ ‘new contractual forms due to better monitoring,’ ‘personalization and customization,’ and ‘continuous experiments.’ An examination of the nature and consequences of these uses sheds light on the implicit logic of surveillance capitalism and the global architecture of computer mediation upon which it depends. This architecture produces a distributed and largely uncontested new expression of power that I christen: ‘Big Other.’ It is constituted by unexpected and often illegible mechanisms of extraction, commodification, and control that effectively exile persons from their own behavior while producing new markets of behavioral prediction and modification. Surveillance capitalism challenges democratic norms and departs in key ways from the centuries long evolution of market capitalism.","author":[{"dropping-particle":"","family":"Zuboff","given":"Shoshana","non-dropping-particle":"","parse-names":false,"suffix":""}],"container-title":"Journal of Information Technology","id":"ITEM-2","issue":"1","issued":{"date-parts":[["2015"]]},"page":"75-89","title":"Big other: Surveillance capitalism and the prospects of an information civilization","type":"article-journal","volume":"30"},"uris":["http://www.mendeley.com/documents/?uuid=4fc45287-5664-4833-b69a-aa4b0f4ea0a1"]}],"mendeley":{"formattedCitation":"(West, 2019; Zuboff, 2015)","plainTextFormattedCitation":"(West, 2019; Zuboff, 2015)","previouslyFormattedCitation":"(West, 2019; Zuboff, 2015)"},"properties":{"noteIndex":0},"schema":"https://github.com/citation-style-language/schema/raw/master/csl-citation.json"}</w:instrText>
      </w:r>
      <w:r w:rsidRPr="00E97EA9">
        <w:rPr>
          <w:rFonts w:cs="Calibri"/>
        </w:rPr>
        <w:fldChar w:fldCharType="separate"/>
      </w:r>
      <w:r w:rsidRPr="00E97EA9">
        <w:rPr>
          <w:rFonts w:cs="Calibri"/>
          <w:noProof/>
        </w:rPr>
        <w:t>(West, 2019; Zuboff, 2015)</w:t>
      </w:r>
      <w:r w:rsidRPr="00E97EA9">
        <w:rPr>
          <w:rFonts w:cs="Calibri"/>
        </w:rPr>
        <w:fldChar w:fldCharType="end"/>
      </w:r>
      <w:r w:rsidRPr="00E97EA9">
        <w:rPr>
          <w:rFonts w:cs="Calibri"/>
        </w:rPr>
        <w:t>, which “</w:t>
      </w:r>
      <w:r w:rsidRPr="00E97EA9">
        <w:rPr>
          <w:rFonts w:cs="Calibri"/>
          <w:i/>
          <w:iCs/>
        </w:rPr>
        <w:t>aims to predict and modify human behaviour as a means to produce revenue and market control</w:t>
      </w:r>
      <w:r w:rsidRPr="00E97EA9">
        <w:rPr>
          <w:rFonts w:cs="Calibri"/>
        </w:rPr>
        <w:t xml:space="preserve">” </w:t>
      </w:r>
      <w:r w:rsidRPr="00E97EA9">
        <w:fldChar w:fldCharType="begin" w:fldLock="1"/>
      </w:r>
      <w:r w:rsidRPr="00E97EA9">
        <w:rPr>
          <w:rFonts w:cs="Calibri"/>
        </w:rPr>
        <w:instrText>ADDIN CSL_CITATION {"citationItems":[{"id":"ITEM-1","itemData":{"DOI":"10.1057/jit.2015.5","ISSN":"14664437","abstract":"This article describes an emergent logic of accumulation in the networked sphere, ‘surveillance capitalism,’ and considers its implications for ‘information civilization.’ Google is to surveillance capitalism what General Motors was to managerial capitalism. Therefore the institutionalizing practices and operational assumptions of Google Inc. are the primary lens for this analysis as they are rendered in two recent articles authored by Google Chief Economist Hal Varian. Varian asserts four uses that follow from computer-mediated transactions: ‘data extraction and analysis,’ ‘new contractual forms due to better monitoring,’ ‘personalization and customization,’ and ‘continuous experiments.’ An examination of the nature and consequences of these uses sheds light on the implicit logic of surveillance capitalism and the global architecture of computer mediation upon which it depends. This architecture produces a distributed and largely uncontested new expression of power that I christen: ‘Big Other.’ It is constituted by unexpected and often illegible mechanisms of extraction, commodification, and control that effectively exile persons from their own behavior while producing new markets of behavioral prediction and modification. Surveillance capitalism challenges democratic norms and departs in key ways from the centuries long evolution of market capitalism.","author":[{"dropping-particle":"","family":"Zuboff","given":"Shoshana","non-dropping-particle":"","parse-names":false,"suffix":""}],"container-title":"Journal of Information Technology","id":"ITEM-1","issue":"1","issued":{"date-parts":[["2015"]]},"page":"75-89","title":"Big other: Surveillance capitalism and the prospects of an information civilization","type":"article-journal","volume":"30"},"locator":"75","uris":["http://www.mendeley.com/documents/?uuid=4fc45287-5664-4833-b69a-aa4b0f4ea0a1"]}],"mendeley":{"formattedCitation":"(Zuboff, 2015, p. 75)","plainTextFormattedCitation":"(Zuboff, 2015, p. 75)","previouslyFormattedCitation":"(Zuboff, 2015, p. 75)"},"properties":{"noteIndex":0},"schema":"https://github.com/citation-style-language/schema/raw/master/csl-citation.json"}</w:instrText>
      </w:r>
      <w:r w:rsidRPr="00E97EA9">
        <w:rPr>
          <w:rFonts w:cs="Calibri"/>
        </w:rPr>
        <w:fldChar w:fldCharType="separate"/>
      </w:r>
      <w:r w:rsidRPr="00E97EA9">
        <w:rPr>
          <w:rFonts w:cs="Calibri"/>
          <w:noProof/>
        </w:rPr>
        <w:t>(Zuboff, 2015, p. 75)</w:t>
      </w:r>
      <w:r w:rsidRPr="00E97EA9">
        <w:rPr>
          <w:rFonts w:cs="Calibri"/>
        </w:rPr>
        <w:fldChar w:fldCharType="end"/>
      </w:r>
      <w:r w:rsidRPr="00E97EA9">
        <w:rPr>
          <w:rFonts w:cs="Calibri"/>
        </w:rPr>
        <w:t>. This highlights the dual nature of social media; it can be used to bring people together, however</w:t>
      </w:r>
      <w:r w:rsidR="00B03115">
        <w:rPr>
          <w:rFonts w:cs="Calibri"/>
        </w:rPr>
        <w:t>,</w:t>
      </w:r>
      <w:r w:rsidRPr="00E97EA9">
        <w:rPr>
          <w:rFonts w:cs="Calibri"/>
        </w:rPr>
        <w:t xml:space="preserve"> it is also based on an extractive business model, where the user’s interactions (clicks, likes, shares) are monetised</w:t>
      </w:r>
      <w:r w:rsidRPr="00E97EA9">
        <w:rPr>
          <w:rStyle w:val="CommentReference"/>
          <w:sz w:val="24"/>
          <w:szCs w:val="24"/>
        </w:rPr>
        <w:t>.</w:t>
      </w:r>
      <w:r w:rsidRPr="00E97EA9">
        <w:rPr>
          <w:rFonts w:cs="Calibri"/>
        </w:rPr>
        <w:t xml:space="preserve"> These negative aspects of social media can create challenges for organisations who use them as a communication tool as they may need to adapt how they engage and share information</w:t>
      </w:r>
      <w:bookmarkEnd w:id="444"/>
      <w:bookmarkEnd w:id="445"/>
      <w:bookmarkEnd w:id="446"/>
      <w:r w:rsidRPr="00E97EA9">
        <w:rPr>
          <w:rFonts w:cs="Calibri"/>
        </w:rPr>
        <w:t>, especially surrounding disasters.</w:t>
      </w:r>
    </w:p>
    <w:p w14:paraId="12E20908" w14:textId="77777777" w:rsidR="00787F73" w:rsidRDefault="00787F73" w:rsidP="00866155">
      <w:pPr>
        <w:rPr>
          <w:rFonts w:cs="Calibri"/>
        </w:rPr>
      </w:pPr>
    </w:p>
    <w:p w14:paraId="04813FEB" w14:textId="77777777" w:rsidR="00787F73" w:rsidRDefault="00742FB7" w:rsidP="00866155">
      <w:pPr>
        <w:pStyle w:val="Heading3"/>
      </w:pPr>
      <w:bookmarkStart w:id="447" w:name="_Toc22633732"/>
      <w:bookmarkStart w:id="448" w:name="_Toc98148362"/>
      <w:bookmarkStart w:id="449" w:name="_Toc158823567"/>
      <w:bookmarkStart w:id="450" w:name="_Toc93336022"/>
      <w:bookmarkStart w:id="451" w:name="_Toc140071604"/>
      <w:bookmarkStart w:id="452" w:name="_Toc153554326"/>
      <w:bookmarkStart w:id="453" w:name="_Toc193367208"/>
      <w:r>
        <w:rPr>
          <w:rFonts w:ascii="Calibri" w:hAnsi="Calibri" w:cs="Calibri"/>
        </w:rPr>
        <w:t>2.5.5: Social media and disasters</w:t>
      </w:r>
      <w:bookmarkEnd w:id="447"/>
      <w:bookmarkEnd w:id="448"/>
      <w:bookmarkEnd w:id="449"/>
      <w:bookmarkEnd w:id="450"/>
      <w:bookmarkEnd w:id="451"/>
      <w:bookmarkEnd w:id="452"/>
      <w:bookmarkEnd w:id="453"/>
    </w:p>
    <w:p w14:paraId="6D7DBCD6" w14:textId="42C88841" w:rsidR="00787F73" w:rsidRDefault="00742FB7" w:rsidP="00866155">
      <w:pPr>
        <w:tabs>
          <w:tab w:val="left" w:pos="7329"/>
        </w:tabs>
        <w:spacing w:after="160"/>
        <w:rPr>
          <w:rFonts w:cs="Calibri"/>
        </w:rPr>
      </w:pPr>
      <w:r>
        <w:rPr>
          <w:rFonts w:cs="Calibri"/>
        </w:rPr>
        <w:t xml:space="preserve">Social media can be used throughout the </w:t>
      </w:r>
      <w:r w:rsidR="0038275C">
        <w:rPr>
          <w:rFonts w:cs="Calibri"/>
        </w:rPr>
        <w:t>Disaster Management Cycle</w:t>
      </w:r>
      <w:r>
        <w:rPr>
          <w:rFonts w:cs="Calibri"/>
        </w:rPr>
        <w:t xml:space="preserve">, with the majority of the research focusing on the response and recovery phases, such as health care organisations who signpost the location of vaccination sites during influenza outbreaks </w:t>
      </w:r>
      <w:r>
        <w:lastRenderedPageBreak/>
        <w:fldChar w:fldCharType="begin" w:fldLock="1"/>
      </w:r>
      <w:r>
        <w:rPr>
          <w:rFonts w:cs="Calibri"/>
        </w:rPr>
        <w:instrText>ADDIN CSL_CITATION {"citationItems":[{"id":"ITEM-1","itemData":{"DOI":"10.1056/NEJMp1103591","ISBN":"0028-4793","ISSN":"0028-4793","PMID":"21793742","abstract":"The article discusses the important role of social media in the emergency-preparedness efforts by the emergency-management community, including the medical and public health professionals. It claims that social media can improve the public health emergency system in its response to daily stresses and disasters, as well as in recovery. Examples of such social media are the Twitter and Facebook.","author":[{"dropping-particle":"","family":"Merchant","given":"Raina M.","non-dropping-particle":"","parse-names":false,"suffix":""},{"dropping-particle":"","family":"Elmer","given":"Stacy","non-dropping-particle":"","parse-names":false,"suffix":""},{"dropping-particle":"","family":"Lurie","given":"Nicole","non-dropping-particle":"","parse-names":false,"suffix":""}],"container-title":"New England Journal of Medicine","id":"ITEM-1","issue":"4","issued":{"date-parts":[["2011"]]},"page":"289-291","title":"Integrating Social Media into Emergency-Preparedness Efforts","type":"article-journal","volume":"365"},"uris":["http://www.mendeley.com/documents/?uuid=134ac371-6df1-4bc9-93e7-d74f6e9a3bc4"]},{"id":"ITEM-2","itemData":{"DOI":"10.1177/0894439317721985","ISSN":"15528286","abstract":"© The Author(s) 2017. While emerging technologies such as social media have demonstrated value for crisis communications, significant question remains regarding how these tools can be most effectively leveraged to facilitate the flow of valid information under crisis conditions. In an effort to address these issues, this article examines the use of Twitter during the 2015–2016 Zika virus outbreak in the United States. Particular attention is paid to network structures within the Zika conversation and how different actors and communities contribute to the flow of information throughout the broader Twitter community. Public-facing organizations can benefit from a deeper understanding of the nature and structure of spontaneously occurring communities on social media as well as the types of content that they create and circulate. As such, these findings have significant implications for the development of effective social media strategies during natural disasters and public health emergencies. In particular, this analysis identifies several predominant themes communicated through Zika-related tweets as well as a number of distinct communities and influential actors. The findings suggest that respected political actors, public institutions, as well as those with valid scientific credentials can help to facilitate the flow of accurate and vital information across disparate communities.","author":[{"dropping-particle":"","family":"Hagen","given":"Loni","non-dropping-particle":"","parse-names":false,"suffix":""},{"dropping-particle":"","family":"Keller","given":"Thomas","non-dropping-particle":"","parse-names":false,"suffix":""},{"dropping-particle":"","family":"Neely","given":"Stephen","non-dropping-particle":"","parse-names":false,"suffix":""},{"dropping-particle":"","family":"DePaula","given":"Nic","non-dropping-particle":"","parse-names":false,"suffix":""},{"dropping-particle":"","family":"Robert-Cooperman","given":"Claudia","non-dropping-particle":"","parse-names":false,"suffix":""}],"container-title":"Social Science Computer Review","id":"ITEM-2","issue":"5","issued":{"date-parts":[["2018"]]},"page":"523-541","title":"Crisis Communications in the Age of Social Media: A Network Analysis of Zika-Related Tweets","type":"article-journal","volume":"36"},"uris":["http://www.mendeley.com/documents/?uuid=ee190255-6115-4f33-a816-3d19d3c3e85b"]}],"mendeley":{"formattedCitation":"(Hagen et al., 2018; Merchant, Elmer, &amp; Lurie, 2011)","plainTextFormattedCitation":"(Hagen et al., 2018; Merchant, Elmer, &amp; Lurie, 2011)","previouslyFormattedCitation":"(Hagen et al., 2018; Merchant, Elmer, &amp; Lurie, 2011)"},"properties":{"noteIndex":0},"schema":"https://github.com/citation-style-language/schema/raw/master/csl-citation.json"}</w:instrText>
      </w:r>
      <w:r>
        <w:rPr>
          <w:rFonts w:cs="Calibri"/>
        </w:rPr>
        <w:fldChar w:fldCharType="separate"/>
      </w:r>
      <w:r>
        <w:rPr>
          <w:rFonts w:cs="Calibri"/>
          <w:noProof/>
        </w:rPr>
        <w:t>(Hagen et al., 2018; Merchant, Elmer, &amp; Lurie, 2011)</w:t>
      </w:r>
      <w:r>
        <w:rPr>
          <w:rFonts w:cs="Calibri"/>
        </w:rPr>
        <w:fldChar w:fldCharType="end"/>
      </w:r>
      <w:r>
        <w:rPr>
          <w:rFonts w:cs="Calibri"/>
        </w:rPr>
        <w:t xml:space="preserve">; this has now become an institutional logic for organisations to use social media to share messages. However, it is not only organisations which use social media to operate during disasters, as it is also used by members of the public. </w:t>
      </w:r>
    </w:p>
    <w:p w14:paraId="1A9226F6" w14:textId="77777777" w:rsidR="00B97CA3" w:rsidRDefault="00B97CA3" w:rsidP="00866155">
      <w:pPr>
        <w:tabs>
          <w:tab w:val="left" w:pos="7329"/>
        </w:tabs>
        <w:spacing w:after="160"/>
      </w:pPr>
    </w:p>
    <w:p w14:paraId="0BC24CDD" w14:textId="22200A3E" w:rsidR="00787F73" w:rsidRDefault="00742FB7" w:rsidP="00866155">
      <w:r>
        <w:rPr>
          <w:rFonts w:cs="Calibri"/>
        </w:rPr>
        <w:t xml:space="preserve">In the aftermath of disasters, social media can be a lifeline for citizens, both in terms of emotional and practical support. During Hurricane Sandy in 2011, and the earthquake in Tohoku, Japan in 2011, the telephone and power lines were destroyed. Traditionally, this would have seen citizens left without any information or support, but in these cases radio and social media were still accessible </w:t>
      </w:r>
      <w:r>
        <w:fldChar w:fldCharType="begin" w:fldLock="1"/>
      </w:r>
      <w:r w:rsidR="00974B75">
        <w:rPr>
          <w:rFonts w:cs="Calibri"/>
        </w:rPr>
        <w:instrText>ADDIN CSL_CITATION {"citationItems":[{"id":"ITEM-1","itemData":{"DOI":"10.1177/0894439317721985","ISSN":"15528286","abstract":"© The Author(s) 2017. While emerging technologies such as social media have demonstrated value for crisis communications, significant question remains regarding how these tools can be most effectively leveraged to facilitate the flow of valid information under crisis conditions. In an effort to address these issues, this article examines the use of Twitter during the 2015–2016 Zika virus outbreak in the United States. Particular attention is paid to network structures within the Zika conversation and how different actors and communities contribute to the flow of information throughout the broader Twitter community. Public-facing organizations can benefit from a deeper understanding of the nature and structure of spontaneously occurring communities on social media as well as the types of content that they create and circulate. As such, these findings have significant implications for the development of effective social media strategies during natural disasters and public health emergencies. In particular, this analysis identifies several predominant themes communicated through Zika-related tweets as well as a number of distinct communities and influential actors. The findings suggest that respected political actors, public institutions, as well as those with valid scientific credentials can help to facilitate the flow of accurate and vital information across disparate communities.","author":[{"dropping-particle":"","family":"Hagen","given":"Loni","non-dropping-particle":"","parse-names":false,"suffix":""},{"dropping-particle":"","family":"Keller","given":"Thomas","non-dropping-particle":"","parse-names":false,"suffix":""},{"dropping-particle":"","family":"Neely","given":"Stephen","non-dropping-particle":"","parse-names":false,"suffix":""},{"dropping-particle":"","family":"DePaula","given":"Nic","non-dropping-particle":"","parse-names":false,"suffix":""},{"dropping-particle":"","family":"Robert-Cooperman","given":"Claudia","non-dropping-particle":"","parse-names":false,"suffix":""}],"container-title":"Social Science Computer Review","id":"ITEM-1","issue":"5","issued":{"date-parts":[["2018"]]},"page":"523-541","title":"Crisis Communications in the Age of Social Media: A Network Analysis of Zika-Related Tweets","type":"article-journal","volume":"36"},"uris":["http://www.mendeley.com/documents/?uuid=ee190255-6115-4f33-a816-3d19d3c3e85b"]},{"id":"ITEM-2","itemData":{"author":[{"dropping-particle":"","family":"Simon","given":"Tomer","non-dropping-particle":"","parse-names":false,"suffix":""},{"dropping-particle":"","family":"Goldberg","given":"Avishay","non-dropping-particle":"","parse-names":false,"suffix":""},{"dropping-particle":"","family":"Adini","given":"Bruria","non-dropping-particle":"","parse-names":false,"suffix":""}],"container-title":"International Journal of Information Management","id":"ITEM-2","issue":"5","issued":{"date-parts":[["2015"]]},"page":"609 - 619","title":"Socializing in emergencies—A review of the use of social media in emergency situations","type":"article-journal","volume":"35"},"uris":["http://www.mendeley.com/documents/?uuid=22d44238-ff2c-46e7-81bf-a40f4da54b28"]},{"id":"ITEM-3","itemData":{"author":[{"dropping-particle":"","family":"Reilly","given":"Paul","non-dropping-particle":"","parse-names":false,"suffix":""},{"dropping-particle":"","family":"Atanasova","given":"Dima","non-dropping-particle":"","parse-names":false,"suffix":""}],"id":"ITEM-3","issued":{"date-parts":[["2016"]]},"number-of-pages":"1-56","title":"A strategy for communication between key agencies and members of the public during crisis situations","type":"report"},"uris":["http://www.mendeley.com/documents/?uuid=395231c5-0657-4665-9907-c6a36584ce6c"]}],"mendeley":{"formattedCitation":"(Hagen et al., 2018; Reilly &amp; Atanasova, 2016a; Simon, Goldberg, &amp; Adini, 2015)","plainTextFormattedCitation":"(Hagen et al., 2018; Reilly &amp; Atanasova, 2016a; Simon, Goldberg, &amp; Adini, 2015)","previouslyFormattedCitation":"(Hagen et al., 2018; Reilly &amp; Atanasova, 2016a; Simon, Goldberg, &amp; Adini, 2015)"},"properties":{"noteIndex":0},"schema":"https://github.com/citation-style-language/schema/raw/master/csl-citation.json"}</w:instrText>
      </w:r>
      <w:r>
        <w:rPr>
          <w:rFonts w:cs="Calibri"/>
        </w:rPr>
        <w:fldChar w:fldCharType="separate"/>
      </w:r>
      <w:r>
        <w:rPr>
          <w:rFonts w:cs="Calibri"/>
          <w:noProof/>
        </w:rPr>
        <w:t>(Hagen et al., 2018; Reilly &amp; Atanasova, 2016a; Simon, Goldberg, &amp; Adini, 2015)</w:t>
      </w:r>
      <w:r>
        <w:rPr>
          <w:rFonts w:cs="Calibri"/>
        </w:rPr>
        <w:fldChar w:fldCharType="end"/>
      </w:r>
      <w:r>
        <w:rPr>
          <w:rFonts w:cs="Calibri"/>
        </w:rPr>
        <w:t xml:space="preserve">. This meant that blue-light organisations (or the field level institution of emergency responders) and citizens were still able to communicate with each other to get the necessary information. This was seen clearly on Twitter, with over 20 million tweets published regarding Hurricane Sandy, with over half of those comprising of news, information and videos of the storm </w:t>
      </w:r>
      <w:r>
        <w:fldChar w:fldCharType="begin" w:fldLock="1"/>
      </w:r>
      <w:r>
        <w:rPr>
          <w:rFonts w:cs="Calibri"/>
        </w:rPr>
        <w:instrText>ADDIN CSL_CITATION {"citationItems":[{"id":"ITEM-1","itemData":{"author":[{"dropping-particle":"","family":"Simon","given":"Tomer","non-dropping-particle":"","parse-names":false,"suffix":""},{"dropping-particle":"","family":"Goldberg","given":"Avishay","non-dropping-particle":"","parse-names":false,"suffix":""},{"dropping-particle":"","family":"Adini","given":"Bruria","non-dropping-particle":"","parse-names":false,"suffix":""}],"container-title":"International Journal of Information Management","id":"ITEM-1","issue":"5","issued":{"date-parts":[["2015"]]},"page":"609 - 619","title":"Socializing in emergencies—A review of the use of social media in emergency situations","type":"article-journal","volume":"35"},"uris":["http://www.mendeley.com/documents/?uuid=22d44238-ff2c-46e7-81bf-a40f4da54b28"]},{"id":"ITEM-2","itemData":{"DOI":"10.1177/0894439317721985","ISSN":"15528286","abstract":"© The Author(s) 2017. While emerging technologies such as social media have demonstrated value for crisis communications, significant question remains regarding how these tools can be most effectively leveraged to facilitate the flow of valid information under crisis conditions. In an effort to address these issues, this article examines the use of Twitter during the 2015–2016 Zika virus outbreak in the United States. Particular attention is paid to network structures within the Zika conversation and how different actors and communities contribute to the flow of information throughout the broader Twitter community. Public-facing organizations can benefit from a deeper understanding of the nature and structure of spontaneously occurring communities on social media as well as the types of content that they create and circulate. As such, these findings have significant implications for the development of effective social media strategies during natural disasters and public health emergencies. In particular, this analysis identifies several predominant themes communicated through Zika-related tweets as well as a number of distinct communities and influential actors. The findings suggest that respected political actors, public institutions, as well as those with valid scientific credentials can help to facilitate the flow of accurate and vital information across disparate communities.","author":[{"dropping-particle":"","family":"Hagen","given":"Loni","non-dropping-particle":"","parse-names":false,"suffix":""},{"dropping-particle":"","family":"Keller","given":"Thomas","non-dropping-particle":"","parse-names":false,"suffix":""},{"dropping-particle":"","family":"Neely","given":"Stephen","non-dropping-particle":"","parse-names":false,"suffix":""},{"dropping-particle":"","family":"DePaula","given":"Nic","non-dropping-particle":"","parse-names":false,"suffix":""},{"dropping-particle":"","family":"Robert-Cooperman","given":"Claudia","non-dropping-particle":"","parse-names":false,"suffix":""}],"container-title":"Social Science Computer Review","id":"ITEM-2","issue":"5","issued":{"date-parts":[["2018"]]},"page":"523-541","title":"Crisis Communications in the Age of Social Media: A Network Analysis of Zika-Related Tweets","type":"article-journal","volume":"36"},"uris":["http://www.mendeley.com/documents/?uuid=ee190255-6115-4f33-a816-3d19d3c3e85b"]}],"mendeley":{"formattedCitation":"(Hagen et al., 2018; Simon, Goldberg, &amp; Adini, 2015)","plainTextFormattedCitation":"(Hagen et al., 2018; Simon, Goldberg, &amp; Adini, 2015)","previouslyFormattedCitation":"(Hagen et al., 2018; Simon, Goldberg, &amp; Adini, 2015)"},"properties":{"noteIndex":0},"schema":"https://github.com/citation-style-language/schema/raw/master/csl-citation.json"}</w:instrText>
      </w:r>
      <w:r>
        <w:rPr>
          <w:rFonts w:cs="Calibri"/>
        </w:rPr>
        <w:fldChar w:fldCharType="separate"/>
      </w:r>
      <w:r>
        <w:rPr>
          <w:rFonts w:cs="Calibri"/>
          <w:noProof/>
        </w:rPr>
        <w:t>(Hagen et al., 2018; Simon, Goldberg, &amp; Adini, 2015)</w:t>
      </w:r>
      <w:r>
        <w:rPr>
          <w:rFonts w:cs="Calibri"/>
        </w:rPr>
        <w:fldChar w:fldCharType="end"/>
      </w:r>
      <w:r>
        <w:rPr>
          <w:rFonts w:cs="Calibri"/>
        </w:rPr>
        <w:t xml:space="preserve">; however, it is important to note that other channels, such as radio, were viewed to be more resilient sources of information as the digital communications networks failed </w:t>
      </w:r>
      <w:r>
        <w:fldChar w:fldCharType="begin" w:fldLock="1"/>
      </w:r>
      <w:r w:rsidR="00974B75">
        <w:rPr>
          <w:rFonts w:cs="Calibri"/>
        </w:rPr>
        <w:instrText>ADDIN CSL_CITATION {"citationItems":[{"id":"ITEM-1","itemData":{"abstract":"This report contributes to the CascEff project by providing an overview of the role of the news media in the information flows during crisis situations. Specifically, it sets out to build on D3.2 and D3.3 through an exploration of how decision-­-making by relevant stakeholders are communicated to members of the public via the news media throughout the disaster cycle. Disruption to information relations has been identified as one of the most common triggers of cascading effects in other elements of the socio-­-technical system.","author":[{"dropping-particle":"","family":"Reilly","given":"Paul","non-dropping-particle":"","parse-names":false,"suffix":""},{"dropping-particle":"","family":"Atanasova","given":"Dima","non-dropping-particle":"","parse-names":false,"suffix":""}],"id":"ITEM-1","issued":{"date-parts":[["2016"]]},"number-of-pages":"1-41","title":"A report on the role of the media in the information flows that emerge during crisis situations","type":"report"},"uris":["http://www.mendeley.com/documents/?uuid=e89f2af6-f99d-4d6e-bfab-4b5ee996e5c4"]}],"mendeley":{"formattedCitation":"(Reilly &amp; Atanasova, 2016b)","plainTextFormattedCitation":"(Reilly &amp; Atanasova, 2016b)","previouslyFormattedCitation":"(Reilly &amp; Atanasova, 2016b)"},"properties":{"noteIndex":0},"schema":"https://github.com/citation-style-language/schema/raw/master/csl-citation.json"}</w:instrText>
      </w:r>
      <w:r>
        <w:rPr>
          <w:rFonts w:cs="Calibri"/>
        </w:rPr>
        <w:fldChar w:fldCharType="separate"/>
      </w:r>
      <w:r>
        <w:rPr>
          <w:rFonts w:cs="Calibri"/>
          <w:noProof/>
        </w:rPr>
        <w:t>(Reilly &amp; Atanasova, 2016b)</w:t>
      </w:r>
      <w:r>
        <w:rPr>
          <w:rFonts w:cs="Calibri"/>
        </w:rPr>
        <w:fldChar w:fldCharType="end"/>
      </w:r>
      <w:r>
        <w:rPr>
          <w:rFonts w:cs="Calibri"/>
        </w:rPr>
        <w:t xml:space="preserve">. </w:t>
      </w:r>
      <w:r w:rsidR="00C84401">
        <w:rPr>
          <w:rFonts w:cs="Calibri"/>
        </w:rPr>
        <w:t>While</w:t>
      </w:r>
      <w:r>
        <w:rPr>
          <w:rFonts w:cs="Calibri"/>
        </w:rPr>
        <w:t xml:space="preserve"> this shows the potential of social media, there needs to be pre-existing channels that people know and trust for information </w:t>
      </w:r>
      <w:r>
        <w:fldChar w:fldCharType="begin" w:fldLock="1"/>
      </w:r>
      <w:r>
        <w:rPr>
          <w:rFonts w:cs="Calibri"/>
        </w:rPr>
        <w:instrText>ADDIN CSL_CITATION {"citationItems":[{"id":"ITEM-1","itemData":{"DOI":"10.1111/1468-5973.12195","ISSN":"14685973","abstract":"Social media has become an integrated part of human communication, both as a means to establish and maintain social relationships, and as a means of sharing and co&amp;#8208;creating information. Social media comes with an array of possibilities for individuals as well as organizations, corporations, and authorities. Within the field of crisis communication, social media possibilities such as online sharing and social networking have had an impact on the way crisis information is disseminated and updated. This paper addresses the issues related to using social media for communicating crisis information and broadcasting alert messages to the general population, discusses the role of social media in future pan&amp;#8208;European crisis alerting, and presents a prototype system demonstrating the possibilities. An extensive systematic literature review was carried out to identify factors that affect the use of social media for alerting and warning. These factors were mirrored in experiences, collected through interviews, obtained by emergency management organizations in three European countries (Sweden, Czech Republic, and Spain). The factors finally form the basis for suggestions and recommendations regarding the design of technological tools for both communication and information collection to serve as an integral part of a future pan&amp;#8208;European crisis alerting system.","author":[{"dropping-particle":"","family":"Brynielsson","given":"Joel","non-dropping-particle":"","parse-names":false,"suffix":""},{"dropping-particle":"","family":"Granåsen","given":"Magdalena","non-dropping-particle":"","parse-names":false,"suffix":""},{"dropping-particle":"","family":"Lindquist","given":"Sinna","non-dropping-particle":"","parse-names":false,"suffix":""},{"dropping-particle":"","family":"Narganes Quijano","given":"Maribel","non-dropping-particle":"","parse-names":false,"suffix":""},{"dropping-particle":"","family":"Nilsson","given":"Susanna","non-dropping-particle":"","parse-names":false,"suffix":""},{"dropping-particle":"","family":"Trnka","given":"Jiri","non-dropping-particle":"","parse-names":false,"suffix":""}],"container-title":"Journal of Contingencies and Crisis Management","id":"ITEM-1","issue":"1","issued":{"date-parts":[["2018"]]},"page":"28-40","title":"Informing crisis alerts using social media: Best practices and proof of concept","type":"article-journal","volume":"26"},"uris":["http://www.mendeley.com/documents/?uuid=fc9c28a7-84e6-4ab4-89e1-372a245eb7f4"]},{"id":"ITEM-2","itemData":{"DOI":"10.1177/0894439317721985","ISSN":"15528286","abstract":"© The Author(s) 2017. While emerging technologies such as social media have demonstrated value for crisis communications, significant question remains regarding how these tools can be most effectively leveraged to facilitate the flow of valid information under crisis conditions. In an effort to address these issues, this article examines the use of Twitter during the 2015–2016 Zika virus outbreak in the United States. Particular attention is paid to network structures within the Zika conversation and how different actors and communities contribute to the flow of information throughout the broader Twitter community. Public-facing organizations can benefit from a deeper understanding of the nature and structure of spontaneously occurring communities on social media as well as the types of content that they create and circulate. As such, these findings have significant implications for the development of effective social media strategies during natural disasters and public health emergencies. In particular, this analysis identifies several predominant themes communicated through Zika-related tweets as well as a number of distinct communities and influential actors. The findings suggest that respected political actors, public institutions, as well as those with valid scientific credentials can help to facilitate the flow of accurate and vital information across disparate communities.","author":[{"dropping-particle":"","family":"Hagen","given":"Loni","non-dropping-particle":"","parse-names":false,"suffix":""},{"dropping-particle":"","family":"Keller","given":"Thomas","non-dropping-particle":"","parse-names":false,"suffix":""},{"dropping-particle":"","family":"Neely","given":"Stephen","non-dropping-particle":"","parse-names":false,"suffix":""},{"dropping-particle":"","family":"DePaula","given":"Nic","non-dropping-particle":"","parse-names":false,"suffix":""},{"dropping-particle":"","family":"Robert-Cooperman","given":"Claudia","non-dropping-particle":"","parse-names":false,"suffix":""}],"container-title":"Social Science Computer Review","id":"ITEM-2","issue":"5","issued":{"date-parts":[["2018"]]},"page":"523-541","title":"Crisis Communications in the Age of Social Media: A Network Analysis of Zika-Related Tweets","type":"article-journal","volume":"36"},"uris":["http://www.mendeley.com/documents/?uuid=ee190255-6115-4f33-a816-3d19d3c3e85b"]}],"mendeley":{"formattedCitation":"(Brynielsson et al., 2018; Hagen et al., 2018)","plainTextFormattedCitation":"(Brynielsson et al., 2018; Hagen et al., 2018)","previouslyFormattedCitation":"(Brynielsson et al., 2018; Hagen et al., 2018)"},"properties":{"noteIndex":0},"schema":"https://github.com/citation-style-language/schema/raw/master/csl-citation.json"}</w:instrText>
      </w:r>
      <w:r>
        <w:rPr>
          <w:rFonts w:cs="Calibri"/>
        </w:rPr>
        <w:fldChar w:fldCharType="separate"/>
      </w:r>
      <w:r>
        <w:rPr>
          <w:rFonts w:cs="Calibri"/>
          <w:noProof/>
        </w:rPr>
        <w:t>(Brynielsson et al., 2018; Hagen et al., 2018)</w:t>
      </w:r>
      <w:r>
        <w:rPr>
          <w:rFonts w:cs="Calibri"/>
        </w:rPr>
        <w:fldChar w:fldCharType="end"/>
      </w:r>
      <w:r>
        <w:rPr>
          <w:rFonts w:cs="Calibri"/>
        </w:rPr>
        <w:t xml:space="preserve">, which can be viewed to have institutional legitimacy and are part of the institutional logics. </w:t>
      </w:r>
    </w:p>
    <w:p w14:paraId="380B7C26" w14:textId="77777777" w:rsidR="00787F73" w:rsidRDefault="00787F73" w:rsidP="00866155">
      <w:pPr>
        <w:rPr>
          <w:rFonts w:cs="Calibri"/>
        </w:rPr>
      </w:pPr>
    </w:p>
    <w:p w14:paraId="2BA68AAF" w14:textId="4235C431" w:rsidR="00787F73" w:rsidRDefault="00742FB7" w:rsidP="00866155">
      <w:r>
        <w:rPr>
          <w:rFonts w:cs="Calibri"/>
        </w:rPr>
        <w:t xml:space="preserve">This shows a growing dependence on social media by citizens and organisations, with the increased use of Twitter during disasters </w:t>
      </w:r>
      <w:r>
        <w:fldChar w:fldCharType="begin" w:fldLock="1"/>
      </w:r>
      <w:r w:rsidR="00974B75">
        <w:rPr>
          <w:rFonts w:cs="Calibri"/>
        </w:rPr>
        <w:instrText>ADDIN CSL_CITATION {"citationItems":[{"id":"ITEM-1","itemData":{"DOI":"10.1016/j.scs.2021.103577","ISSN":"22106707","abstract":"The use of social media platforms such as Twitter significantly increases during natural hazards. With the emergence of several social media platforms over the past decade, many studies have investigated the applications of these platforms during calamities. This study presents a comprehensive spatiotemporal analysis of textual content from millions of tweets shared on Twitter during Hurricane Harvey (2017) across several affected counties in southeast Texas. We propose a new Hazard Risk Awareness (HRA) Index, which considers multiple factors, including the number of tweets, population, internet use rate, and natural hazard characteristics per geographic location. We then map the HRA Index across southeast Texas. Utilizing a dataset of 18 million tweets, we employ Natural Language Processing (NLP) along with a set of statistical techniques to perform analysis on the textual data generated by Twitter users during Hurricane Harvey. This enables us to subdivide the tweet contents into several categories per county that would inform crisis management during the event. In all, our study provides valuable information at the county level before, during, and after Harvey that could significantly help disaster managers and responders to minimize the consequences of the event and improve the preparedness of the residents for it. Since HRA is derived based on the meteorological observations and some demographic information, depending on the availability of such dataset and the nature of the hazard (i.e., flood, wildfire, hurricane, and earthquake), this index can be calculated and employed for assessing the risk awareness of a community exposed to either of these natural hazards.","author":[{"dropping-particle":"","family":"Karimiziarani","given":"Mohammadsepehr","non-dropping-particle":"","parse-names":false,"suffix":""},{"dropping-particle":"","family":"Jafarzadegan","given":"Keighobad","non-dropping-particle":"","parse-names":false,"suffix":""},{"dropping-particle":"","family":"Abbaszadeh","given":"Peyman","non-dropping-particle":"","parse-names":false,"suffix":""},{"dropping-particle":"","family":"Shao","given":"Wanyun","non-dropping-particle":"","parse-names":false,"suffix":""},{"dropping-particle":"","family":"Moradkhani","given":"Hamid","non-dropping-particle":"","parse-names":false,"suffix":""}],"container-title":"Sustainable Cities and Society","id":"ITEM-1","issued":{"date-parts":[["2022"]]},"page":"1 - 11","title":"Hazard risk awareness and disaster management: Extracting the information content of twitter data","type":"article-journal","volume":"77"},"uris":["http://www.mendeley.com/documents/?uuid=0ff52b10-5251-4279-bf6e-c55c0e18363a"]}],"mendeley":{"formattedCitation":"(Karimiziarani et al., 2022)","plainTextFormattedCitation":"(Karimiziarani et al., 2022)","previouslyFormattedCitation":"(Karimiziarani et al., 2022)"},"properties":{"noteIndex":0},"schema":"https://github.com/citation-style-language/schema/raw/master/csl-citation.json"}</w:instrText>
      </w:r>
      <w:r>
        <w:rPr>
          <w:rFonts w:cs="Calibri"/>
        </w:rPr>
        <w:fldChar w:fldCharType="separate"/>
      </w:r>
      <w:r>
        <w:rPr>
          <w:rFonts w:cs="Calibri"/>
          <w:noProof/>
        </w:rPr>
        <w:t>(Karimiziarani et al., 2022)</w:t>
      </w:r>
      <w:r>
        <w:rPr>
          <w:rFonts w:cs="Calibri"/>
        </w:rPr>
        <w:fldChar w:fldCharType="end"/>
      </w:r>
      <w:r>
        <w:rPr>
          <w:rFonts w:cs="Calibri"/>
        </w:rPr>
        <w:t xml:space="preserve">. A study by the American Red Cross suggested that 74% of respondents believed help would come quickly if they posted on Facebook or Twitter </w:t>
      </w:r>
      <w:r>
        <w:fldChar w:fldCharType="begin" w:fldLock="1"/>
      </w:r>
      <w:r>
        <w:rPr>
          <w:rFonts w:cs="Calibri"/>
        </w:rPr>
        <w:instrText>ADDIN CSL_CITATION {"citationItems":[{"id":"ITEM-1","itemData":{"DOI":"10.20965/jdr.2023.p0034","ISSN":"18838030","abstract":"The widespread application of social media in the field of crisis management has been adopted globally. In recent years, the role of social media in emergencies has grown, especially during the coronavirus disease 2019 (COVID-19) pandemic. This study explores the different roles played by social media in the government, the media, and the public during the pandemic through the key nodes of information dissemination at each developmental stage of crisis risk communication. The results indicate that in a government-led environment, in which social media is the link and the public is the core, attention must be directed towards the key role of social media as a “whistleblower” during the incubation period of a crisis event. Moreover, a new gatekeeping mechanism that integrates the public, the media, and the government should be formed to improve emergency management during crises.","author":[{"dropping-particle":"","family":"Feng","given":"Changchun","non-dropping-particle":"","parse-names":false,"suffix":""},{"dropping-particle":"","family":"Umaier","given":"Kabilijiang","non-dropping-particle":"","parse-names":false,"suffix":""}],"container-title":"Journal of Disaster Research","id":"ITEM-1","issue":"1","issued":{"date-parts":[["2023"]]},"page":"34-39","title":"Risk Communication During the COVID-19 Pandemic in the Era of Social Media","type":"article-journal","volume":"18"},"uris":["http://www.mendeley.com/documents/?uuid=e5657c23-55bc-4cac-bba3-ce398b98376e"]}],"mendeley":{"formattedCitation":"(Feng &amp; Umaier, 2023)","plainTextFormattedCitation":"(Feng &amp; Umaier, 2023)","previouslyFormattedCitation":"(Feng &amp; Umaier, 2023)"},"properties":{"noteIndex":0},"schema":"https://github.com/citation-style-language/schema/raw/master/csl-citation.json"}</w:instrText>
      </w:r>
      <w:r>
        <w:rPr>
          <w:rFonts w:cs="Calibri"/>
        </w:rPr>
        <w:fldChar w:fldCharType="separate"/>
      </w:r>
      <w:r>
        <w:rPr>
          <w:rFonts w:cs="Calibri"/>
          <w:noProof/>
        </w:rPr>
        <w:t>(Feng &amp; Umaier, 2023)</w:t>
      </w:r>
      <w:r>
        <w:rPr>
          <w:rFonts w:cs="Calibri"/>
        </w:rPr>
        <w:fldChar w:fldCharType="end"/>
      </w:r>
      <w:r>
        <w:rPr>
          <w:rFonts w:cs="Calibri"/>
        </w:rPr>
        <w:t xml:space="preserve">. However, </w:t>
      </w:r>
      <w:r w:rsidR="00C84401">
        <w:rPr>
          <w:rFonts w:cs="Calibri"/>
        </w:rPr>
        <w:t xml:space="preserve">while </w:t>
      </w:r>
      <w:r>
        <w:rPr>
          <w:rFonts w:cs="Calibri"/>
        </w:rPr>
        <w:t xml:space="preserve">there is an expectation and acceptance of social media within disaster management, there is a challenge for organisations to sift through the large volume of information, some of which will be irrelevant or distracting </w:t>
      </w:r>
      <w:r>
        <w:fldChar w:fldCharType="begin" w:fldLock="1"/>
      </w:r>
      <w:r w:rsidR="00974B75">
        <w:rPr>
          <w:rFonts w:cs="Calibri"/>
        </w:rPr>
        <w:instrText>ADDIN CSL_CITATION {"citationItems":[{"id":"ITEM-1","itemData":{"DOI":"10.1016/j.scs.2021.103577","ISSN":"22106707","abstract":"The use of social media platforms such as Twitter significantly increases during natural hazards. With the emergence of several social media platforms over the past decade, many studies have investigated the applications of these platforms during calamities. This study presents a comprehensive spatiotemporal analysis of textual content from millions of tweets shared on Twitter during Hurricane Harvey (2017) across several affected counties in southeast Texas. We propose a new Hazard Risk Awareness (HRA) Index, which considers multiple factors, including the number of tweets, population, internet use rate, and natural hazard characteristics per geographic location. We then map the HRA Index across southeast Texas. Utilizing a dataset of 18 million tweets, we employ Natural Language Processing (NLP) along with a set of statistical techniques to perform analysis on the textual data generated by Twitter users during Hurricane Harvey. This enables us to subdivide the tweet contents into several categories per county that would inform crisis management during the event. In all, our study provides valuable information at the county level before, during, and after Harvey that could significantly help disaster managers and responders to minimize the consequences of the event and improve the preparedness of the residents for it. Since HRA is derived based on the meteorological observations and some demographic information, depending on the availability of such dataset and the nature of the hazard (i.e., flood, wildfire, hurricane, and earthquake), this index can be calculated and employed for assessing the risk awareness of a community exposed to either of these natural hazards.","author":[{"dropping-particle":"","family":"Karimiziarani","given":"Mohammadsepehr","non-dropping-particle":"","parse-names":false,"suffix":""},{"dropping-particle":"","family":"Jafarzadegan","given":"Keighobad","non-dropping-particle":"","parse-names":false,"suffix":""},{"dropping-particle":"","family":"Abbaszadeh","given":"Peyman","non-dropping-particle":"","parse-names":false,"suffix":""},{"dropping-particle":"","family":"Shao","given":"Wanyun","non-dropping-particle":"","parse-names":false,"suffix":""},{"dropping-particle":"","family":"Moradkhani","given":"Hamid","non-dropping-particle":"","parse-names":false,"suffix":""}],"container-title":"Sustainable Cities and Society","id":"ITEM-1","issued":{"date-parts":[["2022"]]},"page":"1 - 11","title":"Hazard risk awareness and disaster management: Extracting the information content of twitter data","type":"article-journal","volume":"77"},"uris":["http://www.mendeley.com/documents/?uuid=0ff52b10-5251-4279-bf6e-c55c0e18363a"]}],"mendeley":{"formattedCitation":"(Karimiziarani et al., 2022)","plainTextFormattedCitation":"(Karimiziarani et al., 2022)","previouslyFormattedCitation":"(Karimiziarani et al., 2022)"},"properties":{"noteIndex":0},"schema":"https://github.com/citation-style-language/schema/raw/master/csl-citation.json"}</w:instrText>
      </w:r>
      <w:r>
        <w:rPr>
          <w:rFonts w:cs="Calibri"/>
        </w:rPr>
        <w:fldChar w:fldCharType="separate"/>
      </w:r>
      <w:r>
        <w:rPr>
          <w:rFonts w:cs="Calibri"/>
          <w:noProof/>
        </w:rPr>
        <w:t>(Karimiziarani et al., 2022)</w:t>
      </w:r>
      <w:r>
        <w:rPr>
          <w:rFonts w:cs="Calibri"/>
        </w:rPr>
        <w:fldChar w:fldCharType="end"/>
      </w:r>
      <w:r>
        <w:rPr>
          <w:rFonts w:cs="Calibri"/>
        </w:rPr>
        <w:t>.</w:t>
      </w:r>
    </w:p>
    <w:p w14:paraId="2F231CFD" w14:textId="77777777" w:rsidR="00787F73" w:rsidRDefault="00787F73" w:rsidP="00866155">
      <w:pPr>
        <w:rPr>
          <w:rFonts w:cs="Calibri"/>
        </w:rPr>
      </w:pPr>
    </w:p>
    <w:p w14:paraId="711BDF56" w14:textId="23B45336" w:rsidR="00787F73" w:rsidRDefault="00742FB7" w:rsidP="00866155">
      <w:pPr>
        <w:rPr>
          <w:rFonts w:cs="Calibri"/>
        </w:rPr>
      </w:pPr>
      <w:r>
        <w:rPr>
          <w:rFonts w:cs="Calibri"/>
        </w:rPr>
        <w:lastRenderedPageBreak/>
        <w:t xml:space="preserve">Research suggests that social media, including Facebook community pages, can be a valuable source of psychological first aid, information, problem solving and advice during an event, or simply as avoidance or distraction from the event </w:t>
      </w:r>
      <w:r>
        <w:fldChar w:fldCharType="begin" w:fldLock="1"/>
      </w:r>
      <w:bookmarkStart w:id="454" w:name="_Hlk153268163"/>
      <w:r w:rsidR="00974B75">
        <w:rPr>
          <w:rFonts w:cs="Calibri"/>
        </w:rPr>
        <w:instrText>ADDIN CSL_CITATION {"citationItems":[{"id":"ITEM-1","itemData":{"author":[{"dropping-particle":"","family":"Resnyansky","given":"Lucy","non-dropping-particle":"","parse-names":false,"suffix":""}],"container-title":"IEEE Technology and Society Magazine","id":"ITEM-1","issue":"1","issued":{"date-parts":[["2014"]]},"page":"54-65","title":"Social Media, Disaster Studies, Communication and Human Communication","type":"article-journal","volume":"33"},"uris":["http://www.mendeley.com/documents/?uuid=c8e5d180-c40d-4ffb-9803-dbd3d85d5555"]},{"id":"ITEM-2","itemData":{"ISBN":"1324-1540","ISSN":"1324-1540","PMID":"46721101149317","abstract":"In this paper we review data collected from an online, social media-administered survey developed to explore public use of social media during a series of natural disasters, predominantly in Australia and New Zealand, during January to March 2011. These data are then explored using examples taken from the experiences of those involved in administering the most widely-used community-driven Facebook page during these disasters, which focused on tropical cyclone Yasi (‘Cyclone Yasi Update’). The survey was completed by 1146 respondents who had used social media in relation to the recent natural disasters. Data indicated that the public relied on a mix of formal and informal information sources, often using social media to re-post or re-tweet links from government websites felt to be of use to communities, thus acting as filters and amplifiers of ‘official’ information. This paper discusses how social media, specifically their core strengths of timely information exchange and promotion of connectedness, were able to act as sources of psychological first aid in the early stages of disaster and assist in supporting aspects of community resilience.","author":[{"dropping-particle":"","family":"Taylor","given":"By Mel","non-dropping-particle":"","parse-names":false,"suffix":""},{"dropping-particle":"","family":"Wells","given":"Garrett","non-dropping-particle":"","parse-names":false,"suffix":""},{"dropping-particle":"","family":"Howell","given":"Gwyneth","non-dropping-particle":"","parse-names":false,"suffix":""},{"dropping-particle":"","family":"Raphael","given":"Beverley","non-dropping-particle":"","parse-names":false,"suffix":""}],"container-title":"The Australian Journal of Emergency Management","id":"ITEM-2","issue":"1","issued":{"date-parts":[["2012"]]},"page":"20-26","title":"The role of social media as psychological first aid as a support to community resilience building .","type":"article-journal","volume":"27"},"uris":["http://www.mendeley.com/documents/?uuid=860c8106-6f74-480d-8bc4-bb8a4c53230f"]},{"id":"ITEM-3","itemData":{"URL":"https://danslee.wordpress.com/2019/08/16/long-read-i-read-147-facebook-updates-across-seven-pages-to-see-how-the-whaley-bridge-dam-crisis-was-communicated-on-facebook/","author":[{"dropping-particle":"","family":"Slee","given":"Dan","non-dropping-particle":"","parse-names":false,"suffix":""}],"container-title":"Dan Slee","id":"ITEM-3","issue":"August","issued":{"date-parts":[["2019"]]},"page":"1-11","title":"LONG READ: I read 147 Facebook updates across seven pages to see how the Whaley Bridge dam crisis was communicated on Facebook","type":"webpage"},"uris":["http://www.mendeley.com/documents/?uuid=c6875663-7291-4ec0-834d-02549491168c"]},{"id":"ITEM-4","itemData":{"DOI":"10.1016/j.chb.2022.107294","ISSN":"07475632","abstract":"Facing the Covid outbreaks, public health researchers share a consensus that community resilience should be maintained and strengthened because it helps mitigate the physical and emotional tolls on individuals and communities. One way to achieve the goal is to build and strengthen community resilience through social media. However, social media's role in building community resilience has been poorly understood from a behavioral perspective. Guiding by uses and gratification theory and the coping literature, we build a model to examine how social media behaviors may influence community members' perceived community resilience, providing a “bottom-up” voice to deepen our understanding of community resilience and its implications for public health. The results shows that community members' social media engagement was significantly associated with their perceived community resilience. While helping others on social media led people to perceive their communities as less resilient, the use of social media for social support helped foster social capital, leading to more perceived resilience at the collective level. Overall, social media use played important roles in shaping people's perception of community resilience, helping community members and organizations evaluate their strengths and weaknesses, and make improvement to better address future challenges in the times of global disasters.","author":[{"dropping-particle":"","family":"Xie","given":"Lola","non-dropping-particle":"","parse-names":false,"suffix":""},{"dropping-particle":"","family":"Pinto","given":"Juliet","non-dropping-particle":"","parse-names":false,"suffix":""},{"dropping-particle":"","family":"Zhong","given":"Bu","non-dropping-particle":"","parse-names":false,"suffix":""}],"container-title":"Computers in Human Behavior","id":"ITEM-4","issued":{"date-parts":[["2022"]]},"page":"1 - 9","title":"Building community resilience on social media to help recover from the COVID-19 pandemic","type":"article-journal","volume":"134"},"uris":["http://www.mendeley.com/documents/?uuid=625f072e-ec3a-410e-b53c-06c711464573"]}],"mendeley":{"formattedCitation":"(Xie, Pinto, &amp; Zhong, 2022; Slee, 2019; Resnyansky, 2014; Taylor et al., 2012)","manualFormatting":"(Resnyansky, 2014; Slee, 2019; Taylor et al., 2012; Xie et al., 2022)","plainTextFormattedCitation":"(Xie, Pinto, &amp; Zhong, 2022; Slee, 2019; Resnyansky, 2014; Taylor et al., 2012)","previouslyFormattedCitation":"(Xie, Pinto, &amp; Zhong, 2022; Slee, 2019; Resnyansky, 2014; Taylor et al., 2012)"},"properties":{"noteIndex":0},"schema":"https://github.com/citation-style-language/schema/raw/master/csl-citation.json"}</w:instrText>
      </w:r>
      <w:r>
        <w:rPr>
          <w:rFonts w:cs="Calibri"/>
        </w:rPr>
        <w:fldChar w:fldCharType="separate"/>
      </w:r>
      <w:r>
        <w:rPr>
          <w:rFonts w:cs="Calibri"/>
          <w:noProof/>
        </w:rPr>
        <w:t>(Resnyansky, 2014; Slee, 2019; Taylor et al., 2012; Xie et al., 2022)</w:t>
      </w:r>
      <w:r>
        <w:rPr>
          <w:rFonts w:cs="Calibri"/>
        </w:rPr>
        <w:fldChar w:fldCharType="end"/>
      </w:r>
      <w:r>
        <w:rPr>
          <w:rFonts w:cs="Calibri"/>
        </w:rPr>
        <w:t xml:space="preserve">. </w:t>
      </w:r>
      <w:bookmarkEnd w:id="454"/>
      <w:r>
        <w:rPr>
          <w:rFonts w:cs="Calibri"/>
        </w:rPr>
        <w:t xml:space="preserve">This was seen during Cyclone Yasi in Australia in 2011, with the “Cyclone Yasi update” Facebook page </w:t>
      </w:r>
      <w:r>
        <w:fldChar w:fldCharType="begin" w:fldLock="1"/>
      </w:r>
      <w:r w:rsidR="00974B75">
        <w:rPr>
          <w:rFonts w:cs="Calibri"/>
        </w:rPr>
        <w:instrText>ADDIN CSL_CITATION {"citationItems":[{"id":"ITEM-1","itemData":{"ISBN":"1324-1540","ISSN":"1324-1540","PMID":"46721101149317","abstract":"In this paper we review data collected from an online, social media-administered survey developed to explore public use of social media during a series of natural disasters, predominantly in Australia and New Zealand, during January to March 2011. These data are then explored using examples taken from the experiences of those involved in administering the most widely-used community-driven Facebook page during these disasters, which focused on tropical cyclone Yasi (‘Cyclone Yasi Update’). The survey was completed by 1146 respondents who had used social media in relation to the recent natural disasters. Data indicated that the public relied on a mix of formal and informal information sources, often using social media to re-post or re-tweet links from government websites felt to be of use to communities, thus acting as filters and amplifiers of ‘official’ information. This paper discusses how social media, specifically their core strengths of timely information exchange and promotion of connectedness, were able to act as sources of psychological first aid in the early stages of disaster and assist in supporting aspects of community resilience.","author":[{"dropping-particle":"","family":"Taylor","given":"By Mel","non-dropping-particle":"","parse-names":false,"suffix":""},{"dropping-particle":"","family":"Wells","given":"Garrett","non-dropping-particle":"","parse-names":false,"suffix":""},{"dropping-particle":"","family":"Howell","given":"Gwyneth","non-dropping-particle":"","parse-names":false,"suffix":""},{"dropping-particle":"","family":"Raphael","given":"Beverley","non-dropping-particle":"","parse-names":false,"suffix":""}],"container-title":"The Australian Journal of Emergency Management","id":"ITEM-1","issue":"1","issued":{"date-parts":[["2012"]]},"page":"20-26","title":"The role of social media as psychological first aid as a support to community resilience building .","type":"article-journal","volume":"27"},"uris":["http://www.mendeley.com/documents/?uuid=860c8106-6f74-480d-8bc4-bb8a4c53230f"]},{"id":"ITEM-2","itemData":{"author":[{"dropping-particle":"","family":"Resnyansky","given":"Lucy","non-dropping-particle":"","parse-names":false,"suffix":""}],"container-title":"IEEE Technology and Society Magazine","id":"ITEM-2","issue":"1","issued":{"date-parts":[["2014"]]},"page":"54-65","title":"Social Media, Disaster Studies, Communication and Human Communication","type":"article-journal","volume":"33"},"uris":["http://www.mendeley.com/documents/?uuid=c8e5d180-c40d-4ffb-9803-dbd3d85d5555"]}],"mendeley":{"formattedCitation":"(Resnyansky, 2014; Taylor et al., 2012)","manualFormatting":"(Resnyansky, 2014; Taylor et al., 2012)","plainTextFormattedCitation":"(Resnyansky, 2014; Taylor et al., 2012)","previouslyFormattedCitation":"(Resnyansky, 2014; Taylor et al., 2012)"},"properties":{"noteIndex":0},"schema":"https://github.com/citation-style-language/schema/raw/master/csl-citation.json"}</w:instrText>
      </w:r>
      <w:r>
        <w:rPr>
          <w:rFonts w:cs="Calibri"/>
        </w:rPr>
        <w:fldChar w:fldCharType="separate"/>
      </w:r>
      <w:r>
        <w:rPr>
          <w:rFonts w:cs="Calibri"/>
          <w:noProof/>
        </w:rPr>
        <w:t>(Resnyansky, 2014; Taylor et al., 2012)</w:t>
      </w:r>
      <w:r>
        <w:rPr>
          <w:rFonts w:cs="Calibri"/>
        </w:rPr>
        <w:fldChar w:fldCharType="end"/>
      </w:r>
      <w:r>
        <w:rPr>
          <w:rFonts w:cs="Calibri"/>
        </w:rPr>
        <w:t xml:space="preserve">, and also during the Whaley Bridge incident in the UK in 2019 </w:t>
      </w:r>
      <w:r>
        <w:fldChar w:fldCharType="begin" w:fldLock="1"/>
      </w:r>
      <w:r w:rsidR="00974B75">
        <w:rPr>
          <w:rFonts w:cs="Calibri"/>
        </w:rPr>
        <w:instrText>ADDIN CSL_CITATION {"citationItems":[{"id":"ITEM-1","itemData":{"URL":"https://danslee.wordpress.com/2019/08/16/long-read-i-read-147-facebook-updates-across-seven-pages-to-see-how-the-whaley-bridge-dam-crisis-was-communicated-on-facebook/","author":[{"dropping-particle":"","family":"Slee","given":"Dan","non-dropping-particle":"","parse-names":false,"suffix":""}],"container-title":"Dan Slee","id":"ITEM-1","issue":"August","issued":{"date-parts":[["2019"]]},"page":"1-11","title":"LONG READ: I read 147 Facebook updates across seven pages to see how the Whaley Bridge dam crisis was communicated on Facebook","type":"webpage"},"uris":["http://www.mendeley.com/documents/?uuid=c6875663-7291-4ec0-834d-02549491168c"]}],"mendeley":{"formattedCitation":"(Slee, 2019)","plainTextFormattedCitation":"(Slee, 2019)","previouslyFormattedCitation":"(Slee, 2019)"},"properties":{"noteIndex":0},"schema":"https://github.com/citation-style-language/schema/raw/master/csl-citation.json"}</w:instrText>
      </w:r>
      <w:r>
        <w:rPr>
          <w:rFonts w:cs="Calibri"/>
        </w:rPr>
        <w:fldChar w:fldCharType="separate"/>
      </w:r>
      <w:r>
        <w:rPr>
          <w:rFonts w:cs="Calibri"/>
          <w:noProof/>
        </w:rPr>
        <w:t>(Slee, 2019)</w:t>
      </w:r>
      <w:r>
        <w:rPr>
          <w:rFonts w:cs="Calibri"/>
        </w:rPr>
        <w:fldChar w:fldCharType="end"/>
      </w:r>
      <w:r>
        <w:rPr>
          <w:rFonts w:cs="Calibri"/>
        </w:rPr>
        <w:t xml:space="preserve">. Both crises saw the pages compile official information from a variety of sources into one location and provide support and advice to those in need, providing a potential communication source for organisations; this was seen in the case of Whaley Bridge, with a reported 6,500 residents in the town and 5,600 members on the Whaley Bridge Facebook page at the time; </w:t>
      </w:r>
      <w:r w:rsidR="00C84401">
        <w:rPr>
          <w:rFonts w:cs="Calibri"/>
        </w:rPr>
        <w:t xml:space="preserve">while </w:t>
      </w:r>
      <w:r>
        <w:rPr>
          <w:rFonts w:cs="Calibri"/>
        </w:rPr>
        <w:t xml:space="preserve">they may not all have all been residents impacted by the event, it highlights a potential strategy for using social media groups as a source of information and dissemination </w:t>
      </w:r>
      <w:r>
        <w:fldChar w:fldCharType="begin" w:fldLock="1"/>
      </w:r>
      <w:r w:rsidR="00974B75">
        <w:rPr>
          <w:rFonts w:cs="Calibri"/>
        </w:rPr>
        <w:instrText>ADDIN CSL_CITATION {"citationItems":[{"id":"ITEM-1","itemData":{"URL":"https://danslee.wordpress.com/2019/08/16/long-read-i-read-147-facebook-updates-across-seven-pages-to-see-how-the-whaley-bridge-dam-crisis-was-communicated-on-facebook/","author":[{"dropping-particle":"","family":"Slee","given":"Dan","non-dropping-particle":"","parse-names":false,"suffix":""}],"container-title":"Dan Slee","id":"ITEM-1","issue":"August","issued":{"date-parts":[["2019"]]},"page":"1-11","title":"LONG READ: I read 147 Facebook updates across seven pages to see how the Whaley Bridge dam crisis was communicated on Facebook","type":"webpage"},"uris":["http://www.mendeley.com/documents/?uuid=c6875663-7291-4ec0-834d-02549491168c"]}],"mendeley":{"formattedCitation":"(Slee, 2019)","plainTextFormattedCitation":"(Slee, 2019)","previouslyFormattedCitation":"(Slee, 2019)"},"properties":{"noteIndex":0},"schema":"https://github.com/citation-style-language/schema/raw/master/csl-citation.json"}</w:instrText>
      </w:r>
      <w:r>
        <w:rPr>
          <w:rFonts w:cs="Calibri"/>
        </w:rPr>
        <w:fldChar w:fldCharType="separate"/>
      </w:r>
      <w:r>
        <w:rPr>
          <w:rFonts w:cs="Calibri"/>
          <w:noProof/>
        </w:rPr>
        <w:t>(Slee, 2019)</w:t>
      </w:r>
      <w:r>
        <w:rPr>
          <w:rFonts w:cs="Calibri"/>
        </w:rPr>
        <w:fldChar w:fldCharType="end"/>
      </w:r>
      <w:r>
        <w:rPr>
          <w:rFonts w:cs="Calibri"/>
        </w:rPr>
        <w:t xml:space="preserve">.  This also suggests a developing community and social media logic, to use these pages to engage and communicate with their local community. However, in order to use these groups during an event, there needs to be trust and an understanding in these groups, including who is included and not included, either due to the digital divide or general community dynamics influencing who joins the group </w:t>
      </w:r>
      <w:r>
        <w:fldChar w:fldCharType="begin" w:fldLock="1"/>
      </w:r>
      <w:r w:rsidR="00974B75">
        <w:rPr>
          <w:rFonts w:cs="Calibri"/>
        </w:rPr>
        <w:instrText>ADDIN CSL_CITATION {"citationItems":[{"id":"ITEM-1","itemData":{"DOI":"10.1007/s13753-022-00399-1","ISSN":"21926395","abstract":"This study examined the propensity of social media use by underserved communities by drawing on the literature on the digital divide and attribution theory. Specifically, this research explored the factors that can influence the use of social media for disaster management. The study used survey methodology to collect data and partial least squares structural equation modeling (PLS-SEM) to analyze the data and test the hypotheses. The results of the study indicate: (1) that the propensity of social media use for disaster management is low for underserved communities; (2) a positive relationship between an individual’s effort and the intention to use social media for disaster management; and (3) a negative relationship between task difficulty and the intention to use social media for disaster management. The study expanded the literature on the use of social media in disaster management. The article also provides both theoretical and practical implications.","author":[{"dropping-particle":"","family":"Ramakrishnan","given":"Thiagarajan","non-dropping-particle":"","parse-names":false,"suffix":""},{"dropping-particle":"","family":"Ngamassi","given":"Louis","non-dropping-particle":"","parse-names":false,"suffix":""},{"dropping-particle":"","family":"Rahman","given":"Shahedur","non-dropping-particle":"","parse-names":false,"suffix":""}],"container-title":"International Journal of Disaster Risk Science","id":"ITEM-1","issued":{"date-parts":[["2022"]]},"page":"52-65","title":"Examining the Factors that Influence the Use of Social Media for Disaster Management by Underserved Communities","type":"article-journal","volume":"13"},"uris":["http://www.mendeley.com/documents/?uuid=78f79e65-57eb-4b0f-a3c9-31e43d9f8e7c"]}],"mendeley":{"formattedCitation":"(Ramakrishnan, Ngamassi, &amp; Rahman, 2022)","plainTextFormattedCitation":"(Ramakrishnan, Ngamassi, &amp; Rahman, 2022)","previouslyFormattedCitation":"(Ramakrishnan, Ngamassi, &amp; Rahman, 2022)"},"properties":{"noteIndex":0},"schema":"https://github.com/citation-style-language/schema/raw/master/csl-citation.json"}</w:instrText>
      </w:r>
      <w:r>
        <w:rPr>
          <w:rFonts w:cs="Calibri"/>
        </w:rPr>
        <w:fldChar w:fldCharType="separate"/>
      </w:r>
      <w:r>
        <w:rPr>
          <w:rFonts w:cs="Calibri"/>
          <w:noProof/>
        </w:rPr>
        <w:t>(Ramakrishnan, Ngamassi, &amp; Rahman, 2022)</w:t>
      </w:r>
      <w:r>
        <w:rPr>
          <w:rFonts w:cs="Calibri"/>
        </w:rPr>
        <w:fldChar w:fldCharType="end"/>
      </w:r>
      <w:r>
        <w:rPr>
          <w:rFonts w:cs="Calibri"/>
        </w:rPr>
        <w:t>.</w:t>
      </w:r>
    </w:p>
    <w:p w14:paraId="5553E6BE" w14:textId="77777777" w:rsidR="007E5BCF" w:rsidRDefault="007E5BCF" w:rsidP="00866155"/>
    <w:p w14:paraId="0EC7F4A6" w14:textId="637150D0" w:rsidR="00BA0CD4" w:rsidRDefault="00742FB7" w:rsidP="00866155">
      <w:pPr>
        <w:rPr>
          <w:rFonts w:cs="Calibri"/>
        </w:rPr>
      </w:pPr>
      <w:r>
        <w:rPr>
          <w:rFonts w:cs="Calibri"/>
        </w:rPr>
        <w:t xml:space="preserve">These community pages can also support the communities through the recovery phases, with the focus on donations and financial support, social cohesion, information for reconstruction and infrastructure, as well as emotional support </w:t>
      </w:r>
      <w:r>
        <w:fldChar w:fldCharType="begin" w:fldLock="1"/>
      </w:r>
      <w:bookmarkStart w:id="455" w:name="_Hlk153268233"/>
      <w:r w:rsidR="00974B75">
        <w:rPr>
          <w:rFonts w:cs="Calibri"/>
        </w:rPr>
        <w:instrText>ADDIN CSL_CITATION {"citationItems":[{"id":"ITEM-1","itemData":{"DOI":"10.1016/j.ijdrr.2022.102783","ISSN":"22124209","abstract":"Studies on the role of social media in disaster management have so far focused mainly on early phases of the disaster response process. Published evidence regarding the scope and effectiveness of social media use in the recovery phase is limited but promising. There is currently no study that provides a comprehensive picture of the current research landscape that can inform different groups who need to capitalise on social media for disaster recovery. The present study aims to address this research gap by conducting a systematic literature review of social media use in disaster recovery. The review analyses the relevant studies to identify any temporal variations in research activity, the social media platforms most frequently used in disaster recovery, their patterns of use by type of disaster as well as the geographical locations where the studies have focused. Importantly, the paper identifies and summarises research findings relating to social media use in various aspects of disaster recovery, including (1) donations and financial support, (2) solidarity and social cohesion, (3) post-disaster reconstruction and infrastructure services, (4) socioeconomic and physical wellbeing, (5) information support, (6) mental health and emotional support, and (7) business &amp; economic activities. We envisage that this comprehensive review will support the disaster risk reduction community with the requisite knowledge to better explore social media for disaster recovery. Similarly, future research may find the study helpful for understanding the state of knowledge and identifying research gaps around social media use for disaster recovery.","author":[{"dropping-particle":"","family":"Ogie","given":"R. I.","non-dropping-particle":"","parse-names":false,"suffix":""},{"dropping-particle":"","family":"James","given":"S.","non-dropping-particle":"","parse-names":false,"suffix":""},{"dropping-particle":"","family":"Moore","given":"A.","non-dropping-particle":"","parse-names":false,"suffix":""},{"dropping-particle":"","family":"Dilworth","given":"T.","non-dropping-particle":"","parse-names":false,"suffix":""},{"dropping-particle":"","family":"Amirghasemi","given":"M.","non-dropping-particle":"","parse-names":false,"suffix":""},{"dropping-particle":"","family":"Whittaker","given":"J.","non-dropping-particle":"","parse-names":false,"suffix":""}],"container-title":"International Journal of Disaster Risk Reduction","id":"ITEM-1","issued":{"date-parts":[["2022"]]},"page":"1 - 18","title":"Social media use in disaster recovery: A systematic literature review","type":"article-journal","volume":"70"},"uris":["http://www.mendeley.com/documents/?uuid=1bda90d3-961c-4bb6-9867-e482122058e3"]}],"mendeley":{"formattedCitation":"(Ogie et al., 2022)","plainTextFormattedCitation":"(Ogie et al., 2022)","previouslyFormattedCitation":"(Ogie et al., 2022)"},"properties":{"noteIndex":0},"schema":"https://github.com/citation-style-language/schema/raw/master/csl-citation.json"}</w:instrText>
      </w:r>
      <w:r>
        <w:rPr>
          <w:rFonts w:cs="Calibri"/>
        </w:rPr>
        <w:fldChar w:fldCharType="separate"/>
      </w:r>
      <w:r>
        <w:rPr>
          <w:rFonts w:cs="Calibri"/>
          <w:noProof/>
        </w:rPr>
        <w:t>(Ogie et al., 2022)</w:t>
      </w:r>
      <w:r>
        <w:rPr>
          <w:rFonts w:cs="Calibri"/>
        </w:rPr>
        <w:fldChar w:fldCharType="end"/>
      </w:r>
      <w:r>
        <w:rPr>
          <w:rFonts w:cs="Calibri"/>
        </w:rPr>
        <w:t xml:space="preserve">; </w:t>
      </w:r>
      <w:bookmarkEnd w:id="455"/>
      <w:r>
        <w:rPr>
          <w:rFonts w:cs="Calibri"/>
        </w:rPr>
        <w:t xml:space="preserve">these pages could be viewed as sites where the community logic is enacted and reworked. </w:t>
      </w:r>
      <w:r w:rsidR="00C84401">
        <w:rPr>
          <w:rFonts w:cs="Calibri"/>
        </w:rPr>
        <w:t>While</w:t>
      </w:r>
      <w:r>
        <w:rPr>
          <w:rFonts w:cs="Calibri"/>
        </w:rPr>
        <w:t xml:space="preserve"> this indicates the different ways social media can be used after an event has happened, there is a gap in the literature to examine how social media can be used by organisations to develop community resilience before an event, and how it can be used to support individuals and communities</w:t>
      </w:r>
      <w:r w:rsidR="008409C6">
        <w:rPr>
          <w:rFonts w:cs="Calibri"/>
        </w:rPr>
        <w:t xml:space="preserve">. This is a </w:t>
      </w:r>
      <w:r>
        <w:rPr>
          <w:rFonts w:cs="Calibri"/>
        </w:rPr>
        <w:t xml:space="preserve">contribution </w:t>
      </w:r>
      <w:r w:rsidRPr="00BA0CD4">
        <w:rPr>
          <w:rFonts w:cs="Calibri"/>
        </w:rPr>
        <w:t>from this thesis</w:t>
      </w:r>
      <w:r w:rsidR="00B554C8">
        <w:rPr>
          <w:rFonts w:cs="Calibri"/>
        </w:rPr>
        <w:t>:</w:t>
      </w:r>
      <w:r w:rsidR="008409C6">
        <w:rPr>
          <w:rFonts w:cs="Calibri"/>
        </w:rPr>
        <w:t xml:space="preserve"> examining how SYFR utilise social media channels to communicate about risks across South Yorkshire to help develop community disaster resilience</w:t>
      </w:r>
      <w:r w:rsidRPr="00BA0CD4">
        <w:rPr>
          <w:rFonts w:cs="Calibri"/>
        </w:rPr>
        <w:t>.</w:t>
      </w:r>
      <w:r w:rsidR="00BA0CD4">
        <w:rPr>
          <w:rFonts w:cs="Calibri"/>
        </w:rPr>
        <w:t xml:space="preserve"> The examples of Cyclone Yasi and Whaley Bridge show how these social media pages can provide a wealth of support to a community. </w:t>
      </w:r>
      <w:r w:rsidR="00DB2BD5">
        <w:rPr>
          <w:rFonts w:cs="Calibri"/>
        </w:rPr>
        <w:t>Thus,</w:t>
      </w:r>
      <w:r w:rsidR="00BA0CD4">
        <w:rPr>
          <w:rFonts w:cs="Calibri"/>
        </w:rPr>
        <w:t xml:space="preserve"> indicating a need to develop these groups </w:t>
      </w:r>
      <w:r w:rsidR="007E5BCF">
        <w:rPr>
          <w:rFonts w:cs="Calibri"/>
        </w:rPr>
        <w:t xml:space="preserve">and linking social capital </w:t>
      </w:r>
      <w:r w:rsidR="007E5BCF">
        <w:rPr>
          <w:rFonts w:cs="Calibri"/>
        </w:rPr>
        <w:fldChar w:fldCharType="begin" w:fldLock="1"/>
      </w:r>
      <w:r w:rsidR="00305E47">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id":"ITEM-2","itemData":{"author":[{"dropping-particle":"","family":"Sanyal","given":"Saswata","non-dropping-particle":"","parse-names":false,"suffix":""},{"dropping-particle":"","family":"Routray","given":"Jayant K.","non-dropping-particle":"","parse-names":false,"suffix":""}],"container-title":"International Journal of Disaster Risk Reduction","id":"ITEM-2","issued":{"date-parts":[["2016"]]},"page":"101-111","title":"Social capital for disaster risk reduction and management with empirical evidences from Sundarbans of India","type":"article-journal","volume":"19"},"uris":["http://www.mendeley.com/documents/?uuid=d8bcf27c-1efc-4c15-8204-cd8b37719dd2"]}],"mendeley":{"formattedCitation":"(Carmen et al., 2022; Sanyal &amp; Routray, 2016)","plainTextFormattedCitation":"(Carmen et al., 2022; Sanyal &amp; Routray, 2016)","previouslyFormattedCitation":"(Carmen et al., 2022; Sanyal &amp; Routray, 2016)"},"properties":{"noteIndex":0},"schema":"https://github.com/citation-style-language/schema/raw/master/csl-citation.json"}</w:instrText>
      </w:r>
      <w:r w:rsidR="007E5BCF">
        <w:rPr>
          <w:rFonts w:cs="Calibri"/>
        </w:rPr>
        <w:fldChar w:fldCharType="separate"/>
      </w:r>
      <w:r w:rsidR="007E5BCF" w:rsidRPr="007E5BCF">
        <w:rPr>
          <w:rFonts w:cs="Calibri"/>
          <w:noProof/>
        </w:rPr>
        <w:t xml:space="preserve">(Carmen et al., 2022; </w:t>
      </w:r>
      <w:r w:rsidR="007E5BCF" w:rsidRPr="007E5BCF">
        <w:rPr>
          <w:rFonts w:cs="Calibri"/>
          <w:noProof/>
        </w:rPr>
        <w:lastRenderedPageBreak/>
        <w:t>Sanyal &amp; Routray, 2016)</w:t>
      </w:r>
      <w:r w:rsidR="007E5BCF">
        <w:rPr>
          <w:rFonts w:cs="Calibri"/>
        </w:rPr>
        <w:fldChar w:fldCharType="end"/>
      </w:r>
      <w:r w:rsidR="007E5BCF">
        <w:rPr>
          <w:rFonts w:cs="Calibri"/>
        </w:rPr>
        <w:t xml:space="preserve"> </w:t>
      </w:r>
      <w:r w:rsidR="00BA0CD4">
        <w:rPr>
          <w:rFonts w:cs="Calibri"/>
        </w:rPr>
        <w:t xml:space="preserve">prior to an event, in order to support communities to develop resilience. </w:t>
      </w:r>
    </w:p>
    <w:p w14:paraId="28012DD1" w14:textId="77777777" w:rsidR="00787F73" w:rsidRDefault="00787F73" w:rsidP="00866155">
      <w:pPr>
        <w:rPr>
          <w:rFonts w:cs="Calibri"/>
        </w:rPr>
      </w:pPr>
    </w:p>
    <w:p w14:paraId="50477687" w14:textId="6809F4C6" w:rsidR="00787F73" w:rsidRDefault="00742FB7" w:rsidP="00866155">
      <w:r>
        <w:rPr>
          <w:rFonts w:cs="Calibri"/>
        </w:rPr>
        <w:t xml:space="preserve">Organisations can use social media prior to events by informing people that an event is due to happen, signposting support, and communicating with those affected </w:t>
      </w:r>
      <w:r>
        <w:fldChar w:fldCharType="begin" w:fldLock="1"/>
      </w:r>
      <w:r w:rsidR="00974B75">
        <w:rPr>
          <w:rFonts w:cs="Calibri"/>
        </w:rPr>
        <w:instrText>ADDIN CSL_CITATION {"citationItems":[{"id":"ITEM-1","itemData":{"author":[{"dropping-particle":"","family":"Resnyansky","given":"Lucy","non-dropping-particle":"","parse-names":false,"suffix":""}],"container-title":"IEEE Technology and Society Magazine","id":"ITEM-1","issue":"1","issued":{"date-parts":[["2014"]]},"page":"54-65","title":"Social Media, Disaster Studies, Communication and Human Communication","type":"article-journal","volume":"33"},"uris":["http://www.mendeley.com/documents/?uuid=c8e5d180-c40d-4ffb-9803-dbd3d85d5555"]}],"mendeley":{"formattedCitation":"(Resnyansky, 2014)","plainTextFormattedCitation":"(Resnyansky, 2014)","previouslyFormattedCitation":"(Resnyansky, 2014)"},"properties":{"noteIndex":0},"schema":"https://github.com/citation-style-language/schema/raw/master/csl-citation.json"}</w:instrText>
      </w:r>
      <w:r>
        <w:rPr>
          <w:rFonts w:cs="Calibri"/>
        </w:rPr>
        <w:fldChar w:fldCharType="separate"/>
      </w:r>
      <w:r>
        <w:rPr>
          <w:rFonts w:cs="Calibri"/>
          <w:noProof/>
        </w:rPr>
        <w:t>(Resnyansky, 2014)</w:t>
      </w:r>
      <w:r>
        <w:rPr>
          <w:rFonts w:cs="Calibri"/>
        </w:rPr>
        <w:fldChar w:fldCharType="end"/>
      </w:r>
      <w:r>
        <w:rPr>
          <w:rFonts w:cs="Calibri"/>
        </w:rPr>
        <w:t xml:space="preserve">. An example of social media use in the preparation phase is the partnership between the Met Office and the UK Environment Agency (EA), who have been working together since 2009 to predict flooding events via the flood forecasting centre </w:t>
      </w:r>
      <w:r>
        <w:fldChar w:fldCharType="begin" w:fldLock="1"/>
      </w:r>
      <w:r>
        <w:rPr>
          <w:rFonts w:cs="Calibri"/>
        </w:rPr>
        <w:instrText>ADDIN CSL_CITATION {"citationItems":[{"id":"ITEM-1","itemData":{"URL":"https://www.gov.uk/government/news/a-decade-of-flood-forecasting-saving-lives","accessed":{"date-parts":[["2019","10","11"]]},"author":[{"dropping-particle":"","family":"Environment Agency","given":"","non-dropping-particle":"","parse-names":false,"suffix":""}],"container-title":"GOV.UK","id":"ITEM-1","issued":{"date-parts":[["2019"]]},"title":"A decade of flood forecasting: saving lives","type":"webpage"},"uris":["http://www.mendeley.com/documents/?uuid=358e9d29-6893-3d4b-992f-16eb2d27ce92"]}],"mendeley":{"formattedCitation":"(Environment Agency, 2019)","plainTextFormattedCitation":"(Environment Agency, 2019)","previouslyFormattedCitation":"(Environment Agency, 2019)"},"properties":{"noteIndex":0},"schema":"https://github.com/citation-style-language/schema/raw/master/csl-citation.json"}</w:instrText>
      </w:r>
      <w:r>
        <w:rPr>
          <w:rFonts w:cs="Calibri"/>
        </w:rPr>
        <w:fldChar w:fldCharType="separate"/>
      </w:r>
      <w:r>
        <w:rPr>
          <w:rFonts w:cs="Calibri"/>
          <w:noProof/>
        </w:rPr>
        <w:t>(Environment Agency, 2019)</w:t>
      </w:r>
      <w:r>
        <w:rPr>
          <w:rFonts w:cs="Calibri"/>
        </w:rPr>
        <w:fldChar w:fldCharType="end"/>
      </w:r>
      <w:r>
        <w:rPr>
          <w:rFonts w:cs="Calibri"/>
        </w:rPr>
        <w:t xml:space="preserve">. This partnership monitors the major rivers and weather patterns, and then uses </w:t>
      </w:r>
      <w:r w:rsidR="0040407A">
        <w:rPr>
          <w:rFonts w:cs="Calibri"/>
        </w:rPr>
        <w:t>these</w:t>
      </w:r>
      <w:r>
        <w:rPr>
          <w:rFonts w:cs="Calibri"/>
        </w:rPr>
        <w:t xml:space="preserve"> data to alert the relevant stakeholders through flood warning alerts sent via phone, email, text message, and also, for larger events, via social media </w:t>
      </w:r>
      <w:r>
        <w:fldChar w:fldCharType="begin" w:fldLock="1"/>
      </w:r>
      <w:r>
        <w:rPr>
          <w:rFonts w:cs="Calibri"/>
        </w:rPr>
        <w:instrText>ADDIN CSL_CITATION {"citationItems":[{"id":"ITEM-1","itemData":{"URL":"https://www.gov.uk/sign-up-for-flood-warnings","accessed":{"date-parts":[["2019","10","11"]]},"author":[{"dropping-particle":"","family":"Environment Agency","given":"","non-dropping-particle":"","parse-names":false,"suffix":""}],"container-title":"GOV.UK","id":"ITEM-1","issued":{"date-parts":[["0"]]},"title":"Sign up for flood warnings - GOV.UK","type":"webpage"},"uris":["http://www.mendeley.com/documents/?uuid=38d6f4e3-7e99-3e90-85e2-d7b6b5d14fa3"]},{"id":"ITEM-2","itemData":{"author":[{"dropping-particle":"","family":"Smith","given":"L","non-dropping-particle":"","parse-names":false,"suffix":""},{"dropping-particle":"","family":"Liang","given":"Q","non-dropping-particle":"","parse-names":false,"suffix":""},{"dropping-particle":"","family":"James","given":"P","non-dropping-particle":"","parse-names":false,"suffix":""},{"dropping-particle":"","family":"Lin","given":"W","non-dropping-particle":"","parse-names":false,"suffix":""}],"container-title":"Flood Risk Management","id":"ITEM-2","issue":"3","issued":{"date-parts":[["2017"]]},"page":"370 - 380","title":"Assessing the utility of social media as a data source for flood risk management using a real‐time modelling framework","type":"article-journal","volume":"10"},"uris":["http://www.mendeley.com/documents/?uuid=f7dd1e8c-9472-40e4-b489-2d01ad8bd073"]}],"mendeley":{"formattedCitation":"(Smith et al., 2017; Environment Agency)","manualFormatting":"(Smith et al., 2017; Environment Agency, n.d)","plainTextFormattedCitation":"(Smith et al., 2017; Environment Agency)","previouslyFormattedCitation":"(Smith et al., 2017; Environment Agency)"},"properties":{"noteIndex":0},"schema":"https://github.com/citation-style-language/schema/raw/master/csl-citation.json"}</w:instrText>
      </w:r>
      <w:r>
        <w:rPr>
          <w:rFonts w:cs="Calibri"/>
        </w:rPr>
        <w:fldChar w:fldCharType="separate"/>
      </w:r>
      <w:r>
        <w:rPr>
          <w:rFonts w:cs="Calibri"/>
          <w:noProof/>
        </w:rPr>
        <w:t>(Smith et al., 2017; Environment Agency, n.d)</w:t>
      </w:r>
      <w:r>
        <w:rPr>
          <w:rFonts w:cs="Calibri"/>
        </w:rPr>
        <w:fldChar w:fldCharType="end"/>
      </w:r>
      <w:r>
        <w:rPr>
          <w:rFonts w:cs="Calibri"/>
        </w:rPr>
        <w:t xml:space="preserve">. </w:t>
      </w:r>
      <w:r w:rsidR="00C84401">
        <w:rPr>
          <w:rFonts w:cs="Calibri"/>
        </w:rPr>
        <w:t>While</w:t>
      </w:r>
      <w:r>
        <w:rPr>
          <w:rFonts w:cs="Calibri"/>
        </w:rPr>
        <w:t xml:space="preserve"> they state that they use social media, Figure 9 shows that their account only had 2,326 followers at time of this image being taken (17.26GMT on the 13</w:t>
      </w:r>
      <w:r>
        <w:rPr>
          <w:rFonts w:cs="Calibri"/>
          <w:vertAlign w:val="superscript"/>
        </w:rPr>
        <w:t>th</w:t>
      </w:r>
      <w:r>
        <w:rPr>
          <w:rFonts w:cs="Calibri"/>
        </w:rPr>
        <w:t xml:space="preserve"> of September 2023), and it appears mainly to be retweets of the Met Office account, with some unique posts from their account</w:t>
      </w:r>
      <w:r w:rsidR="00B554C8">
        <w:rPr>
          <w:rFonts w:cs="Calibri"/>
        </w:rPr>
        <w:t>. This suggests</w:t>
      </w:r>
      <w:r>
        <w:rPr>
          <w:rFonts w:cs="Calibri"/>
        </w:rPr>
        <w:t xml:space="preserve"> their main engagement is coming from more traditional and established channels. These alerts focus on the imminent phases of a potential disaster and do not focus on the building of resilience. This indicates another avenue for future research, conducting a similar research project in collaboration with the EA examining their use of social media. This research aimed to contribute to the literature by examining if and how SYFR can support the development of community resilience using social media. </w:t>
      </w:r>
    </w:p>
    <w:p w14:paraId="609AFD72" w14:textId="77777777" w:rsidR="00787F73" w:rsidRDefault="00742FB7" w:rsidP="00866155">
      <w:pPr>
        <w:keepNext/>
        <w:jc w:val="center"/>
      </w:pPr>
      <w:r>
        <w:rPr>
          <w:noProof/>
        </w:rPr>
        <w:lastRenderedPageBreak/>
        <w:drawing>
          <wp:inline distT="0" distB="0" distL="0" distR="0" wp14:anchorId="284E4C81" wp14:editId="57C27254">
            <wp:extent cx="4358640" cy="5833498"/>
            <wp:effectExtent l="0" t="0" r="381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16"/>
                    <a:stretch>
                      <a:fillRect/>
                    </a:stretch>
                  </pic:blipFill>
                  <pic:spPr bwMode="auto">
                    <a:xfrm>
                      <a:off x="0" y="0"/>
                      <a:ext cx="4366842" cy="5844476"/>
                    </a:xfrm>
                    <a:prstGeom prst="rect">
                      <a:avLst/>
                    </a:prstGeom>
                  </pic:spPr>
                </pic:pic>
              </a:graphicData>
            </a:graphic>
          </wp:inline>
        </w:drawing>
      </w:r>
    </w:p>
    <w:p w14:paraId="34F9E78A" w14:textId="5FA23D73" w:rsidR="00787F73" w:rsidRDefault="00742FB7" w:rsidP="00866155">
      <w:pPr>
        <w:pStyle w:val="caption1"/>
        <w:jc w:val="center"/>
      </w:pPr>
      <w:bookmarkStart w:id="456" w:name="_Toc193367287"/>
      <w:bookmarkStart w:id="457" w:name="_Toc153554390"/>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9</w:t>
      </w:r>
      <w:r>
        <w:rPr>
          <w:rFonts w:cs="Calibri"/>
        </w:rPr>
        <w:fldChar w:fldCharType="end"/>
      </w:r>
      <w:r>
        <w:rPr>
          <w:rFonts w:cs="Calibri"/>
        </w:rPr>
        <w:t xml:space="preserve">: Flood Forecasting Centre account on X (image collected at 17.26 on 13th September 2023); Source: </w:t>
      </w:r>
      <w:r>
        <w:fldChar w:fldCharType="begin" w:fldLock="1"/>
      </w:r>
      <w:r w:rsidR="003A5C93">
        <w:rPr>
          <w:rFonts w:cs="Calibri"/>
        </w:rPr>
        <w:instrText>ADDIN CSL_CITATION {"citationItems":[{"id":"ITEM-1","itemData":{"URL":"https://twitter.com/FloodForecasts","accessed":{"date-parts":[["2023","9","13"]]},"author":[{"dropping-particle":"","family":"Flood Forecasting Centre","given":"","non-dropping-particle":"","parse-names":false,"suffix":""}],"container-title":"X","id":"ITEM-1","issued":{"date-parts":[["2023"]]},"title":"Flood Forecasting Centre","type":"webpage"},"uris":["http://www.mendeley.com/documents/?uuid=38bbaa6a-f64d-4535-ad35-98b4cea222c9"]}],"mendeley":{"formattedCitation":"(Flood Forecasting Centre, 2023)","manualFormatting":"Flood Forecasting Centre (2023)","plainTextFormattedCitation":"(Flood Forecasting Centre, 2023)","previouslyFormattedCitation":"(Flood Forecasting Centre, 2023)"},"properties":{"noteIndex":0},"schema":"https://github.com/citation-style-language/schema/raw/master/csl-citation.json"}</w:instrText>
      </w:r>
      <w:r>
        <w:rPr>
          <w:rFonts w:cs="Calibri"/>
        </w:rPr>
        <w:fldChar w:fldCharType="separate"/>
      </w:r>
      <w:r>
        <w:rPr>
          <w:rFonts w:cs="Calibri"/>
          <w:i w:val="0"/>
          <w:noProof/>
        </w:rPr>
        <w:t>Flood Forecasting Centre (2023)</w:t>
      </w:r>
      <w:bookmarkEnd w:id="456"/>
      <w:r>
        <w:rPr>
          <w:rFonts w:cs="Calibri"/>
        </w:rPr>
        <w:fldChar w:fldCharType="end"/>
      </w:r>
      <w:bookmarkEnd w:id="457"/>
    </w:p>
    <w:p w14:paraId="72346CE6" w14:textId="77777777" w:rsidR="00787F73" w:rsidRDefault="00742FB7" w:rsidP="00866155">
      <w:pPr>
        <w:pStyle w:val="Heading3"/>
      </w:pPr>
      <w:bookmarkStart w:id="458" w:name="_Toc523750416"/>
      <w:bookmarkStart w:id="459" w:name="_Toc22633734"/>
      <w:bookmarkStart w:id="460" w:name="_Toc153554327"/>
      <w:bookmarkStart w:id="461" w:name="_Toc93336024"/>
      <w:bookmarkStart w:id="462" w:name="_Toc140071606"/>
      <w:bookmarkStart w:id="463" w:name="_Toc98148366"/>
      <w:bookmarkStart w:id="464" w:name="_Toc523850277"/>
      <w:bookmarkStart w:id="465" w:name="_Toc10621098"/>
      <w:bookmarkStart w:id="466" w:name="_Toc193367209"/>
      <w:bookmarkStart w:id="467" w:name="_Toc158823568"/>
      <w:r>
        <w:rPr>
          <w:rFonts w:ascii="Calibri" w:hAnsi="Calibri" w:cs="Calibri"/>
        </w:rPr>
        <w:t>2.5.6: Conclusion</w:t>
      </w:r>
      <w:bookmarkEnd w:id="458"/>
      <w:bookmarkEnd w:id="459"/>
      <w:bookmarkEnd w:id="460"/>
      <w:bookmarkEnd w:id="461"/>
      <w:bookmarkEnd w:id="462"/>
      <w:bookmarkEnd w:id="463"/>
      <w:bookmarkEnd w:id="464"/>
      <w:bookmarkEnd w:id="465"/>
      <w:bookmarkEnd w:id="466"/>
      <w:r>
        <w:rPr>
          <w:rFonts w:ascii="Calibri" w:hAnsi="Calibri" w:cs="Calibri"/>
        </w:rPr>
        <w:t xml:space="preserve"> </w:t>
      </w:r>
      <w:bookmarkEnd w:id="467"/>
    </w:p>
    <w:p w14:paraId="6042B69A" w14:textId="77777777" w:rsidR="00787F73" w:rsidRDefault="00742FB7" w:rsidP="00866155">
      <w:pPr>
        <w:spacing w:after="160"/>
        <w:rPr>
          <w:rFonts w:cs="Calibri"/>
        </w:rPr>
      </w:pPr>
      <w:bookmarkStart w:id="468" w:name="_Hlk179556405"/>
      <w:r>
        <w:rPr>
          <w:rFonts w:cs="Calibri"/>
        </w:rPr>
        <w:t xml:space="preserve">This section provided a conceptual grounding to social media, with a discussion of the definitions, who is online, the role of the digital divide, how individuals can use social media, the link to their communities, the negative elements of social media, and how social media can be used in disasters. </w:t>
      </w:r>
    </w:p>
    <w:p w14:paraId="5CDDDA3F" w14:textId="77777777" w:rsidR="0013548C" w:rsidRDefault="0013548C" w:rsidP="00866155">
      <w:pPr>
        <w:spacing w:after="160"/>
        <w:rPr>
          <w:rFonts w:cs="Calibri"/>
        </w:rPr>
      </w:pPr>
    </w:p>
    <w:p w14:paraId="7A64264E" w14:textId="77777777" w:rsidR="00787F73" w:rsidRDefault="00742FB7" w:rsidP="00866155">
      <w:pPr>
        <w:spacing w:after="160"/>
      </w:pPr>
      <w:r>
        <w:rPr>
          <w:rFonts w:cs="Calibri"/>
        </w:rPr>
        <w:lastRenderedPageBreak/>
        <w:t xml:space="preserve">Social media is often viewed as a ubiquitous element of society, however, as explored within this section, not everyone is able, or chooses, to access it. This means the organisations who use social media for most of their communication may risk excluding community members from information or discussions around topics which are relevant to their lives. </w:t>
      </w:r>
      <w:r w:rsidR="00BB06F7">
        <w:rPr>
          <w:rFonts w:cs="Calibri"/>
        </w:rPr>
        <w:t>This creates a challenge for using social media for the creation and maintenance of community resilience if the more vulnerable members of the community are not engaging.</w:t>
      </w:r>
    </w:p>
    <w:p w14:paraId="6F1E81E8" w14:textId="77777777" w:rsidR="00787F73" w:rsidRDefault="00742FB7" w:rsidP="00866155">
      <w:pPr>
        <w:spacing w:after="160"/>
      </w:pPr>
      <w:r>
        <w:rPr>
          <w:rFonts w:cs="Calibri"/>
        </w:rPr>
        <w:t>This focus on the use of social media again continues the narrative of neoliberalism, with social media companies being private companies and taking on the role of controlling the way in which communication happens in and between organisations and individual citizens. This places a great deal of power and responsibility on social media companies, when their core aim and institutional logics, as private companies, is to make profit, often through the commodification of their users. This means that public sector organisations who use social media and have state and public sector institutional logics may have conflicting institutional logics to the method with which they are using to communicate.</w:t>
      </w:r>
    </w:p>
    <w:bookmarkEnd w:id="468"/>
    <w:p w14:paraId="006A9FFD" w14:textId="77777777" w:rsidR="00787F73" w:rsidRDefault="00787F73" w:rsidP="00866155">
      <w:pPr>
        <w:spacing w:after="160"/>
        <w:rPr>
          <w:rFonts w:cs="Calibri"/>
        </w:rPr>
      </w:pPr>
    </w:p>
    <w:p w14:paraId="15886662" w14:textId="77777777" w:rsidR="00787F73" w:rsidRDefault="00742FB7" w:rsidP="00866155">
      <w:pPr>
        <w:pStyle w:val="Heading2"/>
        <w:tabs>
          <w:tab w:val="left" w:pos="5655"/>
        </w:tabs>
      </w:pPr>
      <w:bookmarkStart w:id="469" w:name="_Toc98148367"/>
      <w:bookmarkStart w:id="470" w:name="_Toc158823569"/>
      <w:bookmarkStart w:id="471" w:name="_Toc93336025"/>
      <w:bookmarkStart w:id="472" w:name="_Toc22633735"/>
      <w:bookmarkStart w:id="473" w:name="_Toc140071607"/>
      <w:bookmarkStart w:id="474" w:name="_Toc153554328"/>
      <w:bookmarkStart w:id="475" w:name="_Toc193367210"/>
      <w:r>
        <w:rPr>
          <w:rFonts w:ascii="Calibri" w:hAnsi="Calibri" w:cs="Calibri"/>
        </w:rPr>
        <w:t>2.6: The Study Context - Fire and Rescue Service</w:t>
      </w:r>
      <w:bookmarkEnd w:id="469"/>
      <w:bookmarkEnd w:id="470"/>
      <w:bookmarkEnd w:id="471"/>
      <w:bookmarkEnd w:id="472"/>
      <w:bookmarkEnd w:id="473"/>
      <w:bookmarkEnd w:id="474"/>
      <w:bookmarkEnd w:id="475"/>
      <w:r>
        <w:rPr>
          <w:rFonts w:ascii="Calibri" w:hAnsi="Calibri" w:cs="Calibri"/>
        </w:rPr>
        <w:tab/>
      </w:r>
    </w:p>
    <w:p w14:paraId="2CCC7D4B" w14:textId="77777777" w:rsidR="00787F73" w:rsidRDefault="00742FB7" w:rsidP="00866155">
      <w:pPr>
        <w:pStyle w:val="Heading3"/>
      </w:pPr>
      <w:bookmarkStart w:id="476" w:name="_Toc16856925"/>
      <w:bookmarkStart w:id="477" w:name="_Toc93336026"/>
      <w:bookmarkStart w:id="478" w:name="_Toc153554329"/>
      <w:bookmarkStart w:id="479" w:name="_Toc140071608"/>
      <w:bookmarkStart w:id="480" w:name="_Toc10621105"/>
      <w:bookmarkStart w:id="481" w:name="_Toc3183383"/>
      <w:bookmarkStart w:id="482" w:name="_Toc98148368"/>
      <w:bookmarkStart w:id="483" w:name="_Toc158823570"/>
      <w:bookmarkStart w:id="484" w:name="_Toc22633736"/>
      <w:bookmarkStart w:id="485" w:name="_Toc193367211"/>
      <w:bookmarkEnd w:id="476"/>
      <w:r>
        <w:rPr>
          <w:rFonts w:ascii="Calibri" w:hAnsi="Calibri" w:cs="Calibri"/>
        </w:rPr>
        <w:t>2.6.1: Introduction</w:t>
      </w:r>
      <w:bookmarkEnd w:id="477"/>
      <w:bookmarkEnd w:id="478"/>
      <w:bookmarkEnd w:id="479"/>
      <w:bookmarkEnd w:id="480"/>
      <w:bookmarkEnd w:id="481"/>
      <w:bookmarkEnd w:id="482"/>
      <w:bookmarkEnd w:id="483"/>
      <w:bookmarkEnd w:id="484"/>
      <w:bookmarkEnd w:id="485"/>
    </w:p>
    <w:p w14:paraId="3BEF745C" w14:textId="77777777" w:rsidR="00787F73" w:rsidRDefault="00742FB7" w:rsidP="00866155">
      <w:r>
        <w:rPr>
          <w:rFonts w:cs="Calibri"/>
        </w:rPr>
        <w:t xml:space="preserve">This section provides an overview of the Fire Rescue Service (FRS) within the UK, discussing the institutional context which has shaped and changed the way that the FRS operates and interacts with other agencies over the past 20+ years. This section can be contextualised within the broader context of top-down governmental policy and legal obligations of the FRS, which can be seen as key institutional drivers. </w:t>
      </w:r>
      <w:bookmarkStart w:id="486" w:name="_Toc3183384"/>
    </w:p>
    <w:p w14:paraId="6C4FC1E7" w14:textId="77777777" w:rsidR="00787F73" w:rsidRDefault="00787F73" w:rsidP="00866155">
      <w:pPr>
        <w:rPr>
          <w:rFonts w:cs="Calibri"/>
        </w:rPr>
      </w:pPr>
    </w:p>
    <w:p w14:paraId="4ACEA038" w14:textId="77777777" w:rsidR="00787F73" w:rsidRDefault="00742FB7" w:rsidP="00866155">
      <w:r>
        <w:rPr>
          <w:rFonts w:cs="Calibri"/>
        </w:rPr>
        <w:t>Institutional logics within fire management can influence how organisations operate and adapt to changing demands, such as the increase</w:t>
      </w:r>
      <w:r w:rsidR="00D94552">
        <w:rPr>
          <w:rFonts w:cs="Calibri"/>
        </w:rPr>
        <w:t>d</w:t>
      </w:r>
      <w:r>
        <w:rPr>
          <w:rFonts w:cs="Calibri"/>
        </w:rPr>
        <w:t xml:space="preserve"> threat of disasters from climate change  </w:t>
      </w:r>
      <w:r>
        <w:fldChar w:fldCharType="begin" w:fldLock="1"/>
      </w:r>
      <w:r>
        <w:rPr>
          <w:rFonts w:cs="Calibri"/>
        </w:rPr>
        <w:instrText>ADDIN CSL_CITATION {"citationItems":[{"id":"ITEM-1","itemData":{"DOI":"10.1002/eet.1806","ISSN":"17569338","abstract":"Scholarship around questions of climate change adaptation is increasingly concerned with ideas of transformative adaptation and its governance through critical re-evaluation of beliefs, values and associated institutions. For public policy sectors, the concept of transformative governance brings attention to their capacities for supporting and engaging in such governance. While much adaptation research and practice informs technical and structural understandings of these capacities (e.g., governance arrangements, learning systems and adaptation planning), most of this research (and practice) has ignored less formal, yet equally important dimensions of public administration and governance. Institutional scholarship highlights that dominant norms, beliefs, and philosophical ideas underpin how policy sectors structure their policy responses and engagement in governance. Discursive Institutionalism suggests that examining a sector's dominant discourse can provide insights into these “institutional logics”. This paper therefore argues that understanding a policy sector's institutional logics is a crucial part of working toward enabling transformative governance of adaptation. This argument is developed through a case study of the institutional logics operating in the fire management policy sector of Victoria, Australia, and the potential influence of these logics on that sector's capacities to engage in transformative governance. Findings suggest this sector's institutional logics may currently constrain its capacities to engage in transformative governance and highlight the need for greater attention to socioinstitutional dimensions of public administration to help catalyze transformative governance of (and for) adaptation.","author":[{"dropping-particle":"","family":"Bosomworth","given":"Karyn","non-dropping-particle":"","parse-names":false,"suffix":""}],"container-title":"Environmental Policy and Governance","id":"ITEM-1","issue":"6","issued":{"date-parts":[["2018"]]},"page":"415-425","title":"A discursive–institutional perspective on transformative governance: A case from a fire management policy sector","type":"article-journal","volume":"28"},"uris":["http://www.mendeley.com/documents/?uuid=8fcbef0f-fc3c-4653-aeb2-13d404d551e5"]}],"mendeley":{"formattedCitation":"(Bosomworth, 2018)","plainTextFormattedCitation":"(Bosomworth, 2018)","previouslyFormattedCitation":"(Bosomworth, 2018)"},"properties":{"noteIndex":0},"schema":"https://github.com/citation-style-language/schema/raw/master/csl-citation.json"}</w:instrText>
      </w:r>
      <w:r>
        <w:rPr>
          <w:rFonts w:cs="Calibri"/>
        </w:rPr>
        <w:fldChar w:fldCharType="separate"/>
      </w:r>
      <w:r>
        <w:rPr>
          <w:rFonts w:cs="Calibri"/>
          <w:noProof/>
        </w:rPr>
        <w:t>(Bosomworth, 2018)</w:t>
      </w:r>
      <w:r>
        <w:rPr>
          <w:rFonts w:cs="Calibri"/>
        </w:rPr>
        <w:fldChar w:fldCharType="end"/>
      </w:r>
      <w:r>
        <w:rPr>
          <w:rFonts w:cs="Calibri"/>
        </w:rPr>
        <w:t xml:space="preserve">. Understanding why organisations respond in the ways they do can help organisations to examine potential challenges and barriers to new operational plans. Within the literature, there has been minimal research which examines the institutional logics within FRS in the UK, and this is one way that this thesis contributes to the literature. </w:t>
      </w:r>
    </w:p>
    <w:p w14:paraId="73E5745C" w14:textId="77777777" w:rsidR="00787F73" w:rsidRDefault="00787F73" w:rsidP="00866155">
      <w:pPr>
        <w:rPr>
          <w:rFonts w:cs="Calibri"/>
        </w:rPr>
      </w:pPr>
    </w:p>
    <w:p w14:paraId="44ADDC77" w14:textId="447E7637" w:rsidR="00787F73" w:rsidRDefault="00742FB7" w:rsidP="00866155">
      <w:pPr>
        <w:rPr>
          <w:rFonts w:cs="Calibri"/>
        </w:rPr>
      </w:pPr>
      <w:r>
        <w:rPr>
          <w:rFonts w:cs="Calibri"/>
        </w:rPr>
        <w:lastRenderedPageBreak/>
        <w:t xml:space="preserve">The section draws on two main themes: firstly, the changing institutional logics within the FRS from a traditionally </w:t>
      </w:r>
      <w:r>
        <w:rPr>
          <w:rFonts w:cs="Calibri"/>
          <w:i/>
          <w:iCs/>
        </w:rPr>
        <w:t>reactive</w:t>
      </w:r>
      <w:r>
        <w:rPr>
          <w:rFonts w:cs="Calibri"/>
        </w:rPr>
        <w:t xml:space="preserve"> to a more </w:t>
      </w:r>
      <w:r>
        <w:rPr>
          <w:rFonts w:cs="Calibri"/>
          <w:i/>
          <w:iCs/>
        </w:rPr>
        <w:t>proactive</w:t>
      </w:r>
      <w:r>
        <w:rPr>
          <w:rFonts w:cs="Calibri"/>
        </w:rPr>
        <w:t xml:space="preserve"> approach to emergencies and disasters; and secondly, the changing institutional logics of government through successive neoliberal and new public management political trends, with the notion of shifting responsibility of fire and disaster prevention away from central government to local government, the household, and the individual.</w:t>
      </w:r>
    </w:p>
    <w:p w14:paraId="1D81E4AC" w14:textId="77777777" w:rsidR="0013548C" w:rsidRDefault="0013548C" w:rsidP="00866155"/>
    <w:p w14:paraId="703C4647" w14:textId="77777777" w:rsidR="00787F73" w:rsidRDefault="00742FB7" w:rsidP="00866155">
      <w:pPr>
        <w:pStyle w:val="Heading3"/>
      </w:pPr>
      <w:bookmarkStart w:id="487" w:name="_Toc93336027"/>
      <w:bookmarkStart w:id="488" w:name="_Toc98148369"/>
      <w:bookmarkStart w:id="489" w:name="_Toc140071609"/>
      <w:bookmarkStart w:id="490" w:name="_Toc22633737"/>
      <w:bookmarkStart w:id="491" w:name="_Toc10621106"/>
      <w:bookmarkStart w:id="492" w:name="_Toc153554330"/>
      <w:bookmarkStart w:id="493" w:name="_Toc158823571"/>
      <w:bookmarkStart w:id="494" w:name="_Toc193367212"/>
      <w:r>
        <w:rPr>
          <w:rFonts w:ascii="Calibri" w:hAnsi="Calibri" w:cs="Calibri"/>
        </w:rPr>
        <w:t>2.6.2: Political context of the FRS</w:t>
      </w:r>
      <w:bookmarkEnd w:id="486"/>
      <w:bookmarkEnd w:id="487"/>
      <w:bookmarkEnd w:id="488"/>
      <w:bookmarkEnd w:id="489"/>
      <w:bookmarkEnd w:id="490"/>
      <w:bookmarkEnd w:id="491"/>
      <w:bookmarkEnd w:id="492"/>
      <w:bookmarkEnd w:id="493"/>
      <w:bookmarkEnd w:id="494"/>
    </w:p>
    <w:p w14:paraId="5360F512" w14:textId="77777777" w:rsidR="00787F73" w:rsidRDefault="00742FB7" w:rsidP="00866155">
      <w:r>
        <w:rPr>
          <w:rFonts w:cs="Calibri"/>
        </w:rPr>
        <w:t xml:space="preserve">The FRS has gone through a variety of institutional changes since the Fire Services Act of 1947. This legislation saw the creation of a national fire brigade and focused on the brigade’s role in fighting fires </w:t>
      </w:r>
      <w:r>
        <w:fldChar w:fldCharType="begin" w:fldLock="1"/>
      </w:r>
      <w:r w:rsidR="00974B75">
        <w:rPr>
          <w:rFonts w:cs="Calibri"/>
        </w:rPr>
        <w:instrText>ADDIN CSL_CITATION {"citationItems":[{"id":"ITEM-1","itemData":{"DOI":"10.1080/13549839.2011.583049","ISBN":"1354-9839","ISSN":"13549839","abstract":"The debate on disaster resilience has continued to grow, albeit at a slow pace, since the 2005 World Conference on Disaster Reduction held in Kobe, Hyogo, Japan. One of the most important and striking aspects is that despite the conceptual differences, the resilience and vulnerability paradigms are still locked together and are increasingly being treated as if they are one and the same. The reason for this is not a difficult one. Resilience and vulnerability are viewed as opposite sides of the same coin (Twigg 2007). However, the notion of “bounce back” differentiates resilience from vulnerability. The “bounce back” notion is important to the extent that it liberates resilience from the vulnerability conun- drum. Yet, the “bounce back” notion does not seem to acknowledge that disasters are accompanied by change. This paper posits that resilience should be viewed as the ability to “bounce forward” and “move on” following a disaster (Manyena 2009). Three arguments are presented in this paper. First, the “bounce forward” ability conceptualisation of resilience has implications on disaster research and scholarship. It helps us to re-think about the underlying philoso- phical arguments, particularly those around structure and agency. Secondly, resilience has temporal and continuity elements, which have implications for pre- and post-disaster planning, including community continuity recovery planning. Lastly, the “bounce forward” conception has psychological implications. It is optimistic, with a potential of assisting disaster victims and service providers to adopt positive behaviour changes prior to and after the disaster.","author":[{"dropping-particle":"","family":"Manyena","given":"Bernard","non-dropping-particle":"","parse-names":false,"suffix":""},{"dropping-particle":"","family":"O'Brien","given":"Geoff","non-dropping-particle":"","parse-names":false,"suffix":""},{"dropping-particle":"","family":"O'Keefe","given":"Phil","non-dropping-particle":"","parse-names":false,"suffix":""},{"dropping-particle":"","family":"Rose","given":"Joanne","non-dropping-particle":"","parse-names":false,"suffix":""}],"container-title":"Local Environment","id":"ITEM-1","issue":"6","issued":{"date-parts":[["2011"]]},"page":"1 - 9","title":"Disaster resilience: A bounce back or bounce forward ability?","type":"article-journal","volume":"16"},"uris":["http://www.mendeley.com/documents/?uuid=d6481741-d391-48db-a1f1-f3427e9d1b1e"]},{"id":"ITEM-2","itemData":{"author":[{"dropping-particle":"","family":"UK Government","given":"","non-dropping-particle":"","parse-names":false,"suffix":""}],"id":"ITEM-2","issued":{"date-parts":[["1947"]]},"publisher":"UK Government","title":"Fire services act 1984","type":"bill"},"uris":["http://www.mendeley.com/documents/?uuid=cadc96fb-6043-4129-881d-6251bdd15ce1"]}],"mendeley":{"formattedCitation":"(Manyena et al., 2011; UK Government, 1947)","plainTextFormattedCitation":"(Manyena et al., 2011; UK Government, 1947)","previouslyFormattedCitation":"(Manyena et al., 2011; UK Government, 1947)"},"properties":{"noteIndex":0},"schema":"https://github.com/citation-style-language/schema/raw/master/csl-citation.json"}</w:instrText>
      </w:r>
      <w:r>
        <w:rPr>
          <w:rFonts w:cs="Calibri"/>
        </w:rPr>
        <w:fldChar w:fldCharType="separate"/>
      </w:r>
      <w:r>
        <w:rPr>
          <w:rFonts w:cs="Calibri"/>
          <w:noProof/>
        </w:rPr>
        <w:t>(Manyena et al., 2011; UK Government, 1947)</w:t>
      </w:r>
      <w:r>
        <w:rPr>
          <w:rFonts w:cs="Calibri"/>
        </w:rPr>
        <w:fldChar w:fldCharType="end"/>
      </w:r>
      <w:r>
        <w:rPr>
          <w:rFonts w:cs="Calibri"/>
        </w:rPr>
        <w:t xml:space="preserve">. Since 1947, the FRS has been linked to the institutional logics of central government and the political parties. One of these shifts in politics and therefore institutional logics was through the New Labour government (1999 – 2010) where a variety of white papers and acts aimed to improve public service for citizens, including the </w:t>
      </w:r>
      <w:r>
        <w:rPr>
          <w:rFonts w:cs="Calibri"/>
          <w:i/>
          <w:iCs/>
        </w:rPr>
        <w:t>Modernising Government</w:t>
      </w:r>
      <w:r>
        <w:rPr>
          <w:rFonts w:cs="Calibri"/>
        </w:rPr>
        <w:t xml:space="preserve"> white paper (1999) which focused on </w:t>
      </w:r>
      <w:r>
        <w:rPr>
          <w:rFonts w:cs="Calibri"/>
          <w:i/>
          <w:iCs/>
        </w:rPr>
        <w:t xml:space="preserve">best value. </w:t>
      </w:r>
      <w:r>
        <w:rPr>
          <w:rFonts w:cs="Calibri"/>
        </w:rPr>
        <w:t>The concept of</w:t>
      </w:r>
      <w:r>
        <w:rPr>
          <w:rFonts w:cs="Calibri"/>
          <w:iCs/>
        </w:rPr>
        <w:t xml:space="preserve"> </w:t>
      </w:r>
      <w:r>
        <w:rPr>
          <w:rFonts w:cs="Calibri"/>
          <w:i/>
        </w:rPr>
        <w:t>best value</w:t>
      </w:r>
      <w:r>
        <w:rPr>
          <w:rFonts w:cs="Calibri"/>
          <w:iCs/>
        </w:rPr>
        <w:t xml:space="preserve"> w</w:t>
      </w:r>
      <w:r>
        <w:rPr>
          <w:rFonts w:cs="Calibri"/>
        </w:rPr>
        <w:t xml:space="preserve">as used as a method to monitor local governmental services and to ensure that the money was being spent in the most efficient way, increasing the accountability in local governmental services </w:t>
      </w:r>
      <w:r>
        <w:fldChar w:fldCharType="begin" w:fldLock="1"/>
      </w:r>
      <w:r w:rsidR="00974B75">
        <w:rPr>
          <w:rFonts w:cs="Calibri"/>
        </w:rPr>
        <w:instrText>ADDIN CSL_CITATION {"citationItems":[{"id":"ITEM-1","itemData":{"DOI":"10.1080/09540962.2013.785711","ISSN":"09540962","author":[{"dropping-particle":"","family":"Murphy","given":"Pete","non-dropping-particle":"","parse-names":false,"suffix":""},{"dropping-particle":"","family":"Greenhalgh","given":"Kirsten","non-dropping-particle":"","parse-names":false,"suffix":""}],"container-title":"Public Money and Management","id":"ITEM-1","issue":"3","issued":{"date-parts":[["2013"]]},"page":"225-232","title":"Performance management in fire and rescue services","type":"article-journal","volume":"33"},"uris":["http://www.mendeley.com/documents/?uuid=7fd3a239-aac1-4955-beef-211a7c49f758"]},{"id":"ITEM-2","itemData":{"DOI":"10.1108/00483480510623457","ISBN":"0951355061065","ISSN":"00483486","PMID":"214799068","abstract":"Purpose - The underpinning assumption in the adoption of 360 degrees\\nfeedback is that it heightens an individual's self-awareness by\\nhighlighting differences between how participants see themselves and how\\nothers see them. This statement implies that awareness motivates\\ndevelopment and improves performance. This paper critically examines the\\nintroduction of 360 degrees feedback in the civil service, drawing on\\nthe experiences of the Patent Office and taking account of the wider\\ncontext of civil service modernisation.\\nDesign/methodology/approach - The case study gathered data through a\\nseries of interviews and questionnaires. It sought the perceptions and\\nexperiences of management and participants in relation to the\\nimplementation process and the outcomes of the scheme.\\nFindings - At an organisational level the use of 360 degrees feedback,\\nas a performance management tool, failed to develop the self-awareness\\nanticipated. Neither was it found to be aligned with other development\\nplans or the organisation's core competencies. At an individual level\\nsome participants believed that they achieved little from the process\\noverall and this may be related to an expectation that the\\norganisation's HRM system would be more proactive in planning\\ndevelopment action on their behalf.\\nPractical implications - This research reflects the situation in one\\norganisation. It is argued that the findings will have relevance for the\\nwider civil service as the agenda for organisational efficiency, target\\nsetting, and performance improvement gathers momentum.\\nOriginality/value - This paper takes a critical perspective on whether\\nHR developments such as 360 degrees feedback have a deep-seated\\nstrategic rationale. It also explores the relationship between 360\\ndegrees feedback and the new public management.","author":[{"dropping-particle":"","family":"Fitzgerald","given":"Ian","non-dropping-particle":"","parse-names":false,"suffix":""}],"container-title":"Personnel Review","id":"ITEM-2","issue":"6","issued":{"date-parts":[["2005"]]},"page":"648 - 662","title":"\"The death of corporatism? Managing change in the fire service\"","type":"article-journal","volume":"34"},"uris":["http://www.mendeley.com/documents/?uuid=603ab24f-932a-4888-8fa4-bf1c0503325a"]},{"id":"ITEM-3","itemData":{"DOI":"10.1111/1467-8500.12294","ISSN":"14678500","abstract":"© 2017 Institute of Public Administration Australia Can public sector reform change service performance for the better? This is a hotly contested debate that carries significant theoretical and practical importance. In England, as in many countries, modernisation was at the heart of local government reform and represented an interpretation of New Public Management into a policy framework. This paper examines the role of the modernisation change agenda in England and what this has subsequently meant for ‘service improvement’. Drawing on both document analyses and qualitative interviews with local government employees, we find that while modernisation sought to establish continuous improvement, unintended consequences of modernisation have led to Staff Reductions, Skill Deficiencies, and Loss of a Competent Middle Core in local government, as well as performance outcomes creating an environment for Commissioning, Service Reduction, and Self-Policing. Implications for the lasting roles and behaviours of public managers affected by this national change agenda are discussed, and conclusions for theory and practice are drawn.","author":[{"dropping-particle":"","family":"Glennon","given":"Russ","non-dropping-particle":"","parse-names":false,"suffix":""},{"dropping-particle":"","family":"Hodgkinson","given":"Ian","non-dropping-particle":"","parse-names":false,"suffix":""},{"dropping-particle":"","family":"Knowles","given":"Joanne","non-dropping-particle":"","parse-names":false,"suffix":""},{"dropping-particle":"","family":"Radnor","given":"Zoe","non-dropping-particle":"","parse-names":false,"suffix":""},{"dropping-particle":"","family":"Bateman","given":"Nicola","non-dropping-particle":"","parse-names":false,"suffix":""}],"container-title":"Australian Journal of Public Administration","id":"ITEM-3","issue":"2","issued":{"date-parts":[["2018"]]},"page":"203-221","title":"Public Sector ‘Modernisation’: Examining the Impact of a Change Agenda on Local Government Employees in England","type":"article-journal","volume":"77"},"uris":["http://www.mendeley.com/documents/?uuid=e7df1ba9-968e-46cd-86ba-0211fbf87008"]},{"id":"ITEM-4","itemData":{"author":[{"dropping-particle":"","family":"Glennon","given":"Russell James","non-dropping-particle":"","parse-names":false,"suffix":""}],"container-title":"Loughborough University Institutional Repository","id":"ITEM-4","issued":{"date-parts":[["2017"]]},"number-of-pages":"1 - 332","publisher":"Loughborough University","title":"The ‘death of improvement’: An exploration of the legacy of performance and service improvement reform in English local authorities, 1997-2017","type":"thesis"},"uris":["http://www.mendeley.com/documents/?uuid=945e9b9e-b107-4207-bbc7-e9116d15b022"]},{"id":"ITEM-5","itemData":{"DOI":"10.1007/978-3-319-62155-5_2","ISBN":"9783319621555","author":[{"dropping-particle":"","family":"Murphy","given":"Peter","non-dropping-particle":"","parse-names":false,"suffix":""},{"dropping-particle":"","family":"Greenhalgh","given":"Kirsten","non-dropping-particle":"","parse-names":false,"suffix":""}],"chapter-number":"2","container-title":"Fire and Rescue Services: Leadership and Management Perspectives","editor":[{"dropping-particle":"","family":"Murphy","given":"Peter","non-dropping-particle":"","parse-names":false,"suffix":""},{"dropping-particle":"","family":"Greenhalgh","given":"Kirsten","non-dropping-particle":"","parse-names":false,"suffix":""}],"id":"ITEM-5","issued":{"date-parts":[["2018"]]},"page":"9-26","publisher":"Springer","publisher-place":"Nottingham","title":"The Gathering Storm: Modernisation, local alignment and collaboration. Fire and rescue services under the early new labour administrations from 1997 to 2005","type":"chapter"},"uris":["http://www.mendeley.com/documents/?uuid=80233f35-d817-4ac8-8726-9234d824212b"]},{"id":"ITEM-6","itemData":{"DOI":"10.1080/14036096.2014.947172","ISSN":"16512278","abstract":"The idea of the ?Big Society? can be seen as culmination of a long-standing debate about the regulation of welfare. Situating the concept within governance theory, the article considers how the UK coalition government has justified a radical restructuring of welfare provision, and considers its implications for housing provision. Although drawing on earlier modernization processes, the article contends that the genesis for welfare reform was based on an analysis that the government was forced to respond to a unique conjunction of crises: in morality, the state, ideology and economics. The government has therefore embarked upon a programme, which has served to undermine the legitimacy of the social housing sector (most notably in England), with detrimental consequences for residents and raising significant dilemmas for those working in the housing sector.; AbstractThe idea of the ?Big Society? can be seen as culmination of a long-standing debate about the regulation of welfare. Situating the concept within governance theory, the article considers how the UK coalition government has justified a radical restructuring of welfare provision, and considers its implications for housing provision. Although drawing on earlier modernization processes, the article contends that the genesis for welfare reform was based on an analysis that the government was forced to respond to a unique conjunction of crises: in morality, the state, ideology and economics. The government has therefore embarked upon a programme, which has served to undermine the legitimacy of the social housing sector (most notably in England), with detrimental consequences for residents and raising significant dilemmas for those working in the housing sector.","author":[{"dropping-particle":"","family":"Manzi","given":"Tony","non-dropping-particle":"","parse-names":false,"suffix":""}],"container-title":"Housing, Theory and Society","id":"ITEM-6","issue":"1","issued":{"date-parts":[["2015"]]},"page":"9-24","title":"The Big Society and the Conjunction of Crises: Justifying Welfare Reform and Undermining Social Housing","type":"article-journal","volume":"32"},"uris":["http://www.mendeley.com/documents/?uuid=54074936-5fa6-42f8-ac44-ebb2c5ffaf32"]},{"id":"ITEM-7","itemData":{"DOI":"10.1093/milmed/157.7.a3a","ISBN":"9781032055435","ISSN":"00264075","PMID":"1528462","author":[{"dropping-particle":"","family":"Wankhade","given":"Paresh","non-dropping-particle":"","parse-names":false,"suffix":""},{"dropping-particle":"","family":"Murphy","given":"Peter","non-dropping-particle":"","parse-names":false,"suffix":""}],"edition":"First","id":"ITEM-7","issued":{"date-parts":[["2023"]]},"publisher":"Routledge","publisher-place":"Abingdon","title":"Emergency services management course: A research Overview","type":"book"},"uris":["http://www.mendeley.com/documents/?uuid=c441c885-3108-4c7e-9d3e-4346bac85c65"]}],"mendeley":{"formattedCitation":"(Wankhade &amp; Murphy, 2023; Glennon et al., 2018; Murphy &amp; Greenhalgh, 2013, 2018; Glennon, 2017; Manzi, 2015; Fitzgerald, 2005)","plainTextFormattedCitation":"(Wankhade &amp; Murphy, 2023; Glennon et al., 2018; Murphy &amp; Greenhalgh, 2013, 2018; Glennon, 2017; Manzi, 2015; Fitzgerald, 2005)","previouslyFormattedCitation":"(Wankhade &amp; Murphy, 2023; Glennon et al., 2018; Murphy &amp; Greenhalgh, 2013, 2018; Glennon, 2017; Manzi, 2015; Fitzgerald, 2005)"},"properties":{"noteIndex":0},"schema":"https://github.com/citation-style-language/schema/raw/master/csl-citation.json"}</w:instrText>
      </w:r>
      <w:r>
        <w:rPr>
          <w:rFonts w:cs="Calibri"/>
        </w:rPr>
        <w:fldChar w:fldCharType="separate"/>
      </w:r>
      <w:r>
        <w:rPr>
          <w:rFonts w:cs="Calibri"/>
          <w:noProof/>
        </w:rPr>
        <w:t>(Wankhade &amp; Murphy, 2023; Glennon et al., 2018; Murphy &amp; Greenhalgh, 2013, 2018; Glennon, 2017; Manzi, 2015; Fitzgerald, 2005)</w:t>
      </w:r>
      <w:r>
        <w:rPr>
          <w:rFonts w:cs="Calibri"/>
        </w:rPr>
        <w:fldChar w:fldCharType="end"/>
      </w:r>
      <w:r>
        <w:rPr>
          <w:rFonts w:cs="Calibri"/>
        </w:rPr>
        <w:t xml:space="preserve">. This was seen as a wider focus on New Public Management (NPM), linked to neoliberal ideals. </w:t>
      </w:r>
    </w:p>
    <w:p w14:paraId="49A6A74E" w14:textId="77777777" w:rsidR="00787F73" w:rsidRDefault="00787F73" w:rsidP="00866155">
      <w:pPr>
        <w:pStyle w:val="Heading4"/>
        <w:spacing w:line="360" w:lineRule="auto"/>
        <w:rPr>
          <w:rFonts w:ascii="Calibri" w:hAnsi="Calibri" w:cs="Calibri"/>
        </w:rPr>
      </w:pPr>
    </w:p>
    <w:p w14:paraId="196D272B" w14:textId="77777777" w:rsidR="00787F73" w:rsidRDefault="00742FB7" w:rsidP="00866155">
      <w:pPr>
        <w:pStyle w:val="Heading4"/>
        <w:spacing w:line="360" w:lineRule="auto"/>
      </w:pPr>
      <w:r>
        <w:rPr>
          <w:rFonts w:ascii="Calibri" w:hAnsi="Calibri" w:cs="Calibri"/>
        </w:rPr>
        <w:t>New Public Management</w:t>
      </w:r>
    </w:p>
    <w:p w14:paraId="0B844935" w14:textId="38689AEE" w:rsidR="00787F73" w:rsidRDefault="00742FB7" w:rsidP="00866155">
      <w:r>
        <w:rPr>
          <w:rFonts w:cs="Calibri"/>
        </w:rPr>
        <w:t xml:space="preserve">New Public Management (NPM) started in the 1980s and was aimed at improving the perceived inefficiencies of public sector organisations by adopting strategy and management approaches from the private sector </w:t>
      </w:r>
      <w:r>
        <w:fldChar w:fldCharType="begin" w:fldLock="1"/>
      </w:r>
      <w:r w:rsidR="00974B75">
        <w:rPr>
          <w:rFonts w:cs="Calibri"/>
        </w:rPr>
        <w:instrText>ADDIN CSL_CITATION {"citationItems":[{"id":"ITEM-1","itemData":{"DOI":"http://dx.doi.org/10.1108/MRR-09-2015-0216","ISBN":"0001253111116","ISSN":"0264-0473","PMID":"42012058","abstract":"Abstract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Journal","id":"ITEM-1","issue":"1/2","issued":{"date-parts":[["2019"]]},"page":"134-151","title":"The impact of new public management through outsourcing on the management of government information: The case of Sweden","type":"article-journal","volume":"29"},"uris":["http://www.mendeley.com/documents/?uuid=4524732a-155c-4c93-922f-cd3a912b45c2"]},{"id":"ITEM-2","itemData":{"DOI":"10.1177/1440783309346472","ISSN":"17412978","author":[{"dropping-particle":"","family":"Connell","given":"Raewyn","non-dropping-particle":"","parse-names":false,"suffix":""},{"dropping-particle":"","family":"Fawcett","given":"Barbara","non-dropping-particle":"","parse-names":false,"suffix":""},{"dropping-particle":"","family":"Meagher","given":"Gabrielle","non-dropping-particle":"","parse-names":false,"suffix":""}],"container-title":"Journal of Sociology","id":"ITEM-2","issue":"4","issued":{"date-parts":[["2009"]]},"page":"331-338","title":"Neoliberalism, new public management and the human service professions","type":"article-journal","volume":"45"},"uris":["http://www.mendeley.com/documents/?uuid=2eaf93b2-17b1-4a88-9a1e-3eb392d9d30f"]},{"id":"ITEM-3","itemData":{"DOI":"10.1016/0361-3682(93)E0001-W","ISSN":"03613682","abstract":"Changes in public sector accounting in a number of OECD countries over the 1980s were central to the rise of the \"New Public Management\" (NPM) and its associated doctrines of public accountability and organizational best practice. This paper discusses the rise of NPM as an alternative to the tradition of public accountability embodied in progressive-era public administration ideas. It argues that, in spite of allegations of internationalization and the adoption of a new global paradigm in public management, there was considerable variation in the extent to which different OECD countries adopted NPM over the 1980s. It further argues that conventional explanations of the rise of NPM (\"Englishness\", party political incumbency, economic performance record and government size) seem hard to sustain even from a relatively brief inspection of such cross-national data as are available, and that an explanation based on initial endowment may give us a different perspective on those changes. © 1995.","author":[{"dropping-particle":"","family":"Hood","given":"Christopher","non-dropping-particle":"","parse-names":false,"suffix":""}],"container-title":"Accounting, Organizations and Society","id":"ITEM-3","issue":"2/3","issued":{"date-parts":[["1995"]]},"page":"93-109","title":"The \"New Public Management\" in the 1980s: Variations on a theme","type":"article-journal","volume":"20"},"uris":["http://www.mendeley.com/documents/?uuid=7c2fc97b-7560-4c74-9a7c-9a0f44e73949"]},{"id":"ITEM-4","itemData":{"DOI":"10.1002/eet.1806","ISSN":"17569338","abstract":"Scholarship around questions of climate change adaptation is increasingly concerned with ideas of transformative adaptation and its governance through critical re-evaluation of beliefs, values and associated institutions. For public policy sectors, the concept of transformative governance brings attention to their capacities for supporting and engaging in such governance. While much adaptation research and practice informs technical and structural understandings of these capacities (e.g., governance arrangements, learning systems and adaptation planning), most of this research (and practice) has ignored less formal, yet equally important dimensions of public administration and governance. Institutional scholarship highlights that dominant norms, beliefs, and philosophical ideas underpin how policy sectors structure their policy responses and engagement in governance. Discursive Institutionalism suggests that examining a sector's dominant discourse can provide insights into these “institutional logics”. This paper therefore argues that understanding a policy sector's institutional logics is a crucial part of working toward enabling transformative governance of adaptation. This argument is developed through a case study of the institutional logics operating in the fire management policy sector of Victoria, Australia, and the potential influence of these logics on that sector's capacities to engage in transformative governance. Findings suggest this sector's institutional logics may currently constrain its capacities to engage in transformative governance and highlight the need for greater attention to socioinstitutional dimensions of public administration to help catalyze transformative governance of (and for) adaptation.","author":[{"dropping-particle":"","family":"Bosomworth","given":"Karyn","non-dropping-particle":"","parse-names":false,"suffix":""}],"container-title":"Environmental Policy and Governance","id":"ITEM-4","issue":"6","issued":{"date-parts":[["2018"]]},"page":"415-425","title":"A discursive–institutional perspective on transformative governance: A case from a fire management policy sector","type":"article-journal","volume":"28"},"uris":["http://www.mendeley.com/documents/?uuid=8fcbef0f-fc3c-4653-aeb2-13d404d551e5"]},{"id":"ITEM-5","itemData":{"DOI":"10.1093/milmed/157.7.a3a","ISBN":"9781032055435","ISSN":"00264075","PMID":"1528462","author":[{"dropping-particle":"","family":"Wankhade","given":"Paresh","non-dropping-particle":"","parse-names":false,"suffix":""},{"dropping-particle":"","family":"Murphy","given":"Peter","non-dropping-particle":"","parse-names":false,"suffix":""}],"edition":"First","id":"ITEM-5","issued":{"date-parts":[["2023"]]},"publisher":"Routledge","publisher-place":"Abingdon","title":"Emergency services management course: A research Overview","type":"book"},"uris":["http://www.mendeley.com/documents/?uuid=c441c885-3108-4c7e-9d3e-4346bac85c65"]}],"mendeley":{"formattedCitation":"(Wankhade &amp; Murphy, 2023; Svärd, 2019; Bosomworth, 2018; Connell, Fawcett, &amp; Meagher, 2009; Hood, 1995)","plainTextFormattedCitation":"(Wankhade &amp; Murphy, 2023; Svärd, 2019; Bosomworth, 2018; Connell, Fawcett, &amp; Meagher, 2009; Hood, 1995)","previouslyFormattedCitation":"(Wankhade &amp; Murphy, 2023; Svärd, 2019; Bosomworth, 2018; Connell, Fawcett, &amp; Meagher, 2009; Hood, 1995)"},"properties":{"noteIndex":0},"schema":"https://github.com/citation-style-language/schema/raw/master/csl-citation.json"}</w:instrText>
      </w:r>
      <w:r>
        <w:rPr>
          <w:rFonts w:cs="Calibri"/>
        </w:rPr>
        <w:fldChar w:fldCharType="separate"/>
      </w:r>
      <w:r>
        <w:rPr>
          <w:rFonts w:cs="Calibri"/>
          <w:noProof/>
        </w:rPr>
        <w:t>(Wankhade &amp; Murphy, 2023; Svärd, 2019; Bosomworth, 2018; Connell, Fawcett, &amp; Meagher, 2009; Hood, 1995)</w:t>
      </w:r>
      <w:r>
        <w:rPr>
          <w:rFonts w:cs="Calibri"/>
        </w:rPr>
        <w:fldChar w:fldCharType="end"/>
      </w:r>
      <w:r>
        <w:rPr>
          <w:rFonts w:cs="Calibri"/>
        </w:rPr>
        <w:t xml:space="preserve">. NPM can be seen as part of a wider neoliberal agenda, mirroring the free market approach </w:t>
      </w:r>
      <w:r>
        <w:fldChar w:fldCharType="begin" w:fldLock="1"/>
      </w:r>
      <w:r>
        <w:rPr>
          <w:rFonts w:cs="Calibri"/>
        </w:rPr>
        <w:instrText>ADDIN CSL_CITATION {"citationItems":[{"id":"ITEM-1","itemData":{"DOI":"10.1177/1440783309346472","ISSN":"17412978","author":[{"dropping-particle":"","family":"Connell","given":"Raewyn","non-dropping-particle":"","parse-names":false,"suffix":""},{"dropping-particle":"","family":"Fawcett","given":"Barbara","non-dropping-particle":"","parse-names":false,"suffix":""},{"dropping-particle":"","family":"Meagher","given":"Gabrielle","non-dropping-particle":"","parse-names":false,"suffix":""}],"container-title":"Journal of Sociology","id":"ITEM-1","issue":"4","issued":{"date-parts":[["2009"]]},"page":"331-338","title":"Neoliberalism, new public management and the human service professions","type":"article-journal","volume":"45"},"uris":["http://www.mendeley.com/documents/?uuid=2eaf93b2-17b1-4a88-9a1e-3eb392d9d30f"]}],"mendeley":{"formattedCitation":"(Connell, Fawcett, &amp; Meagher, 2009)","plainTextFormattedCitation":"(Connell, Fawcett, &amp; Meagher, 2009)","previouslyFormattedCitation":"(Connell, Fawcett, &amp; Meagher, 2009)"},"properties":{"noteIndex":0},"schema":"https://github.com/citation-style-language/schema/raw/master/csl-citation.json"}</w:instrText>
      </w:r>
      <w:r>
        <w:rPr>
          <w:rFonts w:cs="Calibri"/>
        </w:rPr>
        <w:fldChar w:fldCharType="separate"/>
      </w:r>
      <w:r>
        <w:rPr>
          <w:rFonts w:cs="Calibri"/>
          <w:noProof/>
        </w:rPr>
        <w:t>(Connell, Fawcett, &amp; Meagher, 2009)</w:t>
      </w:r>
      <w:r>
        <w:rPr>
          <w:rFonts w:cs="Calibri"/>
        </w:rPr>
        <w:fldChar w:fldCharType="end"/>
      </w:r>
      <w:r>
        <w:rPr>
          <w:rFonts w:cs="Calibri"/>
        </w:rPr>
        <w:t xml:space="preserve">; </w:t>
      </w:r>
      <w:r w:rsidR="00C84401">
        <w:rPr>
          <w:rFonts w:cs="Calibri"/>
        </w:rPr>
        <w:t xml:space="preserve">while </w:t>
      </w:r>
      <w:r>
        <w:rPr>
          <w:rFonts w:cs="Calibri"/>
        </w:rPr>
        <w:t xml:space="preserve">some authors disagree with the link between NPM and neoliberalism </w:t>
      </w:r>
      <w:r>
        <w:fldChar w:fldCharType="begin" w:fldLock="1"/>
      </w:r>
      <w:r>
        <w:rPr>
          <w:rFonts w:cs="Calibri"/>
        </w:rPr>
        <w:instrText>ADDIN CSL_CITATION {"citationItems":[{"id":"ITEM-1","itemData":{"DOI":"10.1080/09692290.2019.1625425","ISSN":"14664526","abstract":"There is a rich literature on the emergence of new public management in the 1980s yet surprisingly little about the historical and social lineages of this movement. The scholarship on public management generally suggests that it was born out of the neoliberal critique of the state. The public sector would have thus borrowed corporate practices concerned with performance in order to instil market-like competition and make efficiency gains. This article challenges this reading by showing that concerns with performance management emerged instead from new planning technologies developed in the US military sector. I argue that these planning practices, initially developed at the RAND corporation, would radically transform governance by changing the way in which decision makers consider data about performance and use it to develop strategies or policies. I then explore the impact of this new approach on both corporate and public governance. I show how these ideas were translated for business studies and public administration in order to radically transform both fields and ‘make them more scientific’. As I show, this process contributed directly to the rise of what became called public management and provided new planning tools that radically transformed how we think about governance.","author":[{"dropping-particle":"","family":"Knafo","given":"Samuel","non-dropping-particle":"","parse-names":false,"suffix":""}],"container-title":"Review of International Political Economy","id":"ITEM-1","issue":"4","issued":{"date-parts":[["2020"]]},"page":"780-801","title":"Neoliberalism and the origins of public management","type":"article-journal","volume":"27"},"uris":["http://www.mendeley.com/documents/?uuid=c759c933-45ed-4912-89a8-66773b1ed800"]}],"mendeley":{"formattedCitation":"(Knafo, 2020)","plainTextFormattedCitation":"(Knafo, 2020)","previouslyFormattedCitation":"(Knafo, 2020)"},"properties":{"noteIndex":0},"schema":"https://github.com/citation-style-language/schema/raw/master/csl-citation.json"}</w:instrText>
      </w:r>
      <w:r>
        <w:rPr>
          <w:rFonts w:cs="Calibri"/>
        </w:rPr>
        <w:fldChar w:fldCharType="separate"/>
      </w:r>
      <w:r>
        <w:rPr>
          <w:rFonts w:cs="Calibri"/>
          <w:noProof/>
        </w:rPr>
        <w:t>(Knafo, 2020)</w:t>
      </w:r>
      <w:r>
        <w:rPr>
          <w:rFonts w:cs="Calibri"/>
        </w:rPr>
        <w:fldChar w:fldCharType="end"/>
      </w:r>
      <w:r>
        <w:rPr>
          <w:rFonts w:cs="Calibri"/>
        </w:rPr>
        <w:t>, the important element to consider is the shifting strategy and management practices in public sector organisations</w:t>
      </w:r>
      <w:r w:rsidR="007873EF">
        <w:rPr>
          <w:rFonts w:cs="Calibri"/>
        </w:rPr>
        <w:t>. This</w:t>
      </w:r>
      <w:r>
        <w:rPr>
          <w:rFonts w:cs="Calibri"/>
        </w:rPr>
        <w:t xml:space="preserve"> influenc</w:t>
      </w:r>
      <w:r w:rsidR="007873EF">
        <w:rPr>
          <w:rFonts w:cs="Calibri"/>
        </w:rPr>
        <w:t xml:space="preserve">es </w:t>
      </w:r>
      <w:r>
        <w:rPr>
          <w:rFonts w:cs="Calibri"/>
        </w:rPr>
        <w:t xml:space="preserve">how they are run and how the </w:t>
      </w:r>
      <w:r>
        <w:rPr>
          <w:rFonts w:cs="Calibri"/>
        </w:rPr>
        <w:lastRenderedPageBreak/>
        <w:t xml:space="preserve">services are provided for the user, which have their roots in increased competition and the use of profit making, and market driven logics </w:t>
      </w:r>
      <w:r>
        <w:fldChar w:fldCharType="begin" w:fldLock="1"/>
      </w:r>
      <w:r>
        <w:rPr>
          <w:rFonts w:cs="Calibri"/>
        </w:rPr>
        <w:instrText>ADDIN CSL_CITATION {"citationItems":[{"id":"ITEM-1","itemData":{"DOI":"10.1177/1440783309346472","ISSN":"17412978","author":[{"dropping-particle":"","family":"Connell","given":"Raewyn","non-dropping-particle":"","parse-names":false,"suffix":""},{"dropping-particle":"","family":"Fawcett","given":"Barbara","non-dropping-particle":"","parse-names":false,"suffix":""},{"dropping-particle":"","family":"Meagher","given":"Gabrielle","non-dropping-particle":"","parse-names":false,"suffix":""}],"container-title":"Journal of Sociology","id":"ITEM-1","issue":"4","issued":{"date-parts":[["2009"]]},"page":"331-338","title":"Neoliberalism, new public management and the human service professions","type":"article-journal","volume":"45"},"uris":["http://www.mendeley.com/documents/?uuid=2eaf93b2-17b1-4a88-9a1e-3eb392d9d30f"]}],"mendeley":{"formattedCitation":"(Connell, Fawcett, &amp; Meagher, 2009)","plainTextFormattedCitation":"(Connell, Fawcett, &amp; Meagher, 2009)","previouslyFormattedCitation":"(Connell, Fawcett, &amp; Meagher, 2009)"},"properties":{"noteIndex":0},"schema":"https://github.com/citation-style-language/schema/raw/master/csl-citation.json"}</w:instrText>
      </w:r>
      <w:r>
        <w:rPr>
          <w:rFonts w:cs="Calibri"/>
        </w:rPr>
        <w:fldChar w:fldCharType="separate"/>
      </w:r>
      <w:r>
        <w:rPr>
          <w:rFonts w:cs="Calibri"/>
          <w:noProof/>
        </w:rPr>
        <w:t>(Connell, Fawcett, &amp; Meagher, 2009)</w:t>
      </w:r>
      <w:r>
        <w:rPr>
          <w:rFonts w:cs="Calibri"/>
        </w:rPr>
        <w:fldChar w:fldCharType="end"/>
      </w:r>
      <w:r>
        <w:rPr>
          <w:rFonts w:cs="Calibri"/>
        </w:rPr>
        <w:t>.</w:t>
      </w:r>
    </w:p>
    <w:p w14:paraId="6CF92CA6" w14:textId="77777777" w:rsidR="00787F73" w:rsidRDefault="00787F73" w:rsidP="00866155">
      <w:pPr>
        <w:rPr>
          <w:rFonts w:cs="Calibri"/>
        </w:rPr>
      </w:pPr>
    </w:p>
    <w:p w14:paraId="2E32D790" w14:textId="77777777" w:rsidR="00787F73" w:rsidRDefault="00742FB7" w:rsidP="00866155">
      <w:r>
        <w:rPr>
          <w:rFonts w:cs="Calibri"/>
        </w:rPr>
        <w:t xml:space="preserve">It is suggested that there are seven elements to NPM: disaggregation of public organisation; competition between public and private sector organisations; increased use of private corporate management practices; focus on parsimony in resource use; increased hands on management; increased performance management measurements; and an aim for organisations to regulate themselves according to pre-determined measures </w:t>
      </w:r>
      <w:r>
        <w:fldChar w:fldCharType="begin" w:fldLock="1"/>
      </w:r>
      <w:r w:rsidR="00974B75">
        <w:rPr>
          <w:rFonts w:cs="Calibri"/>
        </w:rPr>
        <w:instrText>ADDIN CSL_CITATION {"citationItems":[{"id":"ITEM-1","itemData":{"DOI":"http://dx.doi.org/10.1108/MRR-09-2015-0216","ISBN":"0001253111116","ISSN":"0264-0473","PMID":"42012058","abstract":"Abstract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Journal","id":"ITEM-1","issue":"1/2","issued":{"date-parts":[["2019"]]},"page":"134-151","title":"The impact of new public management through outsourcing on the management of government information: The case of Sweden","type":"article-journal","volume":"29"},"uris":["http://www.mendeley.com/documents/?uuid=4524732a-155c-4c93-922f-cd3a912b45c2"]},{"id":"ITEM-2","itemData":{"DOI":"10.1016/0361-3682(93)E0001-W","ISSN":"03613682","abstract":"Changes in public sector accounting in a number of OECD countries over the 1980s were central to the rise of the \"New Public Management\" (NPM) and its associated doctrines of public accountability and organizational best practice. This paper discusses the rise of NPM as an alternative to the tradition of public accountability embodied in progressive-era public administration ideas. It argues that, in spite of allegations of internationalization and the adoption of a new global paradigm in public management, there was considerable variation in the extent to which different OECD countries adopted NPM over the 1980s. It further argues that conventional explanations of the rise of NPM (\"Englishness\", party political incumbency, economic performance record and government size) seem hard to sustain even from a relatively brief inspection of such cross-national data as are available, and that an explanation based on initial endowment may give us a different perspective on those changes. © 1995.","author":[{"dropping-particle":"","family":"Hood","given":"Christopher","non-dropping-particle":"","parse-names":false,"suffix":""}],"container-title":"Accounting, Organizations and Society","id":"ITEM-2","issue":"2/3","issued":{"date-parts":[["1995"]]},"page":"93-109","title":"The \"New Public Management\" in the 1980s: Variations on a theme","type":"article-journal","volume":"20"},"uris":["http://www.mendeley.com/documents/?uuid=7c2fc97b-7560-4c74-9a7c-9a0f44e73949"]}],"mendeley":{"formattedCitation":"(Svärd, 2019; Hood, 1995)","plainTextFormattedCitation":"(Svärd, 2019; Hood, 1995)","previouslyFormattedCitation":"(Svärd, 2019; Hood, 1995)"},"properties":{"noteIndex":0},"schema":"https://github.com/citation-style-language/schema/raw/master/csl-citation.json"}</w:instrText>
      </w:r>
      <w:r>
        <w:rPr>
          <w:rFonts w:cs="Calibri"/>
        </w:rPr>
        <w:fldChar w:fldCharType="separate"/>
      </w:r>
      <w:r>
        <w:rPr>
          <w:rFonts w:cs="Calibri"/>
          <w:noProof/>
        </w:rPr>
        <w:t>(Svärd, 2019; Hood, 1995)</w:t>
      </w:r>
      <w:r>
        <w:rPr>
          <w:rFonts w:cs="Calibri"/>
        </w:rPr>
        <w:fldChar w:fldCharType="end"/>
      </w:r>
      <w:r>
        <w:rPr>
          <w:rFonts w:cs="Calibri"/>
        </w:rPr>
        <w:t xml:space="preserve">. These seven NPM elements require organisations to deploy new management styles, aimed at increasing efficiency, effectiveness, value for money, and flexibility </w:t>
      </w:r>
      <w:r>
        <w:fldChar w:fldCharType="begin" w:fldLock="1"/>
      </w:r>
      <w:r w:rsidR="00974B75">
        <w:rPr>
          <w:rFonts w:cs="Calibri"/>
        </w:rPr>
        <w:instrText>ADDIN CSL_CITATION {"citationItems":[{"id":"ITEM-1","itemData":{"DOI":"http://dx.doi.org/10.1108/MRR-09-2015-0216","ISBN":"0001253111116","ISSN":"0264-0473","PMID":"42012058","abstract":"Abstract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Journal","id":"ITEM-1","issue":"1/2","issued":{"date-parts":[["2019"]]},"page":"134-151","title":"The impact of new public management through outsourcing on the management of government information: The case of Sweden","type":"article-journal","volume":"29"},"uris":["http://www.mendeley.com/documents/?uuid=4524732a-155c-4c93-922f-cd3a912b45c2"]},{"id":"ITEM-2","itemData":{"DOI":"10.1111/faam.12372","ISSN":"14680408","abstract":"Performance management in the public sector is both multifaceted and convoluted. This is particularly pertinent in hospitals, which are complex institutional organizations. Our paper explores the key drivers compelling Irish public acute-care hospitals to monitor their performance. The context of our study is located against the unique historical backdrop of the Irish health service, whose evolution over time reflects religious control, underfunding by the State and reliance on a decentralized structure up until the early 2000s. This study was conducted during 2009–2010, in the aftermath of the financial crisis of 2008–2009. Interviews were conducted with members of the hospital executive management team, comprising clinical and nonclinical senior managers, using the framework of Kelly et al. (2015) to explore and analyze respondent perspectives. We propose that a combination of key forces, emanating from new public management, the institutional environment, and its constituent elements spurs hospitals to monitor their performance. The confluence of these forces reveals a perceived change in the institutional logic underpinning hospital performance management. This change involved the substitution of autonomous clinical decision-making for a more team-based managerial logic whereby clinicians engaged as part of a multidisciplinary executive unit and accepted responsibility for hospital performance. This paper contributes to the literature on performance management in public services and, more specifically, builds on and addresses the paucity of research on Irish acute-care hospitals.","author":[{"dropping-particle":"","family":"Kelly","given":"Rosemarie","non-dropping-particle":"","parse-names":false,"suffix":""},{"dropping-particle":"","family":"O'Donohoe","given":"Sheila","non-dropping-particle":"","parse-names":false,"suffix":""},{"dropping-particle":"","family":"Doyle","given":"Gerardine","non-dropping-particle":"","parse-names":false,"suffix":""}],"container-title":"Financial Accountability and Management","id":"ITEM-2","issue":"3","issued":{"date-parts":[["2023"]]},"page":"616-635","title":"Key forces compelling the monitoring of hospital performance: An exploratory study","type":"article-journal","volume":"39"},"uris":["http://www.mendeley.com/documents/?uuid=d556bee7-b05d-424d-aa6f-2efc32db61d4"]},{"id":"ITEM-3","itemData":{"DOI":"10.1080/01559982.2022.2133339","ISSN":"14676303","abstract":"This paper explores the United Kingdom’s (UK) attempt to reconcile fiscal reporting logics through its Clear Line of Sight Alignment Project (CLOS). Drawing on archival data, together with semi-structured interviews with representatives involved in the implementation of CLOS, the findings indicate that what started as a means of resolving the tensions between logics, CLOS has exacerbated some existing ones and exposed others. This is largely due to the influence of the professional logic, primarily the UK’s adherence to International Financial Reporting Standards which prevents fiscal reporting being fully aligned. Furthermore, our research illustrates how the UK government has resisted elements of both the professional and national logics to create a system designed to rationalise the fiscal reporting maze. The findings also show that operationally CLOS has (to an extent) aligned the timing, coverage and classification of the fiscal reporting process to present the flow of expenditure from budgeted to approved, to outturn, thereby contributing to the wider agenda of improving the planning, management and control of public expenditure. Given continued calls to align global fiscal reporting practices, this paper informs public policy makers of the (potential) linkages between systems, the obstacles that can be encountered and the incentives for adopting it.","author":[{"dropping-particle":"","family":"Stewart","given":"Elaine","non-dropping-particle":"","parse-names":false,"suffix":""},{"dropping-particle":"","family":"Connolly","given":"Ciaran","non-dropping-particle":"","parse-names":false,"suffix":""}],"container-title":"Accounting Forum","id":"ITEM-3","issued":{"date-parts":[["2022"]]},"page":"1 - 25","title":"UK public sector fiscal reporting: clear and contradictory","type":"article-journal"},"uris":["http://www.mendeley.com/documents/?uuid=758876e3-36e8-471d-8d3d-3461df951b35"]}],"mendeley":{"formattedCitation":"(Kelly, O’Donohoe, &amp; Doyle, 2023; Stewart &amp; Connolly, 2022; Svärd, 2019)","plainTextFormattedCitation":"(Kelly, O’Donohoe, &amp; Doyle, 2023; Stewart &amp; Connolly, 2022; Svärd, 2019)","previouslyFormattedCitation":"(Kelly, O’Donohoe, &amp; Doyle, 2023; Stewart &amp; Connolly, 2022; Svärd, 2019)"},"properties":{"noteIndex":0},"schema":"https://github.com/citation-style-language/schema/raw/master/csl-citation.json"}</w:instrText>
      </w:r>
      <w:r>
        <w:rPr>
          <w:rFonts w:cs="Calibri"/>
        </w:rPr>
        <w:fldChar w:fldCharType="separate"/>
      </w:r>
      <w:r>
        <w:rPr>
          <w:rFonts w:cs="Calibri"/>
          <w:noProof/>
        </w:rPr>
        <w:t>(Kelly, O’Donohoe, &amp; Doyle, 2023; Stewart &amp; Connolly, 2022; Svärd, 2019)</w:t>
      </w:r>
      <w:r>
        <w:rPr>
          <w:rFonts w:cs="Calibri"/>
        </w:rPr>
        <w:fldChar w:fldCharType="end"/>
      </w:r>
      <w:r>
        <w:rPr>
          <w:rFonts w:cs="Calibri"/>
        </w:rPr>
        <w:t xml:space="preserve">. Within the public sector, this can be viewed as shifting from administration to management </w:t>
      </w:r>
      <w:r>
        <w:fldChar w:fldCharType="begin" w:fldLock="1"/>
      </w:r>
      <w:r>
        <w:rPr>
          <w:rFonts w:cs="Calibri"/>
        </w:rPr>
        <w:instrText>ADDIN CSL_CITATION {"citationItems":[{"id":"ITEM-1","itemData":{"DOI":"http://dx.doi.org/10.1108/MRR-09-2015-0216","ISBN":"0001253111116","ISSN":"0264-0473","PMID":"42012058","abstract":"Abstract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Journal","id":"ITEM-1","issue":"1/2","issued":{"date-parts":[["2019"]]},"page":"134-151","title":"The impact of new public management through outsourcing on the management of government information: The case of Sweden","type":"article-journal","volume":"29"},"uris":["http://www.mendeley.com/documents/?uuid=4524732a-155c-4c93-922f-cd3a912b45c2"]}],"mendeley":{"formattedCitation":"(Svärd, 2019)","plainTextFormattedCitation":"(Svärd, 2019)","previouslyFormattedCitation":"(Svärd, 2019)"},"properties":{"noteIndex":0},"schema":"https://github.com/citation-style-language/schema/raw/master/csl-citation.json"}</w:instrText>
      </w:r>
      <w:r>
        <w:rPr>
          <w:rFonts w:cs="Calibri"/>
        </w:rPr>
        <w:fldChar w:fldCharType="separate"/>
      </w:r>
      <w:r>
        <w:rPr>
          <w:rFonts w:cs="Calibri"/>
          <w:noProof/>
        </w:rPr>
        <w:t>(Svärd, 2019)</w:t>
      </w:r>
      <w:r>
        <w:rPr>
          <w:rFonts w:cs="Calibri"/>
        </w:rPr>
        <w:fldChar w:fldCharType="end"/>
      </w:r>
      <w:r>
        <w:rPr>
          <w:rFonts w:cs="Calibri"/>
        </w:rPr>
        <w:t xml:space="preserve">, which can be viewed as shifting institutional logics. </w:t>
      </w:r>
    </w:p>
    <w:p w14:paraId="6F848182" w14:textId="77777777" w:rsidR="00787F73" w:rsidRDefault="00787F73" w:rsidP="00866155">
      <w:pPr>
        <w:rPr>
          <w:rFonts w:cs="Calibri"/>
        </w:rPr>
      </w:pPr>
    </w:p>
    <w:p w14:paraId="49693C08" w14:textId="77777777" w:rsidR="00787F73" w:rsidRDefault="00742FB7" w:rsidP="00866155">
      <w:r>
        <w:rPr>
          <w:rFonts w:cs="Calibri"/>
        </w:rPr>
        <w:t xml:space="preserve">NPM has various institutional logics associated with it, from managerial logics, focusing on process control and performance, to accountability logics and public service logics </w:t>
      </w:r>
      <w:r>
        <w:fldChar w:fldCharType="begin" w:fldLock="1"/>
      </w:r>
      <w:r w:rsidR="00974B75">
        <w:rPr>
          <w:rFonts w:cs="Calibri"/>
        </w:rPr>
        <w:instrText>ADDIN CSL_CITATION {"citationItems":[{"id":"ITEM-1","itemData":{"DOI":"10.1016/j.bar.2020.100919","ISSN":"10958347","abstract":"This paper reports on a field study of how a range of inter-institutional and inter-organisational forces shape the evolving rhetoric and practice of multiple accountabilities in public services. Drawing on the institutional logics perspective, we carried out a qualitative field study in the Australian Commonwealth Public Service involving semi-structured interviews, two focus group discussions, and the examination of internal accounting, management reports, and government archival records. The findings suggest that emphasis on conventional instrumental mechanisms and reporting tools, such as budgeting and accrual-based reporting, support managerial (instrumental) accountability through compliance logics. We conclude that an emphasis on public (relational) accountability through public dialogue is central to the public sector accountability debate, and that more attention needs to be paid to the question of how to balance the dual logics (instrumental and relational) in public services. The findings provide practical insights for public sector managers, policymakers and governments responsible for designing and implementing reforms, accounting tools, and accountability practices.","author":[{"dropping-particle":"","family":"Rana","given":"Tarek","non-dropping-particle":"","parse-names":false,"suffix":""},{"dropping-particle":"","family":"Hoque","given":"Zahirul","non-dropping-particle":"","parse-names":false,"suffix":""}],"container-title":"British Accounting Review","id":"ITEM-1","issue":"4","issued":{"date-parts":[["2020"]]},"page":"1 - 14","title":"Institutionalising multiple accountability logics in public services: Insights from Australia","type":"article-journal","volume":"52"},"uris":["http://www.mendeley.com/documents/?uuid=c6f50d5e-e239-45f1-b4da-a8edaad8be8b"]},{"id":"ITEM-2","itemData":{"DOI":"10.1016/j.bushor.2009.09.003","ISBN":"0007-6813","ISSN":"00076813","PMID":"45641953","abstract":"The concept of Social Media is top of the agenda for many business executives today. Decision makers, as well as consultants, try to identify ways in which firms can make profitable use of applications such as Wikipedia, YouTube, Facebook, Second Life, and Twitter. Yet despite this interest, there seems to be very limited understanding of what the term \"Social Media\" exactly means; this article intends to provide some clarification. We begin by describing the concept of Social Media, and discuss how it differs from related concepts such as Web 2.0 and User Generated Content. Based on this definition, we then provide a classification of Social Media which groups applications currently subsumed under the generalized term into more specific categories by characteristic: collaborative projects, blogs, content communities, social networking sites, virtual game worlds, and virtual social worlds. Finally, we present 10 pieces of advice for companies which decide to utilize Social Media. ?? 2009 Kelley School of Business, Indiana University.","author":[{"dropping-particle":"","family":"Kaplan","given":"Andreas M.","non-dropping-particle":"","parse-names":false,"suffix":""},{"dropping-particle":"","family":"Haenlein","given":"Michael","non-dropping-particle":"","parse-names":false,"suffix":""}],"container-title":"Business Horizons","id":"ITEM-2","issue":"1","issued":{"date-parts":[["2010"]]},"page":"59-68","title":"Users of the world, unite! The challenges and opportunities of Social Media","type":"article-journal","volume":"53"},"uris":["http://www.mendeley.com/documents/?uuid=d0bdc727-6a79-4193-ad8c-54a69800a870"]},{"id":"ITEM-3","itemData":{"DOI":"10.1080/01559982.2022.2133339","ISSN":"14676303","abstract":"This paper explores the United Kingdom’s (UK) attempt to reconcile fiscal reporting logics through its Clear Line of Sight Alignment Project (CLOS). Drawing on archival data, together with semi-structured interviews with representatives involved in the implementation of CLOS, the findings indicate that what started as a means of resolving the tensions between logics, CLOS has exacerbated some existing ones and exposed others. This is largely due to the influence of the professional logic, primarily the UK’s adherence to International Financial Reporting Standards which prevents fiscal reporting being fully aligned. Furthermore, our research illustrates how the UK government has resisted elements of both the professional and national logics to create a system designed to rationalise the fiscal reporting maze. The findings also show that operationally CLOS has (to an extent) aligned the timing, coverage and classification of the fiscal reporting process to present the flow of expenditure from budgeted to approved, to outturn, thereby contributing to the wider agenda of improving the planning, management and control of public expenditure. Given continued calls to align global fiscal reporting practices, this paper informs public policy makers of the (potential) linkages between systems, the obstacles that can be encountered and the incentives for adopting it.","author":[{"dropping-particle":"","family":"Stewart","given":"Elaine","non-dropping-particle":"","parse-names":false,"suffix":""},{"dropping-particle":"","family":"Connolly","given":"Ciaran","non-dropping-particle":"","parse-names":false,"suffix":""}],"container-title":"Accounting Forum","id":"ITEM-3","issued":{"date-parts":[["2022"]]},"page":"1 - 25","title":"UK public sector fiscal reporting: clear and contradictory","type":"article-journal"},"uris":["http://www.mendeley.com/documents/?uuid=758876e3-36e8-471d-8d3d-3461df951b35"]}],"mendeley":{"formattedCitation":"(Stewart &amp; Connolly, 2022; Rana &amp; Hoque, 2020; Kaplan &amp; Haenlein, 2010)","plainTextFormattedCitation":"(Stewart &amp; Connolly, 2022; Rana &amp; Hoque, 2020; Kaplan &amp; Haenlein, 2010)","previouslyFormattedCitation":"(Stewart &amp; Connolly, 2022; Rana &amp; Hoque, 2020; Kaplan &amp; Haenlein, 2010)"},"properties":{"noteIndex":0},"schema":"https://github.com/citation-style-language/schema/raw/master/csl-citation.json"}</w:instrText>
      </w:r>
      <w:r>
        <w:rPr>
          <w:rFonts w:cs="Calibri"/>
        </w:rPr>
        <w:fldChar w:fldCharType="separate"/>
      </w:r>
      <w:r>
        <w:rPr>
          <w:rFonts w:cs="Calibri"/>
          <w:noProof/>
        </w:rPr>
        <w:t>(Stewart &amp; Connolly, 2022; Rana &amp; Hoque, 2020; Kaplan &amp; Haenlein, 2010)</w:t>
      </w:r>
      <w:r>
        <w:rPr>
          <w:rFonts w:cs="Calibri"/>
        </w:rPr>
        <w:fldChar w:fldCharType="end"/>
      </w:r>
      <w:r>
        <w:rPr>
          <w:rFonts w:cs="Calibri"/>
        </w:rPr>
        <w:t xml:space="preserve">. These changing logics can change internal structures and management practices within organisations, such as in acute care hospitals in Ireland, with a shifting accountability logic, which changed the management practices from individual decision making to an executive team making the decisions </w:t>
      </w:r>
      <w:r>
        <w:fldChar w:fldCharType="begin" w:fldLock="1"/>
      </w:r>
      <w:r>
        <w:rPr>
          <w:rFonts w:cs="Calibri"/>
        </w:rPr>
        <w:instrText>ADDIN CSL_CITATION {"citationItems":[{"id":"ITEM-1","itemData":{"DOI":"10.1111/faam.12372","ISSN":"14680408","abstract":"Performance management in the public sector is both multifaceted and convoluted. This is particularly pertinent in hospitals, which are complex institutional organizations. Our paper explores the key drivers compelling Irish public acute-care hospitals to monitor their performance. The context of our study is located against the unique historical backdrop of the Irish health service, whose evolution over time reflects religious control, underfunding by the State and reliance on a decentralized structure up until the early 2000s. This study was conducted during 2009–2010, in the aftermath of the financial crisis of 2008–2009. Interviews were conducted with members of the hospital executive management team, comprising clinical and nonclinical senior managers, using the framework of Kelly et al. (2015) to explore and analyze respondent perspectives. We propose that a combination of key forces, emanating from new public management, the institutional environment, and its constituent elements spurs hospitals to monitor their performance. The confluence of these forces reveals a perceived change in the institutional logic underpinning hospital performance management. This change involved the substitution of autonomous clinical decision-making for a more team-based managerial logic whereby clinicians engaged as part of a multidisciplinary executive unit and accepted responsibility for hospital performance. This paper contributes to the literature on performance management in public services and, more specifically, builds on and addresses the paucity of research on Irish acute-care hospitals.","author":[{"dropping-particle":"","family":"Kelly","given":"Rosemarie","non-dropping-particle":"","parse-names":false,"suffix":""},{"dropping-particle":"","family":"O'Donohoe","given":"Sheila","non-dropping-particle":"","parse-names":false,"suffix":""},{"dropping-particle":"","family":"Doyle","given":"Gerardine","non-dropping-particle":"","parse-names":false,"suffix":""}],"container-title":"Financial Accountability and Management","id":"ITEM-1","issue":"3","issued":{"date-parts":[["2023"]]},"page":"616-635","title":"Key forces compelling the monitoring of hospital performance: An exploratory study","type":"article-journal","volume":"39"},"uris":["http://www.mendeley.com/documents/?uuid=d556bee7-b05d-424d-aa6f-2efc32db61d4"]}],"mendeley":{"formattedCitation":"(Kelly, O’Donohoe, &amp; Doyle, 2023)","plainTextFormattedCitation":"(Kelly, O’Donohoe, &amp; Doyle, 2023)","previouslyFormattedCitation":"(Kelly, O’Donohoe, &amp; Doyle, 2023)"},"properties":{"noteIndex":0},"schema":"https://github.com/citation-style-language/schema/raw/master/csl-citation.json"}</w:instrText>
      </w:r>
      <w:r>
        <w:rPr>
          <w:rFonts w:cs="Calibri"/>
        </w:rPr>
        <w:fldChar w:fldCharType="separate"/>
      </w:r>
      <w:r>
        <w:rPr>
          <w:rFonts w:cs="Calibri"/>
          <w:noProof/>
        </w:rPr>
        <w:t>(Kelly, O’Donohoe, &amp; Doyle, 2023)</w:t>
      </w:r>
      <w:r>
        <w:rPr>
          <w:rFonts w:cs="Calibri"/>
        </w:rPr>
        <w:fldChar w:fldCharType="end"/>
      </w:r>
      <w:r>
        <w:rPr>
          <w:rFonts w:cs="Calibri"/>
        </w:rPr>
        <w:t xml:space="preserve">. These new logics can also be combined to create hybrid logics; for example, in public law organisations, which combines public service logics of equality, with new managerial logics. </w:t>
      </w:r>
      <w:r w:rsidR="00D94552">
        <w:rPr>
          <w:rFonts w:cs="Calibri"/>
        </w:rPr>
        <w:t xml:space="preserve">These managerial logics can influence how workers conduct their </w:t>
      </w:r>
      <w:r w:rsidR="00601CFD">
        <w:rPr>
          <w:rFonts w:cs="Calibri"/>
        </w:rPr>
        <w:t>day-to-day</w:t>
      </w:r>
      <w:r w:rsidR="00D94552">
        <w:rPr>
          <w:rFonts w:cs="Calibri"/>
        </w:rPr>
        <w:t xml:space="preserve"> business. </w:t>
      </w:r>
      <w:r>
        <w:rPr>
          <w:rFonts w:cs="Calibri"/>
        </w:rPr>
        <w:t xml:space="preserve">This can be viewed in practice in public law organisations with workers focusing on the easy to serve cases in order to meet targets and evading the more challenging cases </w:t>
      </w:r>
      <w:r>
        <w:fldChar w:fldCharType="begin" w:fldLock="1"/>
      </w:r>
      <w:r>
        <w:rPr>
          <w:rFonts w:cs="Calibri"/>
        </w:rPr>
        <w:instrText>ADDIN CSL_CITATION {"citationItems":[{"id":"ITEM-1","itemData":{"DOI":"10.1177/0002716220965905","ISSN":"15523349","abstract":"The delivery of public services increasingly operates under hybrid accountability regimes, but we have much to learn about how these regimes interrelate. I develop a framework for systematic analysis of hybrid public, market, and professional accountability arrangements, looking at the compatibility of their content, steering mechanisms, and relationships. The analysis is informed and illustrated by empirical studies on accountability in welfare state services, which offer evidence on hybrid accountability arrangements. The article concludes by discussing the interplay between accountability regimes and the conditions in which they undermine or reinforce each other. I argue that compatibility between regimes depends on the content of accountability rather than on the accountability mechanisms, and I highlight the importance of the trust between the parties entering into accountability relations and the proximity of their institutional logics.","author":[{"dropping-particle":"","family":"Benish","given":"Avishai","non-dropping-particle":"","parse-names":false,"suffix":""}],"container-title":"Annals of the American Academy of Political and Social Science","id":"ITEM-1","issue":"1","issued":{"date-parts":[["2020"]]},"page":"295-310","title":"The Logics of Hybrid Accountability: When the State, the Market, and Professionalism Interact","type":"article-journal","volume":"691"},"uris":["http://www.mendeley.com/documents/?uuid=fda39e31-d6b9-4cc4-ac0d-6d36d940bb84"]}],"mendeley":{"formattedCitation":"(Benish, 2020)","plainTextFormattedCitation":"(Benish, 2020)","previouslyFormattedCitation":"(Benish, 2020)"},"properties":{"noteIndex":0},"schema":"https://github.com/citation-style-language/schema/raw/master/csl-citation.json"}</w:instrText>
      </w:r>
      <w:r>
        <w:rPr>
          <w:rFonts w:cs="Calibri"/>
        </w:rPr>
        <w:fldChar w:fldCharType="separate"/>
      </w:r>
      <w:r>
        <w:rPr>
          <w:rFonts w:cs="Calibri"/>
          <w:noProof/>
        </w:rPr>
        <w:t>(Benish, 2020)</w:t>
      </w:r>
      <w:r>
        <w:rPr>
          <w:rFonts w:cs="Calibri"/>
        </w:rPr>
        <w:fldChar w:fldCharType="end"/>
      </w:r>
      <w:r>
        <w:rPr>
          <w:rFonts w:cs="Calibri"/>
        </w:rPr>
        <w:t>.</w:t>
      </w:r>
    </w:p>
    <w:p w14:paraId="6530D6A5" w14:textId="77777777" w:rsidR="00787F73" w:rsidRDefault="00787F73" w:rsidP="00866155">
      <w:pPr>
        <w:rPr>
          <w:rFonts w:cs="Calibri"/>
        </w:rPr>
      </w:pPr>
    </w:p>
    <w:p w14:paraId="1DA76CAF" w14:textId="77777777" w:rsidR="00787F73" w:rsidRDefault="00742FB7" w:rsidP="00866155">
      <w:r>
        <w:rPr>
          <w:rFonts w:cs="Calibri"/>
        </w:rPr>
        <w:t xml:space="preserve">Svard (2019) notes that research in NPM to date has focused on two different elements: the specific management innovations within the public sector organisations; or the role of government and citizens, with the former receiving more attention. There is now a growing body of literature moving away from NPM focusing on New Public Governance (NPG) which </w:t>
      </w:r>
      <w:r>
        <w:rPr>
          <w:rFonts w:cs="Calibri"/>
        </w:rPr>
        <w:lastRenderedPageBreak/>
        <w:t xml:space="preserve">moves a step further than NPM to focus on how communities can co-produce public services and goods </w:t>
      </w:r>
      <w:r>
        <w:fldChar w:fldCharType="begin" w:fldLock="1"/>
      </w:r>
      <w:r>
        <w:rPr>
          <w:rFonts w:cs="Calibri"/>
        </w:rPr>
        <w:instrText>ADDIN CSL_CITATION {"citationItems":[{"id":"ITEM-1","itemData":{"DOI":"10.3233/IP-170037","ISSN":"18758754","abstract":"Local public administrations around the world are facing the challenge of introducing e-participation, but the cultural and institutional aspects of the e-participation innovation process have not been researched extensively. This dearth in research can inhibit our understanding of how and why e-participation succeeds, fails or develops in certain contexts. Thus, we apply two concepts from organizational institutionalism to determine how e-participation in local public administrations is influenced by and influences the organizational and institutional context. Institutional logics help us to describe and analyze the complex institutional context, and institutional work assists in focusing agency aimed at but also embedded in this institutional context. The research, which includes results of a multiple case study of three local German public administrations, finds that three role identities in regard to e-participation can be distinguished: entrepreneurs, pragmatists, and skeptics. These identities develop in relation to administrators' positions in e-participation processes and evolve as actors engage strategically in the innovation process through institutional work on e-participation practices at the individual, project, and organizational level. We thereby generate insights into the specific perspective of central actors in the e-participation innovation process (i.e. administrators).","author":[{"dropping-particle":"","family":"Steinbach","given":"Malte","non-dropping-particle":"","parse-names":false,"suffix":""},{"dropping-particle":"","family":"Süß","given":"Stefan","non-dropping-particle":"","parse-names":false,"suffix":""}],"container-title":"Information Polity","id":"ITEM-1","issue":"3","issued":{"date-parts":[["2018"]]},"page":"281-305","title":"Administrators' identities and strategies in the e-participation innovation process: A qualitative analysis of institutional logics and institutional work in German municipalities","type":"article-journal","volume":"23"},"uris":["http://www.mendeley.com/documents/?uuid=81ff6b4c-98c4-45d7-8826-9cce2b6a22e8"]}],"mendeley":{"formattedCitation":"(Steinbach &amp; Süß, 2018)","plainTextFormattedCitation":"(Steinbach &amp; Süß, 2018)","previouslyFormattedCitation":"(Steinbach &amp; Süß, 2018)"},"properties":{"noteIndex":0},"schema":"https://github.com/citation-style-language/schema/raw/master/csl-citation.json"}</w:instrText>
      </w:r>
      <w:r>
        <w:rPr>
          <w:rFonts w:cs="Calibri"/>
        </w:rPr>
        <w:fldChar w:fldCharType="separate"/>
      </w:r>
      <w:r>
        <w:rPr>
          <w:rFonts w:cs="Calibri"/>
          <w:noProof/>
        </w:rPr>
        <w:t>(Steinbach &amp; Süß, 2018)</w:t>
      </w:r>
      <w:r>
        <w:rPr>
          <w:rFonts w:cs="Calibri"/>
        </w:rPr>
        <w:fldChar w:fldCharType="end"/>
      </w:r>
      <w:r>
        <w:rPr>
          <w:rFonts w:cs="Calibri"/>
        </w:rPr>
        <w:t xml:space="preserve">, shifting the responsibility logics from public or private, to the citizen or client. While this project focuses on the specific management of the SYFR communications department, it also looks at the wider themes of responsibility within the building of resilience and the link to communities, so will be contributing to both sections of the NPM literature. </w:t>
      </w:r>
    </w:p>
    <w:p w14:paraId="3B0128E7" w14:textId="77777777" w:rsidR="00787F73" w:rsidRDefault="00787F73" w:rsidP="00866155">
      <w:pPr>
        <w:rPr>
          <w:rFonts w:cs="Calibri"/>
        </w:rPr>
      </w:pPr>
    </w:p>
    <w:p w14:paraId="368AE9A7" w14:textId="77777777" w:rsidR="00787F73" w:rsidRDefault="00742FB7" w:rsidP="00866155">
      <w:r>
        <w:rPr>
          <w:rFonts w:cs="Calibri"/>
        </w:rPr>
        <w:t>The influence of NPM within the UK has seen a variety of changes within the FRS, including the commissioning of the Bain Review (2002), and two parliamentary acts (Fire and Rescue Act (2004), and the Civil Contingencies Act (2004), which led to a large restructuring of the FRS and a new image.</w:t>
      </w:r>
    </w:p>
    <w:p w14:paraId="0A328D4E" w14:textId="77777777" w:rsidR="00787F73" w:rsidRDefault="00787F73" w:rsidP="00866155">
      <w:pPr>
        <w:rPr>
          <w:rFonts w:cs="Calibri"/>
        </w:rPr>
      </w:pPr>
    </w:p>
    <w:p w14:paraId="50639073" w14:textId="77777777" w:rsidR="00787F73" w:rsidRDefault="00742FB7" w:rsidP="00866155">
      <w:pPr>
        <w:pStyle w:val="Heading4"/>
        <w:spacing w:line="360" w:lineRule="auto"/>
      </w:pPr>
      <w:bookmarkStart w:id="495" w:name="_Toc3183386"/>
      <w:bookmarkStart w:id="496" w:name="_Toc10621107"/>
      <w:bookmarkStart w:id="497" w:name="_Toc98148370"/>
      <w:r>
        <w:rPr>
          <w:rFonts w:ascii="Calibri" w:hAnsi="Calibri" w:cs="Calibri"/>
        </w:rPr>
        <w:t>Bain Review</w:t>
      </w:r>
      <w:bookmarkEnd w:id="495"/>
      <w:bookmarkEnd w:id="496"/>
      <w:r>
        <w:rPr>
          <w:rFonts w:ascii="Calibri" w:hAnsi="Calibri" w:cs="Calibri"/>
        </w:rPr>
        <w:t xml:space="preserve"> (2002)</w:t>
      </w:r>
      <w:bookmarkEnd w:id="497"/>
      <w:r>
        <w:rPr>
          <w:rFonts w:ascii="Calibri" w:hAnsi="Calibri" w:cs="Calibri"/>
        </w:rPr>
        <w:t xml:space="preserve"> and Fire and Rescue Act (2004)</w:t>
      </w:r>
    </w:p>
    <w:p w14:paraId="16A95E93" w14:textId="77777777" w:rsidR="00787F73" w:rsidRDefault="00742FB7" w:rsidP="00866155">
      <w:r>
        <w:rPr>
          <w:rFonts w:cs="Calibri"/>
        </w:rPr>
        <w:t xml:space="preserve">The Bain Review (2002) covered a variety of topics within the FRS, including discussions of fire service standards, community fire safety, the role of government, and the structuring and management of the service </w:t>
      </w:r>
      <w:r>
        <w:fldChar w:fldCharType="begin" w:fldLock="1"/>
      </w:r>
      <w:r w:rsidR="00974B75">
        <w:rPr>
          <w:rFonts w:cs="Calibri"/>
        </w:rPr>
        <w:instrText>ADDIN CSL_CITATION {"citationItems":[{"id":"ITEM-1","itemData":{"DOI":"10.1080/09540962.2013.785711","ISSN":"09540962","author":[{"dropping-particle":"","family":"Murphy","given":"Pete","non-dropping-particle":"","parse-names":false,"suffix":""},{"dropping-particle":"","family":"Greenhalgh","given":"Kirsten","non-dropping-particle":"","parse-names":false,"suffix":""}],"container-title":"Public Money and Management","id":"ITEM-1","issue":"3","issued":{"date-parts":[["2013"]]},"page":"225-232","title":"Performance management in fire and rescue services","type":"article-journal","volume":"33"},"uris":["http://www.mendeley.com/documents/?uuid=7fd3a239-aac1-4955-beef-211a7c49f758"]},{"id":"ITEM-2","itemData":{"DOI":"10.1080/03003930.2011.588701","ISBN":"03003930 (ISSN)","ISSN":"03003930","abstract":"Over the last ten years, local government modernisation and the growth of community safety agendas have called for change in the public sector at a local level. This has been typified by partnership work, improvement and inspection and community governance. The fire and rescue services, despite some initial cultural difficulties, have worked hard to adapt themselves to modern local government, for example through community fire safety work, which is presented as a case study. However, the culmination of the modernisation project, Comprehensive Area Assessment, does not favour the fire and rescue service, and to an extent excludes them from its formula. In this light, it seems that there is little incentive for the Fire Service to continue its modernising trajectory. © 2011 Taylor &amp; Francis.","author":[{"dropping-particle":"","family":"Matheson","given":"Kate","non-dropping-particle":"","parse-names":false,"suffix":""},{"dropping-particle":"","family":"Manning","given":"Rachel","non-dropping-particle":"","parse-names":false,"suffix":""},{"dropping-particle":"","family":"Williams","given":"Sara","non-dropping-particle":"","parse-names":false,"suffix":""}],"container-title":"Local Government Studies","id":"ITEM-2","issue":"4","issued":{"date-parts":[["2011"]]},"page":"451-465","title":"From brigade to service: An examination of the role of fire and rescue services in modern local government","type":"article-journal","volume":"37"},"uris":["http://www.mendeley.com/documents/?uuid=d535e317-5890-468e-bf3a-7891ccb8e10d"]},{"id":"ITEM-3","itemData":{"DOI":"10.1332/030557310X501730","ISBN":"0305-5736","ISSN":"14708442","abstract":"This study aimed to explore the executive function of healthy elderly Chinese people. A sample of 58 healthy Chinese aged 60 and over was recruited from Guangzhou in China. They were divided into two age groups, a younger age group (aged 60–70) and an older age group (aged over 70). Executive function was measured by a battery of seven tests which were assumed to capture specific components of executive function. The tests were initiation (Hayling Sentence Completion Test (HSC)), sustained attention (Monotone Counting Test), switching and flexibility (word fluency and modified Wisconsin Card Sorting Test (WCST)), disinhibition (Modified Six Element Task (SET), Stroop Test, and HSC), attention allocation and planning (SET and modified version of WCST), and updating (Chinese Letter–Number Span). When independent neurocognitive tests were analyzed, there were significant age differences in the WCST (perseverative errors and category completed, p = 0.025, 0.023) and the SET (raw score, p = 0.050). The older age group tended to do worse in the total profile score of the SET and correct responses of the HSC Part A. However, when these tests were grouped into specific executive function components, a significant difference was found between the two groups in attention allocation and planning (p = 0.007) and total component score (p = 0.026). Regression analyses also indicated that age accounted for only very little variance of executive function in this narrow band of the elderly, whereas educational level accounted for a large part of the variance in initiation (R2 = 0.252, p &lt; 0.001), switching and flexibility (R2 = 0.211, p &lt; 0.001), and updating (R2 = 0.236, p &lt; 0.001) components of executive function. Our findings suggest that a significant decline in general executive functioning with advancing age was only evident in some putative tests in this sample. In addition, executive functions were selectively affected by older age, with attention location and planning and initiation being the components that were most affected.","author":[{"dropping-particle":"","family":"Andrews","given":"Rhys","non-dropping-particle":"","parse-names":false,"suffix":""}],"container-title":"Policy and politics","id":"ITEM-3","issue":"4","issued":{"date-parts":[["2010"]]},"page":"599-617","title":"The impact of modernisation on fire authority performance: An empirical evaluation","type":"article-journal","volume":"38"},"uris":["http://www.mendeley.com/documents/?uuid=4aef8bff-265e-4012-8c14-52bfdcbf9aac"]},{"id":"ITEM-4","itemData":{"author":[{"dropping-particle":"","family":"Bain","given":"G","non-dropping-particle":"","parse-names":false,"suffix":""},{"dropping-particle":"","family":"Lyons.","given":"M","non-dropping-particle":"","parse-names":false,"suffix":""},{"dropping-particle":"","family":"Young","given":"A","non-dropping-particle":"","parse-names":false,"suffix":""}],"id":"ITEM-4","issued":{"date-parts":[["2002"]]},"number-of-pages":"1- 175","publisher-place":"London","title":"The Future of the Fire Service: reducing risk , saving lives","type":"report"},"uris":["http://www.mendeley.com/documents/?uuid=dfeb11de-fd83-4a12-a5d8-76b15b92f924"]}],"mendeley":{"formattedCitation":"(Murphy &amp; Greenhalgh, 2013; Matheson, Manning, &amp; Williams, 2011; Andrews, 2010; Bain, Lyons., &amp; Young, 2002)","plainTextFormattedCitation":"(Murphy &amp; Greenhalgh, 2013; Matheson, Manning, &amp; Williams, 2011; Andrews, 2010; Bain, Lyons., &amp; Young, 2002)","previouslyFormattedCitation":"(Murphy &amp; Greenhalgh, 2013; Matheson, Manning, &amp; Williams, 2011; Andrews, 2010; Bain, Lyons., &amp; Young, 2002)"},"properties":{"noteIndex":0},"schema":"https://github.com/citation-style-language/schema/raw/master/csl-citation.json"}</w:instrText>
      </w:r>
      <w:r>
        <w:rPr>
          <w:rFonts w:cs="Calibri"/>
        </w:rPr>
        <w:fldChar w:fldCharType="separate"/>
      </w:r>
      <w:r>
        <w:rPr>
          <w:rFonts w:cs="Calibri"/>
          <w:noProof/>
        </w:rPr>
        <w:t>(Murphy &amp; Greenhalgh, 2013; Matheson, Manning, &amp; Williams, 2011; Andrews, 2010; Bain, Lyons., &amp; Young, 2002)</w:t>
      </w:r>
      <w:r>
        <w:rPr>
          <w:rFonts w:cs="Calibri"/>
        </w:rPr>
        <w:fldChar w:fldCharType="end"/>
      </w:r>
      <w:r>
        <w:rPr>
          <w:rFonts w:cs="Calibri"/>
        </w:rPr>
        <w:t xml:space="preserve">. The Bain Review’s recommendations led to a large cultural change within the FRS, with the shifting from the notions of ranks to roles tied to new pay structures, and a wider focus on prevention as part of a wider proactive approach </w:t>
      </w:r>
      <w:r>
        <w:fldChar w:fldCharType="begin" w:fldLock="1"/>
      </w:r>
      <w:r>
        <w:rPr>
          <w:rFonts w:cs="Calibri"/>
        </w:rPr>
        <w:instrText>ADDIN CSL_CITATION {"citationItems":[{"id":"ITEM-1","itemData":{"DOI":"10.1080/03003930.2011.588701","ISBN":"03003930 (ISSN)","ISSN":"03003930","abstract":"Over the last ten years, local government modernisation and the growth of community safety agendas have called for change in the public sector at a local level. This has been typified by partnership work, improvement and inspection and community governance. The fire and rescue services, despite some initial cultural difficulties, have worked hard to adapt themselves to modern local government, for example through community fire safety work, which is presented as a case study. However, the culmination of the modernisation project, Comprehensive Area Assessment, does not favour the fire and rescue service, and to an extent excludes them from its formula. In this light, it seems that there is little incentive for the Fire Service to continue its modernising trajectory. © 2011 Taylor &amp; Francis.","author":[{"dropping-particle":"","family":"Matheson","given":"Kate","non-dropping-particle":"","parse-names":false,"suffix":""},{"dropping-particle":"","family":"Manning","given":"Rachel","non-dropping-particle":"","parse-names":false,"suffix":""},{"dropping-particle":"","family":"Williams","given":"Sara","non-dropping-particle":"","parse-names":false,"suffix":""}],"container-title":"Local Government Studies","id":"ITEM-1","issue":"4","issued":{"date-parts":[["2011"]]},"page":"451-465","title":"From brigade to service: An examination of the role of fire and rescue services in modern local government","type":"article-journal","volume":"37"},"uris":["http://www.mendeley.com/documents/?uuid=d535e317-5890-468e-bf3a-7891ccb8e10d"]}],"mendeley":{"formattedCitation":"(Matheson, Manning, &amp; Williams, 2011)","plainTextFormattedCitation":"(Matheson, Manning, &amp; Williams, 2011)","previouslyFormattedCitation":"(Matheson, Manning, &amp; Williams, 2011)"},"properties":{"noteIndex":0},"schema":"https://github.com/citation-style-language/schema/raw/master/csl-citation.json"}</w:instrText>
      </w:r>
      <w:r>
        <w:rPr>
          <w:rFonts w:cs="Calibri"/>
        </w:rPr>
        <w:fldChar w:fldCharType="separate"/>
      </w:r>
      <w:r>
        <w:rPr>
          <w:rFonts w:cs="Calibri"/>
          <w:noProof/>
        </w:rPr>
        <w:t>(Matheson, Manning, &amp; Williams, 2011)</w:t>
      </w:r>
      <w:r>
        <w:rPr>
          <w:rFonts w:cs="Calibri"/>
        </w:rPr>
        <w:fldChar w:fldCharType="end"/>
      </w:r>
      <w:r>
        <w:rPr>
          <w:rFonts w:cs="Calibri"/>
        </w:rPr>
        <w:t xml:space="preserve">. The greater focus on </w:t>
      </w:r>
      <w:r>
        <w:rPr>
          <w:rFonts w:cs="Calibri"/>
          <w:i/>
        </w:rPr>
        <w:t>prevention</w:t>
      </w:r>
      <w:r>
        <w:rPr>
          <w:rFonts w:cs="Calibri"/>
        </w:rPr>
        <w:t xml:space="preserve"> rather than </w:t>
      </w:r>
      <w:r>
        <w:rPr>
          <w:rFonts w:cs="Calibri"/>
          <w:i/>
        </w:rPr>
        <w:t>reaction</w:t>
      </w:r>
      <w:r>
        <w:rPr>
          <w:rFonts w:cs="Calibri"/>
        </w:rPr>
        <w:t xml:space="preserve"> was intended to improve the service for citizens and their safety, but it was also viewed as a method to reduce costs, mirroring the </w:t>
      </w:r>
      <w:r>
        <w:rPr>
          <w:rFonts w:cs="Calibri"/>
          <w:i/>
        </w:rPr>
        <w:t>best value</w:t>
      </w:r>
      <w:r>
        <w:rPr>
          <w:rFonts w:cs="Calibri"/>
        </w:rPr>
        <w:t xml:space="preserve"> initiative and therefore the wider NPM agenda. </w:t>
      </w:r>
    </w:p>
    <w:p w14:paraId="7A9DFC39" w14:textId="77777777" w:rsidR="00787F73" w:rsidRDefault="00787F73" w:rsidP="00866155">
      <w:pPr>
        <w:rPr>
          <w:rFonts w:cs="Calibri"/>
        </w:rPr>
      </w:pPr>
    </w:p>
    <w:p w14:paraId="19E21A35" w14:textId="297D6BE8" w:rsidR="00787F73" w:rsidRDefault="00742FB7" w:rsidP="00866155">
      <w:r>
        <w:rPr>
          <w:rFonts w:cs="Calibri"/>
        </w:rPr>
        <w:t xml:space="preserve">The early 2000’s saw wider fire service management reforms related to the Bain Review including integrated personal development systems, which aimed to improve service through establishing competence levels </w:t>
      </w:r>
      <w:r>
        <w:fldChar w:fldCharType="begin" w:fldLock="1"/>
      </w:r>
      <w:r w:rsidR="00974B75">
        <w:rPr>
          <w:rFonts w:cs="Calibri"/>
        </w:rPr>
        <w:instrText>ADDIN CSL_CITATION {"citationItems":[{"id":"ITEM-1","itemData":{"DOI":"10.1007/978-3-319-62155-5_2","ISBN":"9783319621555","author":[{"dropping-particle":"","family":"Murphy","given":"Peter","non-dropping-particle":"","parse-names":false,"suffix":""},{"dropping-particle":"","family":"Greenhalgh","given":"Kirsten","non-dropping-particle":"","parse-names":false,"suffix":""}],"chapter-number":"2","container-title":"Fire and Rescue Services: Leadership and Management Perspectives","editor":[{"dropping-particle":"","family":"Murphy","given":"Peter","non-dropping-particle":"","parse-names":false,"suffix":""},{"dropping-particle":"","family":"Greenhalgh","given":"Kirsten","non-dropping-particle":"","parse-names":false,"suffix":""}],"id":"ITEM-1","issued":{"date-parts":[["2018"]]},"page":"9-26","publisher":"Springer","publisher-place":"Nottingham","title":"The Gathering Storm: Modernisation, local alignment and collaboration. Fire and rescue services under the early new labour administrations from 1997 to 2005","type":"chapter"},"uris":["http://www.mendeley.com/documents/?uuid=80233f35-d817-4ac8-8726-9234d824212b"]},{"id":"ITEM-2","itemData":{"DOI":"10.1332/030557310X501730","ISBN":"0305-5736","ISSN":"14708442","abstract":"This study aimed to explore the executive function of healthy elderly Chinese people. A sample of 58 healthy Chinese aged 60 and over was recruited from Guangzhou in China. They were divided into two age groups, a younger age group (aged 60–70) and an older age group (aged over 70). Executive function was measured by a battery of seven tests which were assumed to capture specific components of executive function. The tests were initiation (Hayling Sentence Completion Test (HSC)), sustained attention (Monotone Counting Test), switching and flexibility (word fluency and modified Wisconsin Card Sorting Test (WCST)), disinhibition (Modified Six Element Task (SET), Stroop Test, and HSC), attention allocation and planning (SET and modified version of WCST), and updating (Chinese Letter–Number Span). When independent neurocognitive tests were analyzed, there were significant age differences in the WCST (perseverative errors and category completed, p = 0.025, 0.023) and the SET (raw score, p = 0.050). The older age group tended to do worse in the total profile score of the SET and correct responses of the HSC Part A. However, when these tests were grouped into specific executive function components, a significant difference was found between the two groups in attention allocation and planning (p = 0.007) and total component score (p = 0.026). Regression analyses also indicated that age accounted for only very little variance of executive function in this narrow band of the elderly, whereas educational level accounted for a large part of the variance in initiation (R2 = 0.252, p &lt; 0.001), switching and flexibility (R2 = 0.211, p &lt; 0.001), and updating (R2 = 0.236, p &lt; 0.001) components of executive function. Our findings suggest that a significant decline in general executive functioning with advancing age was only evident in some putative tests in this sample. In addition, executive functions were selectively affected by older age, with attention location and planning and initiation being the components that were most affected.","author":[{"dropping-particle":"","family":"Andrews","given":"Rhys","non-dropping-particle":"","parse-names":false,"suffix":""}],"container-title":"Policy and politics","id":"ITEM-2","issue":"4","issued":{"date-parts":[["2010"]]},"page":"599-617","title":"The impact of modernisation on fire authority performance: An empirical evaluation","type":"article-journal","volume":"38"},"uris":["http://www.mendeley.com/documents/?uuid=4aef8bff-265e-4012-8c14-52bfdcbf9aac"]}],"mendeley":{"formattedCitation":"(Murphy &amp; Greenhalgh, 2018; Andrews, 2010)","plainTextFormattedCitation":"(Murphy &amp; Greenhalgh, 2018; Andrews, 2010)","previouslyFormattedCitation":"(Murphy &amp; Greenhalgh, 2018; Andrews, 2010)"},"properties":{"noteIndex":0},"schema":"https://github.com/citation-style-language/schema/raw/master/csl-citation.json"}</w:instrText>
      </w:r>
      <w:r>
        <w:rPr>
          <w:rFonts w:cs="Calibri"/>
        </w:rPr>
        <w:fldChar w:fldCharType="separate"/>
      </w:r>
      <w:r>
        <w:rPr>
          <w:rFonts w:cs="Calibri"/>
          <w:noProof/>
        </w:rPr>
        <w:t>(Murphy &amp; Greenhalgh, 2018; Andrews, 2010)</w:t>
      </w:r>
      <w:r>
        <w:rPr>
          <w:rFonts w:cs="Calibri"/>
        </w:rPr>
        <w:fldChar w:fldCharType="end"/>
      </w:r>
      <w:r>
        <w:rPr>
          <w:rFonts w:cs="Calibri"/>
        </w:rPr>
        <w:t xml:space="preserve">, and Integrated Risk Management Plans (IRMP), which aimed to show </w:t>
      </w:r>
      <w:r>
        <w:rPr>
          <w:rFonts w:cs="Calibri"/>
          <w:i/>
          <w:iCs/>
        </w:rPr>
        <w:t>best value</w:t>
      </w:r>
      <w:r>
        <w:rPr>
          <w:rFonts w:cs="Calibri"/>
        </w:rPr>
        <w:t xml:space="preserve"> through Fire and Rescue Authorities stating the use of the budget every three years. IRMPs were also related to the Fire and Rescue </w:t>
      </w:r>
      <w:r w:rsidR="00992A15">
        <w:rPr>
          <w:rFonts w:cs="Calibri"/>
        </w:rPr>
        <w:t xml:space="preserve">Services </w:t>
      </w:r>
      <w:r>
        <w:rPr>
          <w:rFonts w:cs="Calibri"/>
        </w:rPr>
        <w:t xml:space="preserve">Act (FRSA)(2004) which set out the roles, responsibilities, and administration of fire and rescue authorities, moving decision making </w:t>
      </w:r>
      <w:r>
        <w:rPr>
          <w:rFonts w:cs="Calibri"/>
        </w:rPr>
        <w:lastRenderedPageBreak/>
        <w:t xml:space="preserve">on resources levels from central government to the local authorities </w:t>
      </w:r>
      <w:r>
        <w:fldChar w:fldCharType="begin" w:fldLock="1"/>
      </w:r>
      <w:r w:rsidR="00974B75">
        <w:rPr>
          <w:rFonts w:cs="Calibri"/>
        </w:rPr>
        <w:instrText>ADDIN CSL_CITATION {"citationItems":[{"id":"ITEM-1","itemData":{"DOI":"10.1007/978-3-319-62155-5_2","ISBN":"9783319621555","author":[{"dropping-particle":"","family":"Murphy","given":"Peter","non-dropping-particle":"","parse-names":false,"suffix":""},{"dropping-particle":"","family":"Greenhalgh","given":"Kirsten","non-dropping-particle":"","parse-names":false,"suffix":""}],"chapter-number":"2","container-title":"Fire and Rescue Services: Leadership and Management Perspectives","editor":[{"dropping-particle":"","family":"Murphy","given":"Peter","non-dropping-particle":"","parse-names":false,"suffix":""},{"dropping-particle":"","family":"Greenhalgh","given":"Kirsten","non-dropping-particle":"","parse-names":false,"suffix":""}],"id":"ITEM-1","issued":{"date-parts":[["2018"]]},"page":"9-26","publisher":"Springer","publisher-place":"Nottingham","title":"The Gathering Storm: Modernisation, local alignment and collaboration. Fire and rescue services under the early new labour administrations from 1997 to 2005","type":"chapter"},"uris":["http://www.mendeley.com/documents/?uuid=80233f35-d817-4ac8-8726-9234d824212b"]}],"mendeley":{"formattedCitation":"(Murphy &amp; Greenhalgh, 2018)","plainTextFormattedCitation":"(Murphy &amp; Greenhalgh, 2018)","previouslyFormattedCitation":"(Murphy &amp; Greenhalgh, 2018)"},"properties":{"noteIndex":0},"schema":"https://github.com/citation-style-language/schema/raw/master/csl-citation.json"}</w:instrText>
      </w:r>
      <w:r>
        <w:rPr>
          <w:rFonts w:cs="Calibri"/>
        </w:rPr>
        <w:fldChar w:fldCharType="separate"/>
      </w:r>
      <w:r>
        <w:rPr>
          <w:rFonts w:cs="Calibri"/>
          <w:noProof/>
        </w:rPr>
        <w:t>(Murphy &amp; Greenhalgh, 2018)</w:t>
      </w:r>
      <w:r>
        <w:rPr>
          <w:rFonts w:cs="Calibri"/>
        </w:rPr>
        <w:fldChar w:fldCharType="end"/>
      </w:r>
      <w:r>
        <w:rPr>
          <w:rFonts w:cs="Calibri"/>
        </w:rPr>
        <w:t xml:space="preserve">. The FRSA also included a core function within the FRS of fire safety, specifically communicating and promoting fire safety </w:t>
      </w:r>
      <w:r>
        <w:fldChar w:fldCharType="begin" w:fldLock="1"/>
      </w:r>
      <w:r w:rsidR="00974B75">
        <w:rPr>
          <w:rFonts w:cs="Calibri"/>
        </w:rPr>
        <w:instrText>ADDIN CSL_CITATION {"citationItems":[{"id":"ITEM-1","itemData":{"DOI":"10.1007/978-3-319-62155-5","abstract":"An Act to make provision about fire and rescue authorities and their functions; to make provision about employment by, and powers of employees of, fire and rescue authorities; to make provision about education and training and pension schemes; to make provision about the supply of water; to make provision about false alarms of fire; to provide for the funding of advisory bodies; and for connected purposes. [22nd July 2004] Be it enacted by the Queen’s most Excellent Majesty, by and with the advice and consent of the Lords Spiritual and Temporal, and Commons, in this present Parliament assembled, and by the authority of the same, as follows:—","author":[{"dropping-particle":"","family":"HM Government","given":"","non-dropping-particle":"","parse-names":false,"suffix":""}],"id":"ITEM-1","issued":{"date-parts":[["2004"]]},"page":"1 - 55","publisher-place":"United Kingdom","title":"Fire and Rescue Services Act","type":"legislation"},"uris":["http://www.mendeley.com/documents/?uuid=5f3b6f95-b3e0-4656-bee4-069e0a988017"]}],"mendeley":{"formattedCitation":"(HM Government, 2004)","plainTextFormattedCitation":"(HM Government, 2004)","previouslyFormattedCitation":"(HM Government, 2004)"},"properties":{"noteIndex":0},"schema":"https://github.com/citation-style-language/schema/raw/master/csl-citation.json"}</w:instrText>
      </w:r>
      <w:r>
        <w:rPr>
          <w:rFonts w:cs="Calibri"/>
        </w:rPr>
        <w:fldChar w:fldCharType="separate"/>
      </w:r>
      <w:r>
        <w:rPr>
          <w:rFonts w:cs="Calibri"/>
          <w:noProof/>
          <w:color w:val="000000"/>
        </w:rPr>
        <w:t>(HM Government, 2004)</w:t>
      </w:r>
      <w:r>
        <w:rPr>
          <w:rFonts w:cs="Calibri"/>
        </w:rPr>
        <w:fldChar w:fldCharType="end"/>
      </w:r>
      <w:r>
        <w:rPr>
          <w:rFonts w:cs="Calibri"/>
          <w:color w:val="000000"/>
        </w:rPr>
        <w:t xml:space="preserve">. </w:t>
      </w:r>
      <w:r>
        <w:rPr>
          <w:rFonts w:cs="Calibri"/>
        </w:rPr>
        <w:t>These changes saw a shifting in the institutional drivers, institutional logics, and inner workings of the FRS</w:t>
      </w:r>
      <w:r w:rsidR="00601CFD">
        <w:rPr>
          <w:rFonts w:cs="Calibri"/>
        </w:rPr>
        <w:t>. This</w:t>
      </w:r>
      <w:r>
        <w:rPr>
          <w:rFonts w:cs="Calibri"/>
        </w:rPr>
        <w:t>ha</w:t>
      </w:r>
      <w:r w:rsidR="00601CFD">
        <w:rPr>
          <w:rFonts w:cs="Calibri"/>
        </w:rPr>
        <w:t>s</w:t>
      </w:r>
      <w:r>
        <w:rPr>
          <w:rFonts w:cs="Calibri"/>
        </w:rPr>
        <w:t xml:space="preserve"> had an impact on how they plan and conduct their work, </w:t>
      </w:r>
      <w:r w:rsidR="00601CFD">
        <w:rPr>
          <w:rFonts w:cs="Calibri"/>
        </w:rPr>
        <w:t>potentially</w:t>
      </w:r>
      <w:r>
        <w:rPr>
          <w:rFonts w:cs="Calibri"/>
        </w:rPr>
        <w:t xml:space="preserve"> influenc</w:t>
      </w:r>
      <w:r w:rsidR="00601CFD">
        <w:rPr>
          <w:rFonts w:cs="Calibri"/>
        </w:rPr>
        <w:t>ing</w:t>
      </w:r>
      <w:r>
        <w:rPr>
          <w:rFonts w:cs="Calibri"/>
        </w:rPr>
        <w:t xml:space="preserve"> how they communicate regarding resilience. The Fire and Rescue Act looked at the internal dynamics of the service, whereas the Civil Contingencies Act (enacted in the same year) included legislation on the wider role of the FRS within the national disaster agenda.</w:t>
      </w:r>
    </w:p>
    <w:p w14:paraId="121434B4" w14:textId="77777777" w:rsidR="00787F73" w:rsidRDefault="00787F73" w:rsidP="00866155">
      <w:pPr>
        <w:rPr>
          <w:rFonts w:cs="Calibri"/>
        </w:rPr>
      </w:pPr>
    </w:p>
    <w:p w14:paraId="2C36A1E0" w14:textId="77777777" w:rsidR="00787F73" w:rsidRDefault="00742FB7" w:rsidP="00866155">
      <w:pPr>
        <w:pStyle w:val="Heading4"/>
        <w:spacing w:line="360" w:lineRule="auto"/>
      </w:pPr>
      <w:bookmarkStart w:id="498" w:name="_Toc3183389"/>
      <w:bookmarkStart w:id="499" w:name="_Toc10621108"/>
      <w:bookmarkStart w:id="500" w:name="_Toc98148371"/>
      <w:r>
        <w:rPr>
          <w:rFonts w:ascii="Calibri" w:hAnsi="Calibri" w:cs="Calibri"/>
        </w:rPr>
        <w:t>Civil Contingencies Act</w:t>
      </w:r>
      <w:bookmarkEnd w:id="498"/>
      <w:bookmarkEnd w:id="499"/>
      <w:r>
        <w:rPr>
          <w:rFonts w:ascii="Calibri" w:hAnsi="Calibri" w:cs="Calibri"/>
        </w:rPr>
        <w:t xml:space="preserve"> (2004)</w:t>
      </w:r>
      <w:bookmarkEnd w:id="500"/>
    </w:p>
    <w:p w14:paraId="46ECE8F7" w14:textId="77777777" w:rsidR="00787F73" w:rsidRDefault="00742FB7" w:rsidP="00866155">
      <w:r>
        <w:rPr>
          <w:rFonts w:cs="Calibri"/>
        </w:rPr>
        <w:t xml:space="preserve">The Civil Contingencies Act (CCA) was enacted in 2004 and focused on six main areas: anticipate; assess; prevent; prepare; respond; and recover </w:t>
      </w:r>
      <w:r>
        <w:fldChar w:fldCharType="begin" w:fldLock="1"/>
      </w:r>
      <w:r w:rsidR="00974B75">
        <w:rPr>
          <w:rFonts w:cs="Calibri"/>
        </w:rPr>
        <w:instrText>ADDIN CSL_CITATION {"citationItems":[{"id":"ITEM-1","itemData":{"DOI":"10.1016/j.apergo.2011.03.006","ISBN":"0003-6870","ISSN":"18729126","PMID":"21570058","abstract":"This paper presents an investigation of command and control during Multi-Agency Operations; the purpose of this study was to elaborate on known themes associated with multi-agency emergency response, through a study of the successful combined military and civilian defence of Walham electricity substation from rising flood water in July 2007.This case study demonstrates that effective coordination during major emergencies requires the development of a deeper, shared understanding of the incident and a high level of trust between responding organisations, both of which are effortful to achieve and difficult to support with current communications systems. Adoption of a sociotechnical systems approach during the development process may enable future communications systems to support these important social processes. © 2011 Elsevier Ltd and The Ergonomics Society.","author":[{"dropping-particle":"","family":"McMaster","given":"Richard","non-dropping-particle":"","parse-names":false,"suffix":""},{"dropping-particle":"","family":"Baber","given":"Chris","non-dropping-particle":"","parse-names":false,"suffix":""}],"container-title":"Applied Ergonomics","id":"ITEM-1","issue":"1","issued":{"date-parts":[["2012"]]},"page":"38-47","publisher":"Elsevier Ltd","title":"Multi-agency operations: Cooperation during flooding","type":"article-journal","volume":"43"},"uris":["http://www.mendeley.com/documents/?uuid=8d1ce16d-1e6f-4dff-b47d-622ab1801073"]},{"id":"ITEM-2","itemData":{"ISBN":"9780105436041","abstract":"Printed in the UK by The Stationery OYce Limited","author":[{"dropping-particle":"","family":"Civil Contingencies Act","given":"","non-dropping-particle":"","parse-names":false,"suffix":""}],"id":"ITEM-2","issued":{"date-parts":[["2004"]]},"page":"1 - 36","publisher-place":"Great Britain","title":"Civil Contingencies Act","type":"legislation"},"uris":["http://www.mendeley.com/documents/?uuid=9d387e41-f43a-40d8-85ce-a5ebdf2cd92f"]}],"mendeley":{"formattedCitation":"(McMaster &amp; Baber, 2012; Civil Contingencies Act, 2004)","plainTextFormattedCitation":"(McMaster &amp; Baber, 2012; Civil Contingencies Act, 2004)","previouslyFormattedCitation":"(McMaster &amp; Baber, 2012; Civil Contingencies Act, 2004)"},"properties":{"noteIndex":0},"schema":"https://github.com/citation-style-language/schema/raw/master/csl-citation.json"}</w:instrText>
      </w:r>
      <w:r>
        <w:rPr>
          <w:rFonts w:cs="Calibri"/>
        </w:rPr>
        <w:fldChar w:fldCharType="separate"/>
      </w:r>
      <w:r>
        <w:rPr>
          <w:rFonts w:cs="Calibri"/>
          <w:noProof/>
        </w:rPr>
        <w:t>(McMaster &amp; Baber, 2012; Civil Contingencies Act, 2004)</w:t>
      </w:r>
      <w:r>
        <w:rPr>
          <w:rFonts w:cs="Calibri"/>
        </w:rPr>
        <w:fldChar w:fldCharType="end"/>
      </w:r>
      <w:r>
        <w:rPr>
          <w:rFonts w:cs="Calibri"/>
        </w:rPr>
        <w:t xml:space="preserve">. These six areas were linked to an increased focus on the people and communities </w:t>
      </w:r>
      <w:r>
        <w:fldChar w:fldCharType="begin" w:fldLock="1"/>
      </w:r>
      <w:r w:rsidR="00974B75">
        <w:rPr>
          <w:rFonts w:cs="Calibri"/>
        </w:rPr>
        <w:instrText>ADDIN CSL_CITATION {"citationItems":[{"id":"ITEM-1","itemData":{"DOI":"10.1016/j.apergo.2011.03.006","ISBN":"0003-6870","ISSN":"18729126","PMID":"21570058","abstract":"This paper presents an investigation of command and control during Multi-Agency Operations; the purpose of this study was to elaborate on known themes associated with multi-agency emergency response, through a study of the successful combined military and civilian defence of Walham electricity substation from rising flood water in July 2007.This case study demonstrates that effective coordination during major emergencies requires the development of a deeper, shared understanding of the incident and a high level of trust between responding organisations, both of which are effortful to achieve and difficult to support with current communications systems. Adoption of a sociotechnical systems approach during the development process may enable future communications systems to support these important social processes. © 2011 Elsevier Ltd and The Ergonomics Society.","author":[{"dropping-particle":"","family":"McMaster","given":"Richard","non-dropping-particle":"","parse-names":false,"suffix":""},{"dropping-particle":"","family":"Baber","given":"Chris","non-dropping-particle":"","parse-names":false,"suffix":""}],"container-title":"Applied Ergonomics","id":"ITEM-1","issue":"1","issued":{"date-parts":[["2012"]]},"page":"38-47","publisher":"Elsevier Ltd","title":"Multi-agency operations: Cooperation during flooding","type":"article-journal","volume":"43"},"uris":["http://www.mendeley.com/documents/?uuid=8d1ce16d-1e6f-4dff-b47d-622ab1801073"]},{"id":"ITEM-2","itemData":{"DOI":"10.1007/978-3-319-62155-5_2","ISBN":"9783319621555","author":[{"dropping-particle":"","family":"Murphy","given":"Peter","non-dropping-particle":"","parse-names":false,"suffix":""},{"dropping-particle":"","family":"Greenhalgh","given":"Kirsten","non-dropping-particle":"","parse-names":false,"suffix":""}],"chapter-number":"2","container-title":"Fire and Rescue Services: Leadership and Management Perspectives","editor":[{"dropping-particle":"","family":"Murphy","given":"Peter","non-dropping-particle":"","parse-names":false,"suffix":""},{"dropping-particle":"","family":"Greenhalgh","given":"Kirsten","non-dropping-particle":"","parse-names":false,"suffix":""}],"id":"ITEM-2","issued":{"date-parts":[["2018"]]},"page":"9-26","publisher":"Springer","publisher-place":"Nottingham","title":"The Gathering Storm: Modernisation, local alignment and collaboration. Fire and rescue services under the early new labour administrations from 1997 to 2005","type":"chapter"},"uris":["http://www.mendeley.com/documents/?uuid=80233f35-d817-4ac8-8726-9234d824212b"]},{"id":"ITEM-3","itemData":{"DOI":"10.1007/978-3-319-62155-5_4","ISBN":"9783319621555","author":[{"dropping-particle":"","family":"Murphy","given":"Peter","non-dropping-particle":"","parse-names":false,"suffix":""},{"dropping-particle":"","family":"Ferry","given":"Laurence","non-dropping-particle":"","parse-names":false,"suffix":""}],"chapter-number":"4","container-title":"Fire and Rescue Services: Leadership and Management Perspectives","editor":[{"dropping-particle":"","family":"Murphy","given":"Peter","non-dropping-particle":"","parse-names":false,"suffix":""},{"dropping-particle":"","family":"Greenhalgh","given":"Kirsten","non-dropping-particle":"","parse-names":false,"suffix":""}],"id":"ITEM-3","issued":{"date-parts":[["2018"]]},"page":"45-59","publisher":"Springer","publisher-place":"Nottingham","title":"Another turn of the screw: Fire and rescue under the coalition government of 2010-2015","type":"chapter"},"uris":["http://www.mendeley.com/documents/?uuid=936d56f8-8f74-4772-8597-92b58bbdfe0c"]}],"mendeley":{"formattedCitation":"(Murphy &amp; Ferry, 2018; Murphy &amp; Greenhalgh, 2018; McMaster &amp; Baber, 2012)","plainTextFormattedCitation":"(Murphy &amp; Ferry, 2018; Murphy &amp; Greenhalgh, 2018; McMaster &amp; Baber, 2012)","previouslyFormattedCitation":"(Murphy &amp; Ferry, 2018; Murphy &amp; Greenhalgh, 2018; McMaster &amp; Baber, 2012)"},"properties":{"noteIndex":0},"schema":"https://github.com/citation-style-language/schema/raw/master/csl-citation.json"}</w:instrText>
      </w:r>
      <w:r>
        <w:rPr>
          <w:rFonts w:cs="Calibri"/>
        </w:rPr>
        <w:fldChar w:fldCharType="separate"/>
      </w:r>
      <w:r>
        <w:rPr>
          <w:rFonts w:cs="Calibri"/>
          <w:noProof/>
        </w:rPr>
        <w:t>(Murphy &amp; Ferry, 2018; Murphy &amp; Greenhalgh, 2018; McMaster &amp; Baber, 2012)</w:t>
      </w:r>
      <w:r>
        <w:rPr>
          <w:rFonts w:cs="Calibri"/>
        </w:rPr>
        <w:fldChar w:fldCharType="end"/>
      </w:r>
      <w:r>
        <w:rPr>
          <w:rFonts w:cs="Calibri"/>
        </w:rPr>
        <w:t xml:space="preserve">, which was similar to other Labour policies of this time. </w:t>
      </w:r>
    </w:p>
    <w:p w14:paraId="09B2165D" w14:textId="77777777" w:rsidR="00787F73" w:rsidRDefault="00787F73" w:rsidP="00866155">
      <w:pPr>
        <w:rPr>
          <w:rFonts w:cs="Calibri"/>
        </w:rPr>
      </w:pPr>
    </w:p>
    <w:p w14:paraId="10109DF8" w14:textId="1A3B48F4" w:rsidR="00787F73" w:rsidRDefault="00742FB7" w:rsidP="00866155">
      <w:r>
        <w:rPr>
          <w:rFonts w:cs="Calibri"/>
        </w:rPr>
        <w:t xml:space="preserve">A large element of the CCA (2004) was the increased focus on multi-agency collaboration; this was done through the creation of Local Resilience Forums (LRFs) and different categories of responders, with blue-light services and other front line infrastructure organisations being designated as Category 1 responders. This placed a statutory responsibility on these organisations to collaborate </w:t>
      </w:r>
      <w:r>
        <w:fldChar w:fldCharType="begin" w:fldLock="1"/>
      </w:r>
      <w:r w:rsidR="00974B75">
        <w:rPr>
          <w:rFonts w:cs="Calibri"/>
        </w:rPr>
        <w:instrText>ADDIN CSL_CITATION {"citationItems":[{"id":"ITEM-1","itemData":{"DOI":"10.1007/978-3-319-62155-5_2","ISBN":"9783319621555","author":[{"dropping-particle":"","family":"Murphy","given":"Peter","non-dropping-particle":"","parse-names":false,"suffix":""},{"dropping-particle":"","family":"Greenhalgh","given":"Kirsten","non-dropping-particle":"","parse-names":false,"suffix":""}],"chapter-number":"2","container-title":"Fire and Rescue Services: Leadership and Management Perspectives","editor":[{"dropping-particle":"","family":"Murphy","given":"Peter","non-dropping-particle":"","parse-names":false,"suffix":""},{"dropping-particle":"","family":"Greenhalgh","given":"Kirsten","non-dropping-particle":"","parse-names":false,"suffix":""}],"id":"ITEM-1","issued":{"date-parts":[["2018"]]},"page":"9-26","publisher":"Springer","publisher-place":"Nottingham","title":"The Gathering Storm: Modernisation, local alignment and collaboration. Fire and rescue services under the early new labour administrations from 1997 to 2005","type":"chapter"},"uris":["http://www.mendeley.com/documents/?uuid=80233f35-d817-4ac8-8726-9234d824212b"]},{"id":"ITEM-2","itemData":{"DOI":"10.1108/20470891211239335","ISBN":"0951355061065","ISSN":"2047-0894","abstract":"Purpose – The purpose of this paper is to evaluate the practical implementation of the Integrated Risk Management Planning process through its application within the Fire Cover Review project in Nottinghamshire, in order to identify good practice and recommendations for improving the process and its implementation. Design/methodology/approach – The paper takes the form of an in-depth case study over an 18 month period using participant observation, documents analysis, interviews with key stakeholders and the response to a public consultation exercise. Findings – Recent public expenditure restrictions manifestly influenced and contextualised the attitude and response from the public and all key stakeholders to the project. It was the first consultation undertaken by the Service which was also significantly affected by the internet and social media. The open and transparent approach adopted reduced misinformation and promoted ownership and accountability of the project, from both the Service and the Authority. Originality/value – The paper is the first comprehensive review of the reconfiguration of services undertaken during the current financial crisis and in the context of the new coalition government’s public sector policy.","author":[{"dropping-particle":"","family":"Murphy","given":"Peter","non-dropping-particle":"","parse-names":false,"suffix":""},{"dropping-particle":"","family":"Greenhalgh","given":"Kirsten","non-dropping-particle":"","parse-names":false,"suffix":""},{"dropping-particle":"","family":"Parkin","given":"Craig","non-dropping-particle":"","parse-names":false,"suffix":""}],"container-title":"International Journal of Emergency Services","id":"ITEM-2","issue":"1","issued":{"date-parts":[["2012"]]},"page":"86-94","title":"Fire and rescue service reconfiguration: a case study in Nottinghamshire","type":"article-journal","volume":"1"},"uris":["http://www.mendeley.com/documents/?uuid=044b1c67-b920-4130-902c-df6a8a34dc9a"]}],"mendeley":{"formattedCitation":"(Murphy &amp; Greenhalgh, 2018; Murphy, Greenhalgh, &amp; Parkin, 2012)","plainTextFormattedCitation":"(Murphy &amp; Greenhalgh, 2018; Murphy, Greenhalgh, &amp; Parkin, 2012)","previouslyFormattedCitation":"(Murphy &amp; Greenhalgh, 2018; Murphy, Greenhalgh, &amp; Parkin, 2012)"},"properties":{"noteIndex":0},"schema":"https://github.com/citation-style-language/schema/raw/master/csl-citation.json"}</w:instrText>
      </w:r>
      <w:r>
        <w:rPr>
          <w:rFonts w:cs="Calibri"/>
        </w:rPr>
        <w:fldChar w:fldCharType="separate"/>
      </w:r>
      <w:r>
        <w:rPr>
          <w:rFonts w:cs="Calibri"/>
          <w:noProof/>
        </w:rPr>
        <w:t>(Murphy &amp; Greenhalgh, 2018; Murphy, Greenhalgh, &amp; Parkin, 2012)</w:t>
      </w:r>
      <w:r>
        <w:rPr>
          <w:rFonts w:cs="Calibri"/>
        </w:rPr>
        <w:fldChar w:fldCharType="end"/>
      </w:r>
      <w:r>
        <w:rPr>
          <w:rFonts w:cs="Calibri"/>
        </w:rPr>
        <w:t>, which in turn gave the FRS a statutory obligation to collaborate and work with other agencies</w:t>
      </w:r>
      <w:r w:rsidR="00601CFD">
        <w:rPr>
          <w:rFonts w:cs="Calibri"/>
        </w:rPr>
        <w:t>.</w:t>
      </w:r>
      <w:r>
        <w:rPr>
          <w:rFonts w:cs="Calibri"/>
        </w:rPr>
        <w:t xml:space="preserve"> </w:t>
      </w:r>
      <w:r w:rsidR="00601CFD">
        <w:rPr>
          <w:rFonts w:cs="Calibri"/>
        </w:rPr>
        <w:t>N</w:t>
      </w:r>
      <w:r>
        <w:rPr>
          <w:rFonts w:cs="Calibri"/>
        </w:rPr>
        <w:t xml:space="preserve">ot only for </w:t>
      </w:r>
      <w:r>
        <w:rPr>
          <w:rFonts w:cs="Calibri"/>
          <w:i/>
        </w:rPr>
        <w:t>reactive</w:t>
      </w:r>
      <w:r>
        <w:rPr>
          <w:rFonts w:cs="Calibri"/>
        </w:rPr>
        <w:t xml:space="preserve"> strategies, but also </w:t>
      </w:r>
      <w:r>
        <w:rPr>
          <w:rFonts w:cs="Calibri"/>
          <w:i/>
        </w:rPr>
        <w:t>proactive</w:t>
      </w:r>
      <w:r>
        <w:rPr>
          <w:rFonts w:cs="Calibri"/>
        </w:rPr>
        <w:t>. The focus on proactive rather than reactive working had been building momentum through various policies, starting with the Modernisation Government (1999) white paper and the focus on best value</w:t>
      </w:r>
      <w:r w:rsidR="00601CFD">
        <w:rPr>
          <w:rFonts w:cs="Calibri"/>
        </w:rPr>
        <w:t>.</w:t>
      </w:r>
      <w:r>
        <w:rPr>
          <w:rFonts w:cs="Calibri"/>
        </w:rPr>
        <w:t xml:space="preserve"> </w:t>
      </w:r>
      <w:r w:rsidR="00601CFD">
        <w:rPr>
          <w:rFonts w:cs="Calibri"/>
        </w:rPr>
        <w:t>T</w:t>
      </w:r>
      <w:r>
        <w:rPr>
          <w:rFonts w:cs="Calibri"/>
        </w:rPr>
        <w:t>he CCA (2004) saw a statutory obligation to develop this further</w:t>
      </w:r>
      <w:r w:rsidR="00601CFD">
        <w:rPr>
          <w:rFonts w:cs="Calibri"/>
        </w:rPr>
        <w:t>,</w:t>
      </w:r>
      <w:r>
        <w:rPr>
          <w:rFonts w:cs="Calibri"/>
        </w:rPr>
        <w:t xml:space="preserve"> </w:t>
      </w:r>
      <w:r w:rsidR="00601CFD">
        <w:rPr>
          <w:rFonts w:cs="Calibri"/>
        </w:rPr>
        <w:t xml:space="preserve">including </w:t>
      </w:r>
      <w:r>
        <w:rPr>
          <w:rFonts w:cs="Calibri"/>
        </w:rPr>
        <w:t xml:space="preserve">a series of institutional logics to adhere to. </w:t>
      </w:r>
      <w:r w:rsidR="00C84401">
        <w:rPr>
          <w:rFonts w:cs="Calibri"/>
        </w:rPr>
        <w:t>While</w:t>
      </w:r>
      <w:r>
        <w:rPr>
          <w:rFonts w:cs="Calibri"/>
        </w:rPr>
        <w:t xml:space="preserve"> the CCA placed an obligation on the FRS, the budgetary support to meet those obligations was not included. These papers and parliamentary acts all influence how the FRS operate, including their community operations and are examined in RQ2 (chapter 5) which examines the institutional drivers which influence SYFR’s communication strategy. </w:t>
      </w:r>
    </w:p>
    <w:p w14:paraId="65D46E4A" w14:textId="77777777" w:rsidR="00787F73" w:rsidRDefault="00742FB7" w:rsidP="00866155">
      <w:pPr>
        <w:pStyle w:val="Heading3"/>
        <w:tabs>
          <w:tab w:val="left" w:pos="2070"/>
          <w:tab w:val="left" w:pos="3000"/>
        </w:tabs>
      </w:pPr>
      <w:bookmarkStart w:id="501" w:name="_Toc158823572"/>
      <w:bookmarkStart w:id="502" w:name="_Toc153554331"/>
      <w:bookmarkStart w:id="503" w:name="_Toc193367213"/>
      <w:r>
        <w:rPr>
          <w:rFonts w:ascii="Calibri" w:hAnsi="Calibri" w:cs="Calibri"/>
        </w:rPr>
        <w:lastRenderedPageBreak/>
        <w:t>2.6.3: FRS community operations</w:t>
      </w:r>
      <w:bookmarkEnd w:id="501"/>
      <w:bookmarkEnd w:id="502"/>
      <w:bookmarkEnd w:id="503"/>
      <w:r>
        <w:rPr>
          <w:rFonts w:ascii="Calibri" w:hAnsi="Calibri" w:cs="Calibri"/>
        </w:rPr>
        <w:tab/>
      </w:r>
    </w:p>
    <w:p w14:paraId="2197F0FD" w14:textId="2971960F" w:rsidR="00787F73" w:rsidRDefault="00C84401" w:rsidP="00866155">
      <w:r>
        <w:rPr>
          <w:rFonts w:cs="Calibri"/>
        </w:rPr>
        <w:t>While</w:t>
      </w:r>
      <w:r w:rsidR="00742FB7">
        <w:rPr>
          <w:rFonts w:cs="Calibri"/>
        </w:rPr>
        <w:t xml:space="preserve"> these statutory obligations are for all FRS, each FRS (such as SYFR) operate and conduct different initiatives to meet these obligations. </w:t>
      </w:r>
      <w:r>
        <w:rPr>
          <w:rFonts w:cs="Calibri"/>
        </w:rPr>
        <w:t>While</w:t>
      </w:r>
      <w:r w:rsidR="00742FB7">
        <w:rPr>
          <w:rFonts w:cs="Calibri"/>
        </w:rPr>
        <w:t xml:space="preserve"> there are commonalities, such as the calculation for risk focusing on socioeconomic and demographic data, combined with previous fire events, and the use of Home Safety Visits to target support to individuals at risk, there are differences in the campaigns and approaches they take </w:t>
      </w:r>
      <w:r w:rsidR="00742FB7">
        <w:fldChar w:fldCharType="begin" w:fldLock="1"/>
      </w:r>
      <w:r w:rsidR="00742FB7">
        <w:rPr>
          <w:rFonts w:cs="Calibri"/>
        </w:rPr>
        <w:instrText>ADDIN CSL_CITATION {"citationItems":[{"id":"ITEM-1","itemData":{"DOI":"10.1007/s10694-022-01249-8","ISSN":"15728099","abstract":"In this article, we examine fire prevention targeting by Merseyside Fire and Rescue Service in the North West of England. We examine social group, spatial, and lifestyle and behaviours targeting, and the targeted use of fire prevention approaches including home fire safety checks, community, and educational engagement events, websites, social media, and home fire safety self-assessment software tools. In particular, we examine the fire prevention approaches used by Merseyside Fire and Rescue Service, the approaches that were used to identify those most at risk of accidental dwelling fire incidents, injuries, and fatalities, and the strategies adopted for the targeting of fire prevention resources.","author":[{"dropping-particle":"","family":"Taylor","given":"M;","non-dropping-particle":"","parse-names":false,"suffix":""},{"dropping-particle":"","family":"Oakford","given":"G;","non-dropping-particle":"","parse-names":false,"suffix":""},{"dropping-particle":"","family":"Appleton","given":"D;","non-dropping-particle":"","parse-names":false,"suffix":""},{"dropping-particle":"","family":"Fielding","given":"J;","non-dropping-particle":"","parse-names":false,"suffix":""}],"container-title":"Fire Technology","id":"ITEM-1","issued":{"date-parts":[["2022"]]},"page":"1827-1837","title":"Fire Prevention Targeting by Merseyside Fire and Rescue Service in UK","type":"article-journal","volume":"58"},"uris":["http://www.mendeley.com/documents/?uuid=b119eb76-c3e9-41a6-a271-3da64384befa"]},{"id":"ITEM-2","itemData":{"author":[{"dropping-particle":"","family":"Waring","given":"Sara","non-dropping-particle":"","parse-names":false,"suffix":""},{"dropping-particle":"","family":"Bromley","given":"Caitlin","non-dropping-particle":"","parse-names":false,"suffix":""},{"dropping-particle":"","family":"Giles","given":"Susan","non-dropping-particle":"","parse-names":false,"suffix":""}],"id":"ITEM-2","issue":"July","issued":{"date-parts":[["2022"]]},"number-of-pages":"1-17","title":"Economic Evaluation of Fire and Rescue Service Activities : A Scoping Review","type":"report"},"uris":["http://www.mendeley.com/documents/?uuid=50784e0c-6920-43d9-85c2-0d903a9aa97c"]}],"mendeley":{"formattedCitation":"(Taylor et al., 2022; Waring, Bromley, &amp; Giles, 2022)","plainTextFormattedCitation":"(Taylor et al., 2022; Waring, Bromley, &amp; Giles, 2022)","previouslyFormattedCitation":"(Taylor et al., 2022; Waring, Bromley, &amp; Giles, 2022)"},"properties":{"noteIndex":0},"schema":"https://github.com/citation-style-language/schema/raw/master/csl-citation.json"}</w:instrText>
      </w:r>
      <w:r w:rsidR="00742FB7">
        <w:rPr>
          <w:rFonts w:cs="Calibri"/>
        </w:rPr>
        <w:fldChar w:fldCharType="separate"/>
      </w:r>
      <w:r w:rsidR="00742FB7">
        <w:rPr>
          <w:rFonts w:cs="Calibri"/>
          <w:noProof/>
        </w:rPr>
        <w:t>(Taylor et al., 2022; Waring, Bromley, &amp; Giles, 2022)</w:t>
      </w:r>
      <w:r w:rsidR="00742FB7">
        <w:rPr>
          <w:rFonts w:cs="Calibri"/>
        </w:rPr>
        <w:fldChar w:fldCharType="end"/>
      </w:r>
      <w:r w:rsidR="00742FB7">
        <w:rPr>
          <w:rFonts w:cs="Calibri"/>
        </w:rPr>
        <w:t xml:space="preserve">. </w:t>
      </w:r>
    </w:p>
    <w:p w14:paraId="5D04E729" w14:textId="77777777" w:rsidR="00787F73" w:rsidRDefault="00787F73" w:rsidP="00866155">
      <w:pPr>
        <w:rPr>
          <w:rFonts w:cs="Calibri"/>
        </w:rPr>
      </w:pPr>
    </w:p>
    <w:p w14:paraId="2024F427" w14:textId="77777777" w:rsidR="00787F73" w:rsidRDefault="00742FB7" w:rsidP="00866155">
      <w:r>
        <w:rPr>
          <w:rFonts w:cs="Calibri"/>
        </w:rPr>
        <w:t xml:space="preserve">In order to reduce fires, the FRS conduct a variety of work, either with individuals through home safety visits, geographical communities via community events, or targeting specific lifestyles and behaviours </w:t>
      </w:r>
      <w:r>
        <w:fldChar w:fldCharType="begin" w:fldLock="1"/>
      </w:r>
      <w:r>
        <w:rPr>
          <w:rFonts w:cs="Calibri"/>
        </w:rPr>
        <w:instrText>ADDIN CSL_CITATION {"citationItems":[{"id":"ITEM-1","itemData":{"DOI":"10.1007/s10694-022-01249-8","ISSN":"15728099","abstract":"In this article, we examine fire prevention targeting by Merseyside Fire and Rescue Service in the North West of England. We examine social group, spatial, and lifestyle and behaviours targeting, and the targeted use of fire prevention approaches including home fire safety checks, community, and educational engagement events, websites, social media, and home fire safety self-assessment software tools. In particular, we examine the fire prevention approaches used by Merseyside Fire and Rescue Service, the approaches that were used to identify those most at risk of accidental dwelling fire incidents, injuries, and fatalities, and the strategies adopted for the targeting of fire prevention resources.","author":[{"dropping-particle":"","family":"Taylor","given":"M;","non-dropping-particle":"","parse-names":false,"suffix":""},{"dropping-particle":"","family":"Oakford","given":"G;","non-dropping-particle":"","parse-names":false,"suffix":""},{"dropping-particle":"","family":"Appleton","given":"D;","non-dropping-particle":"","parse-names":false,"suffix":""},{"dropping-particle":"","family":"Fielding","given":"J;","non-dropping-particle":"","parse-names":false,"suffix":""}],"container-title":"Fire Technology","id":"ITEM-1","issued":{"date-parts":[["2022"]]},"page":"1827-1837","title":"Fire Prevention Targeting by Merseyside Fire and Rescue Service in UK","type":"article-journal","volume":"58"},"uris":["http://www.mendeley.com/documents/?uuid=b119eb76-c3e9-41a6-a271-3da64384befa"]}],"mendeley":{"formattedCitation":"(Taylor et al., 2022)","plainTextFormattedCitation":"(Taylor et al., 2022)","previouslyFormattedCitation":"(Taylor et al., 2022)"},"properties":{"noteIndex":0},"schema":"https://github.com/citation-style-language/schema/raw/master/csl-citation.json"}</w:instrText>
      </w:r>
      <w:r>
        <w:rPr>
          <w:rFonts w:cs="Calibri"/>
        </w:rPr>
        <w:fldChar w:fldCharType="separate"/>
      </w:r>
      <w:r>
        <w:rPr>
          <w:rFonts w:cs="Calibri"/>
          <w:noProof/>
        </w:rPr>
        <w:t>(Taylor et al., 2022)</w:t>
      </w:r>
      <w:r>
        <w:rPr>
          <w:rFonts w:cs="Calibri"/>
        </w:rPr>
        <w:fldChar w:fldCharType="end"/>
      </w:r>
      <w:r>
        <w:rPr>
          <w:rFonts w:cs="Calibri"/>
        </w:rPr>
        <w:t xml:space="preserve">. This work varies from FRS to FRS and is largely due to the geographical need of the area with areas experiencing different risks, such as Merseyside FRS’ increased risk of fire due to alcohol and drug use in their area </w:t>
      </w:r>
      <w:r>
        <w:fldChar w:fldCharType="begin" w:fldLock="1"/>
      </w:r>
      <w:r>
        <w:rPr>
          <w:rFonts w:cs="Calibri"/>
        </w:rPr>
        <w:instrText>ADDIN CSL_CITATION {"citationItems":[{"id":"ITEM-1","itemData":{"DOI":"10.1007/s10694-022-01249-8","ISSN":"15728099","abstract":"In this article, we examine fire prevention targeting by Merseyside Fire and Rescue Service in the North West of England. We examine social group, spatial, and lifestyle and behaviours targeting, and the targeted use of fire prevention approaches including home fire safety checks, community, and educational engagement events, websites, social media, and home fire safety self-assessment software tools. In particular, we examine the fire prevention approaches used by Merseyside Fire and Rescue Service, the approaches that were used to identify those most at risk of accidental dwelling fire incidents, injuries, and fatalities, and the strategies adopted for the targeting of fire prevention resources.","author":[{"dropping-particle":"","family":"Taylor","given":"M;","non-dropping-particle":"","parse-names":false,"suffix":""},{"dropping-particle":"","family":"Oakford","given":"G;","non-dropping-particle":"","parse-names":false,"suffix":""},{"dropping-particle":"","family":"Appleton","given":"D;","non-dropping-particle":"","parse-names":false,"suffix":""},{"dropping-particle":"","family":"Fielding","given":"J;","non-dropping-particle":"","parse-names":false,"suffix":""}],"container-title":"Fire Technology","id":"ITEM-1","issued":{"date-parts":[["2022"]]},"page":"1827-1837","title":"Fire Prevention Targeting by Merseyside Fire and Rescue Service in UK","type":"article-journal","volume":"58"},"uris":["http://www.mendeley.com/documents/?uuid=b119eb76-c3e9-41a6-a271-3da64384befa"]}],"mendeley":{"formattedCitation":"(Taylor et al., 2022)","plainTextFormattedCitation":"(Taylor et al., 2022)","previouslyFormattedCitation":"(Taylor et al., 2022)"},"properties":{"noteIndex":0},"schema":"https://github.com/citation-style-language/schema/raw/master/csl-citation.json"}</w:instrText>
      </w:r>
      <w:r>
        <w:rPr>
          <w:rFonts w:cs="Calibri"/>
        </w:rPr>
        <w:fldChar w:fldCharType="separate"/>
      </w:r>
      <w:r>
        <w:rPr>
          <w:rFonts w:cs="Calibri"/>
          <w:noProof/>
        </w:rPr>
        <w:t>(Taylor et al., 2022)</w:t>
      </w:r>
      <w:r>
        <w:rPr>
          <w:rFonts w:cs="Calibri"/>
        </w:rPr>
        <w:fldChar w:fldCharType="end"/>
      </w:r>
      <w:r>
        <w:rPr>
          <w:rFonts w:cs="Calibri"/>
        </w:rPr>
        <w:t>. This requires individual FRS</w:t>
      </w:r>
      <w:r w:rsidR="00601CFD">
        <w:rPr>
          <w:rFonts w:cs="Calibri"/>
        </w:rPr>
        <w:t>’</w:t>
      </w:r>
      <w:r>
        <w:rPr>
          <w:rFonts w:cs="Calibri"/>
        </w:rPr>
        <w:t xml:space="preserve"> to understand the risk of fire and other disasters in their area and to tailor specific approaches.</w:t>
      </w:r>
    </w:p>
    <w:p w14:paraId="44B730FE" w14:textId="77777777" w:rsidR="00787F73" w:rsidRDefault="00787F73" w:rsidP="00866155">
      <w:pPr>
        <w:rPr>
          <w:rFonts w:cs="Calibri"/>
        </w:rPr>
      </w:pPr>
    </w:p>
    <w:p w14:paraId="42DF5C49" w14:textId="72CD4E2D" w:rsidR="00787F73" w:rsidRDefault="00742FB7" w:rsidP="00866155">
      <w:r>
        <w:rPr>
          <w:rFonts w:cs="Calibri"/>
        </w:rPr>
        <w:t>These approaches have appeared to work, with numbers of fires and fire fatalities having decreased nationally, however, so ha</w:t>
      </w:r>
      <w:r w:rsidR="00727B83">
        <w:rPr>
          <w:rFonts w:cs="Calibri"/>
        </w:rPr>
        <w:t>s</w:t>
      </w:r>
      <w:r>
        <w:rPr>
          <w:rFonts w:cs="Calibri"/>
        </w:rPr>
        <w:t xml:space="preserve"> their budget, requiring FRS to develop innovative strategies to continue to reduce fires and fire fatalities, although correlation is not causation </w:t>
      </w:r>
      <w:r>
        <w:fldChar w:fldCharType="begin" w:fldLock="1"/>
      </w:r>
      <w:r>
        <w:rPr>
          <w:rFonts w:cs="Calibri"/>
        </w:rPr>
        <w:instrText>ADDIN CSL_CITATION {"citationItems":[{"id":"ITEM-1","itemData":{"DOI":"10.1007/s10694-022-01249-8","ISSN":"15728099","abstract":"In this article, we examine fire prevention targeting by Merseyside Fire and Rescue Service in the North West of England. We examine social group, spatial, and lifestyle and behaviours targeting, and the targeted use of fire prevention approaches including home fire safety checks, community, and educational engagement events, websites, social media, and home fire safety self-assessment software tools. In particular, we examine the fire prevention approaches used by Merseyside Fire and Rescue Service, the approaches that were used to identify those most at risk of accidental dwelling fire incidents, injuries, and fatalities, and the strategies adopted for the targeting of fire prevention resources.","author":[{"dropping-particle":"","family":"Taylor","given":"M;","non-dropping-particle":"","parse-names":false,"suffix":""},{"dropping-particle":"","family":"Oakford","given":"G;","non-dropping-particle":"","parse-names":false,"suffix":""},{"dropping-particle":"","family":"Appleton","given":"D;","non-dropping-particle":"","parse-names":false,"suffix":""},{"dropping-particle":"","family":"Fielding","given":"J;","non-dropping-particle":"","parse-names":false,"suffix":""}],"container-title":"Fire Technology","id":"ITEM-1","issued":{"date-parts":[["2022"]]},"page":"1827-1837","title":"Fire Prevention Targeting by Merseyside Fire and Rescue Service in UK","type":"article-journal","volume":"58"},"uris":["http://www.mendeley.com/documents/?uuid=b119eb76-c3e9-41a6-a271-3da64384befa"]},{"id":"ITEM-2","itemData":{"author":[{"dropping-particle":"","family":"Waring","given":"Sara","non-dropping-particle":"","parse-names":false,"suffix":""},{"dropping-particle":"","family":"Bromley","given":"Caitlin","non-dropping-particle":"","parse-names":false,"suffix":""},{"dropping-particle":"","family":"Giles","given":"Susan","non-dropping-particle":"","parse-names":false,"suffix":""}],"id":"ITEM-2","issue":"July","issued":{"date-parts":[["2022"]]},"number-of-pages":"1-17","title":"Economic Evaluation of Fire and Rescue Service Activities : A Scoping Review","type":"report"},"uris":["http://www.mendeley.com/documents/?uuid=50784e0c-6920-43d9-85c2-0d903a9aa97c"]}],"mendeley":{"formattedCitation":"(Taylor et al., 2022; Waring, Bromley, &amp; Giles, 2022)","plainTextFormattedCitation":"(Taylor et al., 2022; Waring, Bromley, &amp; Giles, 2022)","previouslyFormattedCitation":"(Taylor et al., 2022; Waring, Bromley, &amp; Giles, 2022)"},"properties":{"noteIndex":0},"schema":"https://github.com/citation-style-language/schema/raw/master/csl-citation.json"}</w:instrText>
      </w:r>
      <w:r>
        <w:rPr>
          <w:rFonts w:cs="Calibri"/>
        </w:rPr>
        <w:fldChar w:fldCharType="separate"/>
      </w:r>
      <w:r>
        <w:rPr>
          <w:rFonts w:cs="Calibri"/>
          <w:noProof/>
        </w:rPr>
        <w:t>(Taylor et al., 2022; Waring, Bromley, &amp; Giles, 2022)</w:t>
      </w:r>
      <w:r>
        <w:rPr>
          <w:rFonts w:cs="Calibri"/>
        </w:rPr>
        <w:fldChar w:fldCharType="end"/>
      </w:r>
      <w:r>
        <w:rPr>
          <w:rFonts w:cs="Calibri"/>
        </w:rPr>
        <w:t xml:space="preserve">. Central government funding for the FRS decreased by £137 million between 2010 and 2020, and </w:t>
      </w:r>
      <w:r w:rsidR="00C84401">
        <w:rPr>
          <w:rFonts w:cs="Calibri"/>
        </w:rPr>
        <w:t xml:space="preserve">while </w:t>
      </w:r>
      <w:r>
        <w:rPr>
          <w:rFonts w:cs="Calibri"/>
        </w:rPr>
        <w:t xml:space="preserve">the fires and fatalities have also decreased </w:t>
      </w:r>
      <w:r>
        <w:fldChar w:fldCharType="begin" w:fldLock="1"/>
      </w:r>
      <w:r>
        <w:rPr>
          <w:rFonts w:cs="Calibri"/>
        </w:rPr>
        <w:instrText>ADDIN CSL_CITATION {"citationItems":[{"id":"ITEM-1","itemData":{"author":[{"dropping-particle":"","family":"Waring","given":"Sara","non-dropping-particle":"","parse-names":false,"suffix":""},{"dropping-particle":"","family":"Bromley","given":"Caitlin","non-dropping-particle":"","parse-names":false,"suffix":""},{"dropping-particle":"","family":"Giles","given":"Susan","non-dropping-particle":"","parse-names":false,"suffix":""}],"id":"ITEM-1","issue":"July","issued":{"date-parts":[["2022"]]},"number-of-pages":"1-17","title":"Economic Evaluation of Fire and Rescue Service Activities : A Scoping Review","type":"report"},"uris":["http://www.mendeley.com/documents/?uuid=50784e0c-6920-43d9-85c2-0d903a9aa97c"]}],"mendeley":{"formattedCitation":"(Waring, Bromley, &amp; Giles, 2022)","plainTextFormattedCitation":"(Waring, Bromley, &amp; Giles, 2022)","previouslyFormattedCitation":"(Waring, Bromley, &amp; Giles, 2022)"},"properties":{"noteIndex":0},"schema":"https://github.com/citation-style-language/schema/raw/master/csl-citation.json"}</w:instrText>
      </w:r>
      <w:r>
        <w:rPr>
          <w:rFonts w:cs="Calibri"/>
        </w:rPr>
        <w:fldChar w:fldCharType="separate"/>
      </w:r>
      <w:r>
        <w:rPr>
          <w:rFonts w:cs="Calibri"/>
          <w:noProof/>
        </w:rPr>
        <w:t>(Waring, Bromley, &amp; Giles, 2022)</w:t>
      </w:r>
      <w:r>
        <w:rPr>
          <w:rFonts w:cs="Calibri"/>
        </w:rPr>
        <w:fldChar w:fldCharType="end"/>
      </w:r>
      <w:r>
        <w:rPr>
          <w:rFonts w:cs="Calibri"/>
        </w:rPr>
        <w:t xml:space="preserve">, there is a growing concern over future risk, specifically climate change and the increased threat of wildfires, flooding, heatwaves, and droughts, which the FRS has a statutory obligation to respond to. This implies that the FRS as a whole is not able to develop proactive resilience </w:t>
      </w:r>
      <w:r>
        <w:fldChar w:fldCharType="begin" w:fldLock="1"/>
      </w:r>
      <w:r>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Pr>
          <w:rFonts w:cs="Calibri"/>
        </w:rPr>
        <w:fldChar w:fldCharType="separate"/>
      </w:r>
      <w:r>
        <w:rPr>
          <w:rFonts w:cs="Calibri"/>
          <w:noProof/>
        </w:rPr>
        <w:t>(Carmen et al., 2022)</w:t>
      </w:r>
      <w:r>
        <w:rPr>
          <w:rFonts w:cs="Calibri"/>
        </w:rPr>
        <w:fldChar w:fldCharType="end"/>
      </w:r>
      <w:r>
        <w:rPr>
          <w:rFonts w:cs="Calibri"/>
        </w:rPr>
        <w:t xml:space="preserve"> as there is not currently a budget for this type of work </w:t>
      </w:r>
      <w:r>
        <w:fldChar w:fldCharType="begin" w:fldLock="1"/>
      </w:r>
      <w:r>
        <w:rPr>
          <w:rFonts w:cs="Calibri"/>
        </w:rPr>
        <w:instrText>ADDIN CSL_CITATION {"citationItems":[{"id":"ITEM-1","itemData":{"author":[{"dropping-particle":"","family":"Waring","given":"Sara","non-dropping-particle":"","parse-names":false,"suffix":""},{"dropping-particle":"","family":"Bromley","given":"Caitlin","non-dropping-particle":"","parse-names":false,"suffix":""},{"dropping-particle":"","family":"Giles","given":"Susan","non-dropping-particle":"","parse-names":false,"suffix":""}],"id":"ITEM-1","issue":"July","issued":{"date-parts":[["2022"]]},"number-of-pages":"1-17","title":"Economic Evaluation of Fire and Rescue Service Activities : A Scoping Review","type":"report"},"uris":["http://www.mendeley.com/documents/?uuid=50784e0c-6920-43d9-85c2-0d903a9aa97c"]}],"mendeley":{"formattedCitation":"(Waring, Bromley, &amp; Giles, 2022)","plainTextFormattedCitation":"(Waring, Bromley, &amp; Giles, 2022)","previouslyFormattedCitation":"(Waring, Bromley, &amp; Giles, 2022)"},"properties":{"noteIndex":0},"schema":"https://github.com/citation-style-language/schema/raw/master/csl-citation.json"}</w:instrText>
      </w:r>
      <w:r>
        <w:rPr>
          <w:rFonts w:cs="Calibri"/>
        </w:rPr>
        <w:fldChar w:fldCharType="separate"/>
      </w:r>
      <w:r>
        <w:rPr>
          <w:rFonts w:cs="Calibri"/>
          <w:noProof/>
        </w:rPr>
        <w:t>(Waring, Bromley, &amp; Giles, 2022)</w:t>
      </w:r>
      <w:r>
        <w:rPr>
          <w:rFonts w:cs="Calibri"/>
        </w:rPr>
        <w:fldChar w:fldCharType="end"/>
      </w:r>
      <w:r>
        <w:rPr>
          <w:rFonts w:cs="Calibri"/>
        </w:rPr>
        <w:t xml:space="preserve">. This required them to look for cheaper alternatives for community engagement, one of which is social media. This increased use of social media is viewed as increasing participation (not always the case as explored in the digital divide section above), and also transparency </w:t>
      </w:r>
      <w:r>
        <w:fldChar w:fldCharType="begin" w:fldLock="1"/>
      </w:r>
      <w:r w:rsidR="00974B75">
        <w:rPr>
          <w:rFonts w:cs="Calibri"/>
        </w:rPr>
        <w:instrText>ADDIN CSL_CITATION {"citationItems":[{"id":"ITEM-1","itemData":{"DOI":"10.1016/j.jaging.2021.100952","ISSN":"08904065","PMID":"34425987","abstract":"European local authorities increasingly use social media to present services and activities organized for citizens living in the particular area. Previous studies found that authority-managed social media visually depicted older adults as being active, sociable, happy, and physically capable, reflecting the normative “third age” representation. Yet few studies to date have examined how local authorities produce the photos of older adults for social media posting. Drawing on semi-structured interviews with communication officers in a Swedish municipality, the purpose of this study is to investigate the production process for social media photos of older adults within local authorities from an institutional logics perspective. The analysis illustrates that communication officers strive to create a good image of the municipality and its services, follow municipal policy and EU law on data protection, seek photos through particular sources, adjust to and develop photographic standards of good photos, and endeavor to promote social media engagement in the photos. These motives and work practices of communication officers contribute to the visual representations of older adults as engaging in municipal services, being socially active, and staying physically capable. The analysis also indicates that both social media and bureaucratic logics encourage officers to produce photos of older adults that highlight the bright side of later life. The findings contribute to previous studies on online representations of older adults generated by local authorities, by showing how the third age representation may come about in practice, and which logics may influence officers to generate such representation. Furthermore, the knowledge provided could be used as a basis for assessment and improvement on authorities' production for social media photos of older adults, which in turn contributes to more diverse and thoughtful representations of older adults and later life in authority-managed social media.","author":[{"dropping-particle":"","family":"Xu","given":"Wenqian","non-dropping-particle":"","parse-names":false,"suffix":""},{"dropping-particle":"","family":"Taghizadeh Larsson","given":"Annika","non-dropping-particle":"","parse-names":false,"suffix":""}],"container-title":"Journal of Aging Studies","id":"ITEM-1","issued":{"date-parts":[["2021"]]},"page":"1 - 11","title":"Communication officers in local authorities meeting social media: On the production of social media photos of older adults","type":"article-journal","volume":"58"},"uris":["http://www.mendeley.com/documents/?uuid=f57bd4e4-c651-431d-b4c2-8a0250ed77b5"]}],"mendeley":{"formattedCitation":"(Xu &amp; Taghizadeh Larsson, 2021)","plainTextFormattedCitation":"(Xu &amp; Taghizadeh Larsson, 2021)","previouslyFormattedCitation":"(Xu &amp; Taghizadeh Larsson, 2021)"},"properties":{"noteIndex":0},"schema":"https://github.com/citation-style-language/schema/raw/master/csl-citation.json"}</w:instrText>
      </w:r>
      <w:r>
        <w:rPr>
          <w:rFonts w:cs="Calibri"/>
        </w:rPr>
        <w:fldChar w:fldCharType="separate"/>
      </w:r>
      <w:r>
        <w:rPr>
          <w:rFonts w:cs="Calibri"/>
          <w:noProof/>
        </w:rPr>
        <w:t>(Xu &amp; Taghizadeh Larsson, 2021)</w:t>
      </w:r>
      <w:r>
        <w:rPr>
          <w:rFonts w:cs="Calibri"/>
        </w:rPr>
        <w:fldChar w:fldCharType="end"/>
      </w:r>
      <w:r w:rsidR="00601CFD">
        <w:rPr>
          <w:rFonts w:cs="Calibri"/>
        </w:rPr>
        <w:t>. This can</w:t>
      </w:r>
      <w:r>
        <w:rPr>
          <w:rFonts w:cs="Calibri"/>
        </w:rPr>
        <w:t xml:space="preserve"> be viewed as another institutional logic created by the </w:t>
      </w:r>
      <w:bookmarkStart w:id="504" w:name="_Hlk148191892"/>
      <w:r>
        <w:rPr>
          <w:rFonts w:cs="Calibri"/>
        </w:rPr>
        <w:t>Local Government Code of Transparency</w:t>
      </w:r>
      <w:bookmarkEnd w:id="504"/>
      <w:r>
        <w:rPr>
          <w:rFonts w:cs="Calibri"/>
        </w:rPr>
        <w:t xml:space="preserve"> in 2015 </w:t>
      </w:r>
      <w:r>
        <w:fldChar w:fldCharType="begin" w:fldLock="1"/>
      </w:r>
      <w:bookmarkStart w:id="505" w:name="_Hlk148191903"/>
      <w:r w:rsidR="00974B75">
        <w:rPr>
          <w:rFonts w:cs="Calibri"/>
        </w:rPr>
        <w:instrText>ADDIN CSL_CITATION {"citationItems":[{"id":"ITEM-1","itemData":{"ISBN":"9781409842262","author":[{"dropping-particle":"","family":"Department for Communities and Local Government","given":"","non-dropping-particle":"","parse-names":false,"suffix":""}],"id":"ITEM-1","issue":"February","issued":{"date-parts":[["2015"]]},"number-of-pages":"1 - 40","publisher":"Department for Communities and Local Government","publisher-place":"London","title":"Local Government Transparency Code 2015","type":"report"},"uris":["http://www.mendeley.com/documents/?uuid=1abbbf11-1fe1-4181-97f5-19ac9363888e"]}],"mendeley":{"formattedCitation":"(Department for Communities and Local Government, 2015)","plainTextFormattedCitation":"(Department for Communities and Local Government, 2015)","previouslyFormattedCitation":"(Department for Communities and Local Government, 2015)"},"properties":{"noteIndex":0},"schema":"https://github.com/citation-style-language/schema/raw/master/csl-citation.json"}</w:instrText>
      </w:r>
      <w:r>
        <w:rPr>
          <w:rFonts w:cs="Calibri"/>
        </w:rPr>
        <w:fldChar w:fldCharType="separate"/>
      </w:r>
      <w:r>
        <w:rPr>
          <w:rFonts w:cs="Calibri"/>
          <w:noProof/>
        </w:rPr>
        <w:t xml:space="preserve">(Department for </w:t>
      </w:r>
      <w:r>
        <w:rPr>
          <w:rFonts w:cs="Calibri"/>
          <w:noProof/>
        </w:rPr>
        <w:lastRenderedPageBreak/>
        <w:t>Communities and Local Government, 2015)</w:t>
      </w:r>
      <w:r>
        <w:rPr>
          <w:rFonts w:cs="Calibri"/>
        </w:rPr>
        <w:fldChar w:fldCharType="end"/>
      </w:r>
      <w:r>
        <w:rPr>
          <w:rFonts w:cs="Calibri"/>
        </w:rPr>
        <w:t>. Therefore, examining an FRS’ use of social media to engage with the community provides not only a contribution to the FRS literature, but also a contribution to FRS policy.</w:t>
      </w:r>
      <w:bookmarkEnd w:id="505"/>
    </w:p>
    <w:p w14:paraId="0DE43876" w14:textId="77777777" w:rsidR="00787F73" w:rsidRDefault="00787F73" w:rsidP="00866155">
      <w:pPr>
        <w:rPr>
          <w:rFonts w:cs="Calibri"/>
        </w:rPr>
      </w:pPr>
    </w:p>
    <w:p w14:paraId="0756B57A" w14:textId="77777777" w:rsidR="00787F73" w:rsidRDefault="00742FB7" w:rsidP="00866155">
      <w:pPr>
        <w:pStyle w:val="Heading3"/>
      </w:pPr>
      <w:bookmarkStart w:id="506" w:name="_Toc140071610"/>
      <w:bookmarkStart w:id="507" w:name="_Toc153554332"/>
      <w:bookmarkStart w:id="508" w:name="_Toc10621111"/>
      <w:bookmarkStart w:id="509" w:name="_Toc3183403"/>
      <w:bookmarkStart w:id="510" w:name="_Toc98148373"/>
      <w:bookmarkStart w:id="511" w:name="_Toc93336028"/>
      <w:bookmarkStart w:id="512" w:name="_Toc22633738"/>
      <w:bookmarkStart w:id="513" w:name="_Toc158823573"/>
      <w:bookmarkStart w:id="514" w:name="_Toc193367214"/>
      <w:r>
        <w:rPr>
          <w:rFonts w:ascii="Calibri" w:hAnsi="Calibri" w:cs="Calibri"/>
        </w:rPr>
        <w:t>2.6.4: Conclusion</w:t>
      </w:r>
      <w:bookmarkEnd w:id="506"/>
      <w:bookmarkEnd w:id="507"/>
      <w:bookmarkEnd w:id="508"/>
      <w:bookmarkEnd w:id="509"/>
      <w:bookmarkEnd w:id="510"/>
      <w:bookmarkEnd w:id="511"/>
      <w:bookmarkEnd w:id="512"/>
      <w:bookmarkEnd w:id="513"/>
      <w:bookmarkEnd w:id="514"/>
    </w:p>
    <w:p w14:paraId="247CBC0C" w14:textId="010D180F" w:rsidR="00787F73" w:rsidRDefault="00742FB7" w:rsidP="00866155">
      <w:r>
        <w:rPr>
          <w:rFonts w:cs="Calibri"/>
        </w:rPr>
        <w:t xml:space="preserve">This section provided a brief overview of the political landscape from 1997 through to the present day, with the changing institutional logics of different governments in power, and by highlighting </w:t>
      </w:r>
      <w:r w:rsidR="00601CFD">
        <w:rPr>
          <w:rFonts w:cs="Calibri"/>
        </w:rPr>
        <w:t xml:space="preserve">the </w:t>
      </w:r>
      <w:r>
        <w:rPr>
          <w:rFonts w:cs="Calibri"/>
        </w:rPr>
        <w:t xml:space="preserve">themes of responsibility and collaboration. </w:t>
      </w:r>
      <w:r>
        <w:rPr>
          <w:rFonts w:cs="Calibri"/>
          <w:color w:val="000000"/>
        </w:rPr>
        <w:t xml:space="preserve">The theme of </w:t>
      </w:r>
      <w:r w:rsidRPr="00A0151B">
        <w:rPr>
          <w:rFonts w:cs="Calibri"/>
          <w:i/>
          <w:iCs/>
          <w:color w:val="000000"/>
        </w:rPr>
        <w:t>responsibility</w:t>
      </w:r>
      <w:r>
        <w:rPr>
          <w:rFonts w:cs="Calibri"/>
          <w:color w:val="000000"/>
        </w:rPr>
        <w:t xml:space="preserve"> was identified and looked at through different agencies’ involvements in proactive and reactive emergency environments, and the wider discourse of individual or governmental responsibility for resilience and community care. Another theme within this chapter was </w:t>
      </w:r>
      <w:r>
        <w:rPr>
          <w:rFonts w:cs="Calibri"/>
          <w:i/>
          <w:iCs/>
          <w:color w:val="000000"/>
        </w:rPr>
        <w:t>collaboration</w:t>
      </w:r>
      <w:r>
        <w:rPr>
          <w:rFonts w:cs="Calibri"/>
          <w:color w:val="000000"/>
        </w:rPr>
        <w:t xml:space="preserve">, which was tied to the modernisation agenda and the increasing focus on multi-agency collaboration, such as the CCA (2004). These two themes highlight the shifting state of institutional drivers within and across FRSs, with regulatory institutional changes influencing the inner workings of </w:t>
      </w:r>
      <w:r w:rsidR="00727B83">
        <w:rPr>
          <w:rFonts w:cs="Calibri"/>
          <w:color w:val="000000"/>
        </w:rPr>
        <w:t>an</w:t>
      </w:r>
      <w:r>
        <w:rPr>
          <w:rFonts w:cs="Calibri"/>
          <w:color w:val="000000"/>
        </w:rPr>
        <w:t xml:space="preserve"> FRS and how they engage and work with their surrounding communities.</w:t>
      </w:r>
    </w:p>
    <w:p w14:paraId="6046F113" w14:textId="77777777" w:rsidR="00787F73" w:rsidRDefault="00787F73" w:rsidP="00866155">
      <w:pPr>
        <w:rPr>
          <w:rFonts w:cs="Calibri"/>
          <w:color w:val="000000"/>
        </w:rPr>
      </w:pPr>
    </w:p>
    <w:p w14:paraId="1C9B4224" w14:textId="77777777" w:rsidR="00787F73" w:rsidRDefault="00742FB7" w:rsidP="00866155">
      <w:r>
        <w:rPr>
          <w:rFonts w:cs="Calibri"/>
          <w:color w:val="000000"/>
        </w:rPr>
        <w:t>This section explored the influence of neoliberalism, with a specific focus on NPM and the political drive to reduce costs within the public sector. The influence of neoliberalism creates a contradiction within the functioning of FRS, as they are given statutory responsibilities to prevent, collaborate, and create resilience communities, without providing additional resources with which to meet these goals, encouraging them to ensure efficiency in their limited resources.</w:t>
      </w:r>
    </w:p>
    <w:p w14:paraId="0B45298F" w14:textId="77777777" w:rsidR="00787F73" w:rsidRDefault="00787F73" w:rsidP="00A0151B">
      <w:pPr>
        <w:rPr>
          <w:rFonts w:cs="Calibri"/>
        </w:rPr>
      </w:pPr>
      <w:bookmarkStart w:id="515" w:name="_Toc168569251"/>
      <w:bookmarkStart w:id="516" w:name="_Hlk146210362"/>
      <w:bookmarkEnd w:id="515"/>
    </w:p>
    <w:p w14:paraId="77581B8D" w14:textId="77777777" w:rsidR="00787F73" w:rsidRDefault="00742FB7" w:rsidP="00866155">
      <w:pPr>
        <w:pStyle w:val="Heading2"/>
      </w:pPr>
      <w:bookmarkStart w:id="517" w:name="_Toc93410823"/>
      <w:bookmarkStart w:id="518" w:name="_Toc93335987"/>
      <w:bookmarkStart w:id="519" w:name="_Toc139645588"/>
      <w:bookmarkStart w:id="520" w:name="_Toc139636634"/>
      <w:bookmarkStart w:id="521" w:name="_Toc138687422"/>
      <w:bookmarkStart w:id="522" w:name="_Toc98148323"/>
      <w:bookmarkStart w:id="523" w:name="_Toc67579762"/>
      <w:bookmarkStart w:id="524" w:name="_Toc153554333"/>
      <w:bookmarkStart w:id="525" w:name="_Toc158823574"/>
      <w:bookmarkStart w:id="526" w:name="_Toc193367215"/>
      <w:r>
        <w:rPr>
          <w:rFonts w:ascii="Calibri" w:hAnsi="Calibri" w:cs="Calibri"/>
        </w:rPr>
        <w:t xml:space="preserve">2.7: </w:t>
      </w:r>
      <w:bookmarkEnd w:id="517"/>
      <w:bookmarkEnd w:id="518"/>
      <w:bookmarkEnd w:id="519"/>
      <w:bookmarkEnd w:id="520"/>
      <w:bookmarkEnd w:id="521"/>
      <w:bookmarkEnd w:id="522"/>
      <w:bookmarkEnd w:id="523"/>
      <w:r>
        <w:rPr>
          <w:rFonts w:ascii="Calibri" w:hAnsi="Calibri" w:cs="Calibri"/>
        </w:rPr>
        <w:t>Chapter Conclusion</w:t>
      </w:r>
      <w:bookmarkEnd w:id="516"/>
      <w:bookmarkEnd w:id="524"/>
      <w:bookmarkEnd w:id="525"/>
      <w:bookmarkEnd w:id="526"/>
    </w:p>
    <w:p w14:paraId="6638F3C1" w14:textId="7B76F6F3" w:rsidR="0013548C" w:rsidRDefault="00742FB7" w:rsidP="00A0151B">
      <w:pPr>
        <w:rPr>
          <w:rFonts w:cs="Calibri"/>
        </w:rPr>
      </w:pPr>
      <w:r>
        <w:rPr>
          <w:rFonts w:cs="Calibri"/>
        </w:rPr>
        <w:t xml:space="preserve">This chapter provided a literature review of both theories and the main contextual topics, providing definitions, models, key concepts, and themes. It explored and examined the use of institutional theory as the lens for the project, examining the context and data using the principles of institutional theory. This theoretical approach was supported with communication theory, examining how the institutions communicate and the practicalities of communication. This nesting of theories aims to better understand the influences and </w:t>
      </w:r>
      <w:r>
        <w:rPr>
          <w:rFonts w:cs="Calibri"/>
        </w:rPr>
        <w:lastRenderedPageBreak/>
        <w:t>drivers impacting SYFR’s engagement with their surrounding communities</w:t>
      </w:r>
      <w:r w:rsidR="00D94552">
        <w:rPr>
          <w:rFonts w:cs="Calibri"/>
        </w:rPr>
        <w:t>. E</w:t>
      </w:r>
      <w:r>
        <w:rPr>
          <w:rFonts w:cs="Calibri"/>
        </w:rPr>
        <w:t>ach of the theories focus</w:t>
      </w:r>
      <w:r w:rsidR="00D94552">
        <w:rPr>
          <w:rFonts w:cs="Calibri"/>
        </w:rPr>
        <w:t>ed</w:t>
      </w:r>
      <w:r>
        <w:rPr>
          <w:rFonts w:cs="Calibri"/>
        </w:rPr>
        <w:t xml:space="preserve"> on different aspects of the interaction between SYFR and the community, with the communication theory focusing on how they communicate, and the institutional theory focusing on why they communicate specific content. </w:t>
      </w:r>
    </w:p>
    <w:p w14:paraId="4B7CB2FD" w14:textId="77777777" w:rsidR="0013548C" w:rsidRPr="00A0151B" w:rsidRDefault="0013548C" w:rsidP="00A0151B">
      <w:pPr>
        <w:rPr>
          <w:rFonts w:cs="Calibri"/>
        </w:rPr>
      </w:pPr>
    </w:p>
    <w:p w14:paraId="6C93B69F" w14:textId="77777777" w:rsidR="00787F73" w:rsidRDefault="00742FB7" w:rsidP="0013548C">
      <w:r>
        <w:rPr>
          <w:rFonts w:cs="Calibri"/>
        </w:rPr>
        <w:t>These sections have shown there are similarities between the two theories, such as the role of social construction within institutions and communications, and between risk and the creation and maintenance of institutional logics. These theories not only provide a lens with which to examine SYFR’s communication, but they are also examined as a phenomenon in their own right</w:t>
      </w:r>
      <w:r>
        <w:rPr>
          <w:rFonts w:cs="Calibri"/>
          <w:lang w:eastAsia="en-US"/>
        </w:rPr>
        <w:t xml:space="preserve"> </w:t>
      </w:r>
      <w:r>
        <w:fldChar w:fldCharType="begin" w:fldLock="1"/>
      </w:r>
      <w:r w:rsidR="00F47FBA">
        <w:rPr>
          <w:rFonts w:cs="Calibri"/>
          <w:lang w:eastAsia="en-US"/>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Phenomena","type":"article-journal","volume":"47"},"uris":["http://www.mendeley.com/documents/?uuid=3561369e-31b0-40ce-940d-739bd34cab24"]},{"id":"ITEM-2","itemData":{"DOI":"10.1177/0170840618772610","ISSN":"17413044","abstract":"We trace the development of neo-institutional theory in Organization Studies from a marginal topic to the dominant theory. We show how it has evolved from infancy, through adolescence and early adulthood to being a fully mature theory, which we think is now facing a mid-life crisis. Some of the features of this mid-life crisis include over-reach, myopia, tautology, pseudo-progress and re-inventing the wheel. To address these problems, we argue that institutional theorists should limit the range of the concept, sharpen their lens, avoid tautologies and problematize the concept. By doing this, we think institutional theorists could develop a narrower and more focused conception of institutions.","author":[{"dropping-particle":"","family":"Alvesson","given":"Mats","non-dropping-particle":"","parse-names":false,"suffix":""},{"dropping-particle":"","family":"Spicer","given":"André","non-dropping-particle":"","parse-names":false,"suffix":""}],"container-title":"Organization Studies","id":"ITEM-2","issue":"2","issued":{"date-parts":[["2018"]]},"page":"199-218","title":"Neo-Institutional Theory and Organization Studies: A Mid-Life Crisis?","type":"article-journal","volume":"40"},"uris":["http://www.mendeley.com/documents/?uuid=ad005068-a41e-40b8-971b-83958fe620ab"]}],"mendeley":{"formattedCitation":"(Lounsbury et al., 2021; Alvesson &amp; Spicer, 2018)","plainTextFormattedCitation":"(Lounsbury et al., 2021; Alvesson &amp; Spicer, 2018)","previouslyFormattedCitation":"(Lounsbury et al., 2021; Alvesson &amp; Spicer, 2018)"},"properties":{"noteIndex":0},"schema":"https://github.com/citation-style-language/schema/raw/master/csl-citation.json"}</w:instrText>
      </w:r>
      <w:r>
        <w:rPr>
          <w:rFonts w:cs="Calibri"/>
          <w:lang w:eastAsia="en-US"/>
        </w:rPr>
        <w:fldChar w:fldCharType="separate"/>
      </w:r>
      <w:r w:rsidR="00F47FBA" w:rsidRPr="00F47FBA">
        <w:rPr>
          <w:rFonts w:cs="Calibri"/>
          <w:noProof/>
        </w:rPr>
        <w:t>(Lounsbury et al., 2021; Alvesson &amp; Spicer, 2018)</w:t>
      </w:r>
      <w:r>
        <w:rPr>
          <w:rFonts w:cs="Calibri"/>
          <w:lang w:eastAsia="en-US"/>
        </w:rPr>
        <w:fldChar w:fldCharType="end"/>
      </w:r>
      <w:r>
        <w:rPr>
          <w:rFonts w:cs="Calibri"/>
        </w:rPr>
        <w:t>, with RQ2 (see chapter 5) examining how and which institutional logics influence and shape SYFR’s communication strategy.</w:t>
      </w:r>
    </w:p>
    <w:p w14:paraId="79D1DCE8" w14:textId="77777777" w:rsidR="00787F73" w:rsidRDefault="00787F73" w:rsidP="0013548C">
      <w:pPr>
        <w:rPr>
          <w:rFonts w:cs="Calibri"/>
        </w:rPr>
      </w:pPr>
    </w:p>
    <w:p w14:paraId="0314A6E6" w14:textId="77777777" w:rsidR="00787F73" w:rsidRDefault="00742FB7" w:rsidP="0013548C">
      <w:r>
        <w:rPr>
          <w:rFonts w:cs="Calibri"/>
        </w:rPr>
        <w:t>This chapter then examined the literature surrounding the context of the project: disasters; community resilience; social media; and the FRS. Exploring the definitions and key concepts of these topics enabled this thesis to view shared themes across these topics, such as temporality, space, responsibility, and a growing influence of neoliberalism on these topics.</w:t>
      </w:r>
    </w:p>
    <w:p w14:paraId="4A536759" w14:textId="1DECCF86" w:rsidR="00787F73" w:rsidRDefault="00742FB7" w:rsidP="00A0151B">
      <w:pPr>
        <w:rPr>
          <w:rFonts w:cs="Calibri"/>
        </w:rPr>
      </w:pPr>
      <w:r>
        <w:rPr>
          <w:rFonts w:cs="Calibri"/>
        </w:rPr>
        <w:t xml:space="preserve">Firstly, temporality, which is a theme present in most sections of this chapter with both institutional and communication theory having a link to temporality, with institutions and their logics shifting and adapting over time, and communication styles, messages and approaches having differing effectiveness with increasing time, such as PICs and risk communication. This is also continued in the main context of this project, disasters, with a very strong temporal theme with the </w:t>
      </w:r>
      <w:r w:rsidR="0038275C">
        <w:rPr>
          <w:rFonts w:cs="Calibri"/>
        </w:rPr>
        <w:t>Disaster Management Cycle</w:t>
      </w:r>
      <w:r>
        <w:rPr>
          <w:rFonts w:cs="Calibri"/>
        </w:rPr>
        <w:t xml:space="preserve">. This suggested there is a difference to how the phase of disasters is communicated, and how organisations need to communicate risk to community stakeholders, perhaps indicating differing institutional logics for these different phases. </w:t>
      </w:r>
    </w:p>
    <w:p w14:paraId="603D1C29" w14:textId="77777777" w:rsidR="00B97CA3" w:rsidRDefault="00B97CA3" w:rsidP="00A0151B"/>
    <w:p w14:paraId="1DC7F4F7" w14:textId="1D63860B" w:rsidR="00787F73" w:rsidRDefault="00742FB7" w:rsidP="00A0151B">
      <w:pPr>
        <w:rPr>
          <w:rFonts w:cs="Calibri"/>
        </w:rPr>
      </w:pPr>
      <w:r>
        <w:rPr>
          <w:rFonts w:cs="Calibri"/>
        </w:rPr>
        <w:t xml:space="preserve">The second theme examined the spatial; within both theories there are spatial elements in terms of both tangible and intangible space. Communication theory focuses on audiences, which can concentrate on a geographically set area, such as the community of South Yorkshire, or it can focus on an intangible space, such as communities online. Similarly, </w:t>
      </w:r>
      <w:r>
        <w:rPr>
          <w:rFonts w:cs="Calibri"/>
        </w:rPr>
        <w:lastRenderedPageBreak/>
        <w:t xml:space="preserve">institutional logics focus on tangible and intangible spaces, as institutions can be embodied by organisations or can be larger more cultural focused institutions. These link into the contextual topics too. With disasters being experienced at a hyperlocal level, </w:t>
      </w:r>
      <w:r w:rsidR="00C84401">
        <w:rPr>
          <w:rFonts w:cs="Calibri"/>
        </w:rPr>
        <w:t xml:space="preserve">while </w:t>
      </w:r>
      <w:r>
        <w:rPr>
          <w:rFonts w:cs="Calibri"/>
        </w:rPr>
        <w:t>social media can be experienced locally and globally. This is an interesting form of spatial scale, as organisations such as SYFR have a main statutory obligation to support those residing in South Yorkshire; however, as explored with institutional pluralism, the logics from central government may not be the only ones influencing the work of SYFR.</w:t>
      </w:r>
    </w:p>
    <w:p w14:paraId="767E7D91" w14:textId="77777777" w:rsidR="00B97CA3" w:rsidRDefault="00B97CA3" w:rsidP="00A0151B"/>
    <w:p w14:paraId="6B56C794" w14:textId="1A88DD02" w:rsidR="00787F73" w:rsidRDefault="00742FB7" w:rsidP="00A0151B">
      <w:pPr>
        <w:rPr>
          <w:rFonts w:cs="Calibri"/>
        </w:rPr>
      </w:pPr>
      <w:r>
        <w:rPr>
          <w:rFonts w:cs="Calibri"/>
        </w:rPr>
        <w:t xml:space="preserve">The third theme emerging from the literature is that of responsibility, which is not only tied to both the obligations of SYFR, but also the growing focus on building community resilience. These appear to be linked to a wider neoliberal narrative, reducing central state responsibility, and shifting the responsibility to local actors, but also combined with a reduction in funding and focus on NPM. This theme is important, because there is a growing understanding of the grand challenges in society, such as climate change, and the need for collaboration between agencies and communities to solve these challenges. However, with a growing focus on the role of community, there needs to be an acknowledgement that communities are not </w:t>
      </w:r>
      <w:r w:rsidR="0040407A" w:rsidRPr="0040407A">
        <w:rPr>
          <w:rFonts w:cs="Calibri"/>
        </w:rPr>
        <w:t>homogeneous</w:t>
      </w:r>
      <w:r w:rsidR="00601CFD">
        <w:rPr>
          <w:rFonts w:cs="Calibri"/>
        </w:rPr>
        <w:t>.</w:t>
      </w:r>
      <w:r>
        <w:rPr>
          <w:rFonts w:cs="Calibri"/>
        </w:rPr>
        <w:t xml:space="preserve"> </w:t>
      </w:r>
      <w:r w:rsidR="00601CFD">
        <w:rPr>
          <w:rFonts w:cs="Calibri"/>
        </w:rPr>
        <w:t xml:space="preserve">There are </w:t>
      </w:r>
      <w:r>
        <w:rPr>
          <w:rFonts w:cs="Calibri"/>
        </w:rPr>
        <w:t>different abilities and capacities influencing their ability to work towards these grand challenges, which links to a smaller theme of agency.</w:t>
      </w:r>
    </w:p>
    <w:p w14:paraId="7AC254F5" w14:textId="77777777" w:rsidR="00B97CA3" w:rsidRDefault="00B97CA3" w:rsidP="00A0151B"/>
    <w:p w14:paraId="7D397BEE" w14:textId="5B90D36C" w:rsidR="00787F73" w:rsidRDefault="00742FB7" w:rsidP="00866155">
      <w:pPr>
        <w:spacing w:after="160"/>
      </w:pPr>
      <w:r>
        <w:rPr>
          <w:rFonts w:cs="Calibri"/>
        </w:rPr>
        <w:t xml:space="preserve">Within both institutional and communication theories, there is a growing understanding of the agency that individuals have, such as the agency that communicators </w:t>
      </w:r>
      <w:r w:rsidR="00D94552">
        <w:rPr>
          <w:rFonts w:cs="Calibri"/>
        </w:rPr>
        <w:t>must</w:t>
      </w:r>
      <w:r>
        <w:rPr>
          <w:rFonts w:cs="Calibri"/>
        </w:rPr>
        <w:t xml:space="preserve"> shape and share messages, but also within institutions and the literature on institutional agency and the process of frame-switching within institutionally complex environments. This begs the question whether the communities have the agency to develop resilience, and if so, how organisations such as SYFR can support and foster this building of resilience. </w:t>
      </w:r>
      <w:r>
        <w:t xml:space="preserve">These themes and theories weave their way through this thesis, not only in discussion but </w:t>
      </w:r>
      <w:r w:rsidR="00C10161">
        <w:t>they are</w:t>
      </w:r>
      <w:r w:rsidR="009C2AAA">
        <w:t xml:space="preserve"> also embedded within </w:t>
      </w:r>
      <w:r>
        <w:t>the development and action of the project.</w:t>
      </w:r>
    </w:p>
    <w:p w14:paraId="733B35BC" w14:textId="77777777" w:rsidR="0013548C" w:rsidRDefault="0013548C" w:rsidP="00A0151B"/>
    <w:p w14:paraId="38F8836C" w14:textId="77777777" w:rsidR="00787F73" w:rsidRDefault="00742FB7" w:rsidP="00866155">
      <w:bookmarkStart w:id="527" w:name="_Hlk1481680311"/>
      <w:bookmarkEnd w:id="527"/>
      <w:r>
        <w:t xml:space="preserve">This literature review has provided the contextual background and has shown how the research questions were created. With RQ1 (What is SYFR’s communication strategy for </w:t>
      </w:r>
      <w:r>
        <w:lastRenderedPageBreak/>
        <w:t>building community disaster resilience?) building on the risk communication and PIC literature, as well as its contextual grounding in disasters, resilience, and social media.  This chapter has also shown the development of RQ2 (What influences and shapes SYFR’s communication strategy?), exploring what influences and shapes SYFR’s communication strategy by examining the existing research in institutional logics, the political context of the FRS, as well as wider community resilience perspectives. Finally, this chapter has provided the grounding to RQ3 (Who is engaging with SYFR’s content on social media and what implications are there for community resilience?), through examining the growing role of social media and its intersection with communities and their resilience. The following methodology explains the process and methods which were used to answer these questions.</w:t>
      </w:r>
    </w:p>
    <w:p w14:paraId="462E1310" w14:textId="77777777" w:rsidR="00787F73" w:rsidRDefault="00742FB7" w:rsidP="00866155">
      <w:pPr>
        <w:rPr>
          <w:rFonts w:cs="Calibri"/>
        </w:rPr>
      </w:pPr>
      <w:r>
        <w:br w:type="page"/>
      </w:r>
    </w:p>
    <w:p w14:paraId="709E1604" w14:textId="77777777" w:rsidR="00787F73" w:rsidRDefault="00742FB7" w:rsidP="00A0151B">
      <w:pPr>
        <w:pStyle w:val="Heading1"/>
        <w:spacing w:before="0"/>
        <w:jc w:val="center"/>
      </w:pPr>
      <w:bookmarkStart w:id="528" w:name="_Toc147765740"/>
      <w:bookmarkStart w:id="529" w:name="_Toc145019978"/>
      <w:bookmarkStart w:id="530" w:name="_Toc145281024"/>
      <w:bookmarkStart w:id="531" w:name="_Toc153554334"/>
      <w:bookmarkStart w:id="532" w:name="_Toc193367216"/>
      <w:r>
        <w:rPr>
          <w:rFonts w:ascii="Calibri" w:hAnsi="Calibri" w:cs="Calibri"/>
        </w:rPr>
        <w:lastRenderedPageBreak/>
        <w:t>Chapter 3: Methodology</w:t>
      </w:r>
      <w:bookmarkEnd w:id="528"/>
      <w:bookmarkEnd w:id="529"/>
      <w:bookmarkEnd w:id="530"/>
      <w:bookmarkEnd w:id="531"/>
      <w:bookmarkEnd w:id="532"/>
    </w:p>
    <w:p w14:paraId="7BBF830C" w14:textId="77777777" w:rsidR="00787F73" w:rsidRDefault="00742FB7" w:rsidP="00866155">
      <w:pPr>
        <w:pStyle w:val="Heading2"/>
      </w:pPr>
      <w:bookmarkStart w:id="533" w:name="_Toc93336030"/>
      <w:bookmarkStart w:id="534" w:name="_Toc141888833"/>
      <w:bookmarkStart w:id="535" w:name="_Toc98148375"/>
      <w:bookmarkStart w:id="536" w:name="_Toc145281025"/>
      <w:bookmarkStart w:id="537" w:name="_Toc147765741"/>
      <w:bookmarkStart w:id="538" w:name="_Toc145019979"/>
      <w:bookmarkStart w:id="539" w:name="_Toc153554335"/>
      <w:bookmarkStart w:id="540" w:name="_Toc193367217"/>
      <w:r>
        <w:rPr>
          <w:rFonts w:ascii="Calibri" w:hAnsi="Calibri" w:cs="Calibri"/>
        </w:rPr>
        <w:t>3.1: Introduction</w:t>
      </w:r>
      <w:bookmarkEnd w:id="533"/>
      <w:bookmarkEnd w:id="534"/>
      <w:bookmarkEnd w:id="535"/>
      <w:bookmarkEnd w:id="536"/>
      <w:bookmarkEnd w:id="537"/>
      <w:bookmarkEnd w:id="538"/>
      <w:bookmarkEnd w:id="539"/>
      <w:bookmarkEnd w:id="540"/>
    </w:p>
    <w:p w14:paraId="7D135D44" w14:textId="77777777" w:rsidR="00787F73" w:rsidRDefault="00742FB7" w:rsidP="00866155">
      <w:r>
        <w:rPr>
          <w:rFonts w:cs="Calibri"/>
        </w:rPr>
        <w:t>This chapter outlines the methodological approach of the research. The first section discusses the interpretivist research philosophy and then flows into a discussion of the role of abduction with the research approach. The second section explores the research strategy, providing an explanation of the approach for collecting the data. It also explores engaged scholarship and the transdisciplinary foundations of the project. Section three provides a discussion of the research strategies used while working with SYFR including Institutional Ethnography (IE) and the analysis of their social media data. Section four provides an overview of the analysis conducted on the qualitative data, focusing on a thematic analytical approach, with the additional discussion of how institutional logics can be examined within the data collection output. Section five provides an overview of the ethics of the project, discussing the main ethical considerations within qualitative research, the data collected via social media, and my positionality. Building on the literature review chapter, this methodology chapter provides the contextual grounding to explore the primary data.</w:t>
      </w:r>
    </w:p>
    <w:p w14:paraId="6AEDE7EC" w14:textId="77777777" w:rsidR="00787F73" w:rsidRDefault="00787F73" w:rsidP="00866155">
      <w:pPr>
        <w:rPr>
          <w:rFonts w:cs="Calibri"/>
        </w:rPr>
      </w:pPr>
    </w:p>
    <w:p w14:paraId="43E72A11" w14:textId="77777777" w:rsidR="00787F73" w:rsidRDefault="00742FB7" w:rsidP="00866155">
      <w:pPr>
        <w:pStyle w:val="Heading2"/>
      </w:pPr>
      <w:bookmarkStart w:id="541" w:name="_Toc153554336"/>
      <w:bookmarkStart w:id="542" w:name="_Toc147765742"/>
      <w:bookmarkStart w:id="543" w:name="_Toc145281026"/>
      <w:bookmarkStart w:id="544" w:name="_Toc145019980"/>
      <w:bookmarkStart w:id="545" w:name="_Toc193367218"/>
      <w:r>
        <w:rPr>
          <w:rFonts w:ascii="Calibri" w:hAnsi="Calibri" w:cs="Calibri"/>
        </w:rPr>
        <w:t>3.2: Research Philosophy</w:t>
      </w:r>
      <w:bookmarkEnd w:id="541"/>
      <w:bookmarkEnd w:id="542"/>
      <w:bookmarkEnd w:id="543"/>
      <w:bookmarkEnd w:id="544"/>
      <w:bookmarkEnd w:id="545"/>
      <w:r>
        <w:rPr>
          <w:rFonts w:ascii="Calibri" w:hAnsi="Calibri" w:cs="Calibri"/>
        </w:rPr>
        <w:t xml:space="preserve"> </w:t>
      </w:r>
    </w:p>
    <w:p w14:paraId="1645A638" w14:textId="77777777" w:rsidR="003F33BE" w:rsidRDefault="00742FB7" w:rsidP="0080267A">
      <w:pPr>
        <w:rPr>
          <w:rFonts w:cs="Calibri"/>
        </w:rPr>
      </w:pPr>
      <w:bookmarkStart w:id="546" w:name="_Hlk144845886"/>
      <w:bookmarkEnd w:id="546"/>
      <w:r>
        <w:rPr>
          <w:rFonts w:cs="Calibri"/>
        </w:rPr>
        <w:t xml:space="preserve">Within social research, it is important to understand the philosophical paradigms and wider assumptions of the research. Within this wider philosophical discussion, there are two key elements: ontology and epistemology </w:t>
      </w:r>
      <w:r>
        <w:fldChar w:fldCharType="begin" w:fldLock="1"/>
      </w:r>
      <w:r>
        <w:rPr>
          <w:rFonts w:cs="Calibri"/>
        </w:rPr>
        <w:instrText>ADDIN CSL_CITATION {"citationItems":[{"id":"ITEM-1","itemData":{"DOI":"10.1080/09523367.2012.743996","ISBN":"9780273716860","ISSN":"09523367","abstract":"A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students","edition":"Eighth","id":"ITEM-1","issued":{"date-parts":[["2019"]]},"page":"128 - 170","publisher":"Pearson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2019)","plainTextFormattedCitation":"(Saunders, Lewis, &amp; Thornhill, 2019)","previouslyFormattedCitation":"(Saunders, Lewis, &amp; Thornhill, 2019)"},"properties":{"noteIndex":0},"schema":"https://github.com/citation-style-language/schema/raw/master/csl-citation.json"}</w:instrText>
      </w:r>
      <w:r>
        <w:rPr>
          <w:rFonts w:cs="Calibri"/>
        </w:rPr>
        <w:fldChar w:fldCharType="separate"/>
      </w:r>
      <w:r>
        <w:rPr>
          <w:rFonts w:cs="Calibri"/>
          <w:noProof/>
        </w:rPr>
        <w:t>(Saunders, Lewis, &amp; Thornhill, 2019)</w:t>
      </w:r>
      <w:r>
        <w:rPr>
          <w:rFonts w:cs="Calibri"/>
        </w:rPr>
        <w:fldChar w:fldCharType="end"/>
      </w:r>
      <w:r>
        <w:rPr>
          <w:rFonts w:cs="Calibri"/>
        </w:rPr>
        <w:t xml:space="preserve">. Ontology describes and examines the assumption of reality or as it is more widely known: </w:t>
      </w:r>
      <w:r>
        <w:rPr>
          <w:rFonts w:cs="Calibri"/>
          <w:i/>
          <w:iCs/>
        </w:rPr>
        <w:t>the study of being</w:t>
      </w:r>
      <w:r>
        <w:rPr>
          <w:rFonts w:cs="Calibri"/>
        </w:rPr>
        <w:t xml:space="preserve"> </w:t>
      </w:r>
      <w:r>
        <w:fldChar w:fldCharType="begin" w:fldLock="1"/>
      </w:r>
      <w:r w:rsidR="00974B75">
        <w:rPr>
          <w:rFonts w:cs="Calibri"/>
        </w:rPr>
        <w:instrText>ADDIN CSL_CITATION {"citationItems":[{"id":"ITEM-1","itemData":{"author":[{"dropping-particle":"","family":"Bechara","given":"John P","non-dropping-particle":"","parse-names":false,"suffix":""},{"dropping-particle":"","family":"Ven","given":"Andrew H","non-dropping-particle":"Van De","parse-names":false,"suffix":""}],"chapter-number":"2","container-title":"Engaged Scholarship: A Guide for Organizational and Social Research","editor":[{"dropping-particle":"","family":"Ven","given":"Andrew H","non-dropping-particle":"Van De","parse-names":false,"suffix":""}],"id":"ITEM-1","issued":{"date-parts":[["2007"]]},"page":"36-70","publisher":"Oxford University Press","publisher-place":"Oxford","title":"Philosophy of Science Underlying Engaged Scholarship*","type":"chapter"},"uris":["http://www.mendeley.com/documents/?uuid=67dec568-d096-43b0-85a7-08cf93a8eac0"]},{"id":"ITEM-2","itemData":{"author":[{"dropping-particle":"","family":"Ven","given":"Andrew H","non-dropping-particle":"Van De","parse-names":false,"suffix":""}],"chapter-number":"4","container-title":"Engaged Scholarship: A Guide for Organizational and Social Research","editor":[{"dropping-particle":"","family":"Ven","given":"Andrew H","non-dropping-particle":"Van De","parse-names":false,"suffix":""}],"id":"ITEM-2","issued":{"date-parts":[["2007"]]},"page":"100 - 142","publisher":"Oxford University Press","publisher-place":"Oxford","title":"Building a Theory","type":"chapter"},"uris":["http://www.mendeley.com/documents/?uuid=08c3f842-c1a3-4327-aeaf-e868c48078c1"]},{"id":"ITEM-3","itemData":{"DOI":"10.1111/cobi.12326","ISSN":"08888892","abstract":"Abstract: Natural scientists are increasingly interested in social research because they recognize that conservation problems are commonly social problems. Interpreting social research, however, requires at least a basic understanding of the philosophical principles and theoretical assumptions of the discipline, which are embedded in the design of social research. Natural scientists who engage in social science but are unfamiliar with these principles and assumptions can misinterpret their results. We developed a guide to assist natural scientists in understanding the philosophical basis of social science to support the meaningful interpretation of social research outcomes. The 3 fundamental elements of research are ontology, what exists in the human world that researchers can acquire knowledge about; epistemology, how knowledge is created; and philosophical perspective, the philosophical orientation of the researcher that guides her or his action. Many elements of the guide also apply to the natural sciences. Natural scientists can use the guide to assist them in interpreting social science research to determine how the ontological position of the researcher can influence the nature of the research; how the epistemological position can be used to support the legitimacy of different types of knowledge; and how philosophical perspective can shape the researcher’s choice of methods and affect interpretation, communication, and application of results. The use of this guide can also support and promote the effective integration of the natural and social sciences to generate more insightful and relevant conservation research outcomes.","author":[{"dropping-particle":"","family":"Moon","given":"Katie","non-dropping-particle":"","parse-names":false,"suffix":""},{"dropping-particle":"","family":"Blackman","given":"Deborah","non-dropping-particle":"","parse-names":false,"suffix":""}],"container-title":"Conservation Biology","id":"ITEM-3","issue":"5","issued":{"date-parts":[["2014","10","1"]]},"page":"1167-1177","title":"A Guide to Understanding Social Science Research for Natural Scientists","type":"article-journal","volume":"28"},"uris":["http://www.mendeley.com/documents/?uuid=6b40e2b1-1646-3904-ac30-5c410eb30472"]},{"id":"ITEM-4","itemData":{"DOI":"10.1080/09523367.2012.743996","ISBN":"9780273716860","ISSN":"09523367","abstract":"A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students","edition":"Eighth","id":"ITEM-4","issued":{"date-parts":[["2019"]]},"page":"128 - 170","publisher":"Pearson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 Moon &amp; Blackman, 2014; Bechara &amp; Van De Ven, 2007; Van De Ven, 2007a)","plainTextFormattedCitation":"(Saunders, Lewis, &amp; Thornhill, 2019; Moon &amp; Blackman, 2014; Bechara &amp; Van De Ven, 2007; Van De Ven, 2007a)","previouslyFormattedCitation":"(Saunders, Lewis, &amp; Thornhill, 2019; Moon &amp; Blackman, 2014; Bechara &amp; Van De Ven, 2007; Van De Ven, 2007a)"},"properties":{"noteIndex":0},"schema":"https://github.com/citation-style-language/schema/raw/master/csl-citation.json"}</w:instrText>
      </w:r>
      <w:r>
        <w:rPr>
          <w:rFonts w:cs="Calibri"/>
        </w:rPr>
        <w:fldChar w:fldCharType="separate"/>
      </w:r>
      <w:r>
        <w:rPr>
          <w:rFonts w:cs="Calibri"/>
          <w:noProof/>
        </w:rPr>
        <w:t>(Saunders, Lewis, &amp; Thornhill, 2019; Moon &amp; Blackman, 2014; Bechara &amp; Van De Ven, 2007; Van De Ven, 2007a)</w:t>
      </w:r>
      <w:r>
        <w:rPr>
          <w:rFonts w:cs="Calibri"/>
        </w:rPr>
        <w:fldChar w:fldCharType="end"/>
      </w:r>
      <w:r>
        <w:rPr>
          <w:rFonts w:cs="Calibri"/>
        </w:rPr>
        <w:t xml:space="preserve">. Epistemology focuses on what knowledge is, exploring what is valid and legitimate, and how knowledge is created and maintained </w:t>
      </w:r>
      <w:r>
        <w:fldChar w:fldCharType="begin" w:fldLock="1"/>
      </w:r>
      <w:r>
        <w:rPr>
          <w:rFonts w:cs="Calibri"/>
        </w:rPr>
        <w:instrText>ADDIN CSL_CITATION {"citationItems":[{"id":"ITEM-1","itemData":{"DOI":"10.1111/j.1467-9256.2007.00311.x","ISSN":"02633957","abstract":"This article represents an intervention in the debate over ontology and epistemology conducted recently in Politics. Taking a post-structuralist stance it seeks to reformulate the nature of the relationship between the ontological and the epistemological and to demonstrate that this has important consequences for the way in which the question of politics is approached.","author":[{"dropping-particle":"","family":"Daly","given":"Glyn","non-dropping-particle":"","parse-names":false,"suffix":""}],"container-title":"Politics","id":"ITEM-1","issue":"1","issued":{"date-parts":[["2008"]]},"page":"57-60","title":"Ology schmology: A post-structuralist approach: Controversy","type":"article-journal","volume":"28"},"uris":["http://www.mendeley.com/documents/?uuid=ebc79afa-8908-4053-9d91-17b57def77cd"]},{"id":"ITEM-2","itemData":{"DOI":"10.1111/cobi.12326","ISSN":"08888892","abstract":"Abstract: Natural scientists are increasingly interested in social research because they recognize that conservation problems are commonly social problems. Interpreting social research, however, requires at least a basic understanding of the philosophical principles and theoretical assumptions of the discipline, which are embedded in the design of social research. Natural scientists who engage in social science but are unfamiliar with these principles and assumptions can misinterpret their results. We developed a guide to assist natural scientists in understanding the philosophical basis of social science to support the meaningful interpretation of social research outcomes. The 3 fundamental elements of research are ontology, what exists in the human world that researchers can acquire knowledge about; epistemology, how knowledge is created; and philosophical perspective, the philosophical orientation of the researcher that guides her or his action. Many elements of the guide also apply to the natural sciences. Natural scientists can use the guide to assist them in interpreting social science research to determine how the ontological position of the researcher can influence the nature of the research; how the epistemological position can be used to support the legitimacy of different types of knowledge; and how philosophical perspective can shape the researcher’s choice of methods and affect interpretation, communication, and application of results. The use of this guide can also support and promote the effective integration of the natural and social sciences to generate more insightful and relevant conservation research outcomes.","author":[{"dropping-particle":"","family":"Moon","given":"Katie","non-dropping-particle":"","parse-names":false,"suffix":""},{"dropping-particle":"","family":"Blackman","given":"Deborah","non-dropping-particle":"","parse-names":false,"suffix":""}],"container-title":"Conservation Biology","id":"ITEM-2","issue":"5","issued":{"date-parts":[["2014","10","1"]]},"page":"1167-1177","title":"A Guide to Understanding Social Science Research for Natural Scientists","type":"article-journal","volume":"28"},"uris":["http://www.mendeley.com/documents/?uuid=6b40e2b1-1646-3904-ac30-5c410eb30472"]},{"id":"ITEM-3","itemData":{"DOI":"10.1080/09523367.2012.743996","ISBN":"9780273716860","ISSN":"09523367","abstract":"A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students","edition":"Eighth","id":"ITEM-3","issued":{"date-parts":[["2019"]]},"page":"128 - 170","publisher":"Pearson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 Moon &amp; Blackman, 2014; Daly, 2008)","plainTextFormattedCitation":"(Saunders, Lewis, &amp; Thornhill, 2019; Moon &amp; Blackman, 2014; Daly, 2008)","previouslyFormattedCitation":"(Saunders, Lewis, &amp; Thornhill, 2019; Moon &amp; Blackman, 2014; Daly, 2008)"},"properties":{"noteIndex":0},"schema":"https://github.com/citation-style-language/schema/raw/master/csl-citation.json"}</w:instrText>
      </w:r>
      <w:r>
        <w:rPr>
          <w:rFonts w:cs="Calibri"/>
        </w:rPr>
        <w:fldChar w:fldCharType="separate"/>
      </w:r>
      <w:r>
        <w:rPr>
          <w:rFonts w:cs="Calibri"/>
          <w:noProof/>
        </w:rPr>
        <w:t>(Saunders, Lewis, &amp; Thornhill, 2019; Moon &amp; Blackman, 2014; Daly, 2008)</w:t>
      </w:r>
      <w:r>
        <w:rPr>
          <w:rFonts w:cs="Calibri"/>
        </w:rPr>
        <w:fldChar w:fldCharType="end"/>
      </w:r>
      <w:r>
        <w:rPr>
          <w:rFonts w:cs="Calibri"/>
        </w:rPr>
        <w:t xml:space="preserve">. Combining ontology and epistemology can create philosophical paradigms, and within the management discipline there are five main paradigms: positivism, critical realism, interpretivism, postmodernism, and pragmatism </w:t>
      </w:r>
      <w:r>
        <w:fldChar w:fldCharType="begin" w:fldLock="1"/>
      </w:r>
      <w:r>
        <w:rPr>
          <w:rFonts w:cs="Calibri"/>
        </w:rPr>
        <w:instrText>ADDIN CSL_CITATION {"citationItems":[{"id":"ITEM-1","itemData":{"DOI":"10.1080/09523367.2012.743996","ISBN":"9780273716860","ISSN":"09523367","abstract":"A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students","edition":"Eighth","id":"ITEM-1","issued":{"date-parts":[["2019"]]},"page":"128 - 170","publisher":"Pearson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2019)","plainTextFormattedCitation":"(Saunders, Lewis, &amp; Thornhill, 2019)","previouslyFormattedCitation":"(Saunders, Lewis, &amp; Thornhill, 2019)"},"properties":{"noteIndex":0},"schema":"https://github.com/citation-style-language/schema/raw/master/csl-citation.json"}</w:instrText>
      </w:r>
      <w:r>
        <w:rPr>
          <w:rFonts w:cs="Calibri"/>
        </w:rPr>
        <w:fldChar w:fldCharType="separate"/>
      </w:r>
      <w:r>
        <w:rPr>
          <w:rFonts w:cs="Calibri"/>
          <w:noProof/>
        </w:rPr>
        <w:t>(Saunders, Lewis, &amp; Thornhill, 2019)</w:t>
      </w:r>
      <w:r>
        <w:rPr>
          <w:rFonts w:cs="Calibri"/>
        </w:rPr>
        <w:fldChar w:fldCharType="end"/>
      </w:r>
      <w:r>
        <w:rPr>
          <w:rFonts w:cs="Calibri"/>
        </w:rPr>
        <w:t xml:space="preserve">. </w:t>
      </w:r>
      <w:r w:rsidR="003F33BE">
        <w:rPr>
          <w:rFonts w:cs="Calibri"/>
        </w:rPr>
        <w:t xml:space="preserve">Each of these </w:t>
      </w:r>
      <w:r w:rsidR="00025DD1">
        <w:rPr>
          <w:rFonts w:cs="Calibri"/>
        </w:rPr>
        <w:t>paradigm’s</w:t>
      </w:r>
      <w:r w:rsidR="003F33BE">
        <w:rPr>
          <w:rFonts w:cs="Calibri"/>
        </w:rPr>
        <w:t xml:space="preserve"> views </w:t>
      </w:r>
      <w:r w:rsidR="0080267A">
        <w:rPr>
          <w:rFonts w:cs="Calibri"/>
        </w:rPr>
        <w:t>reality</w:t>
      </w:r>
      <w:r w:rsidR="003F33BE">
        <w:rPr>
          <w:rFonts w:cs="Calibri"/>
        </w:rPr>
        <w:t xml:space="preserve"> and truth in different ways</w:t>
      </w:r>
      <w:r w:rsidR="001D297F">
        <w:rPr>
          <w:rFonts w:cs="Calibri"/>
        </w:rPr>
        <w:t>:</w:t>
      </w:r>
      <w:r w:rsidR="003F33BE">
        <w:rPr>
          <w:rFonts w:cs="Calibri"/>
        </w:rPr>
        <w:t xml:space="preserve"> </w:t>
      </w:r>
      <w:r w:rsidR="001D297F">
        <w:rPr>
          <w:rFonts w:cs="Calibri"/>
        </w:rPr>
        <w:t>p</w:t>
      </w:r>
      <w:r w:rsidR="003F33BE">
        <w:rPr>
          <w:rFonts w:cs="Calibri"/>
        </w:rPr>
        <w:t>ositivism</w:t>
      </w:r>
      <w:r w:rsidR="00025DD1">
        <w:rPr>
          <w:rFonts w:cs="Calibri"/>
        </w:rPr>
        <w:t xml:space="preserve"> is objectivist, viewing knowledge as an absolute, with one truth focusing on quantitative </w:t>
      </w:r>
      <w:r w:rsidR="0080267A">
        <w:rPr>
          <w:rFonts w:cs="Calibri"/>
        </w:rPr>
        <w:t>methods;</w:t>
      </w:r>
      <w:r w:rsidR="00025DD1">
        <w:rPr>
          <w:rFonts w:cs="Calibri"/>
        </w:rPr>
        <w:t xml:space="preserve"> </w:t>
      </w:r>
      <w:r w:rsidR="001D297F">
        <w:rPr>
          <w:rFonts w:cs="Calibri"/>
        </w:rPr>
        <w:t>c</w:t>
      </w:r>
      <w:r w:rsidR="003F33BE">
        <w:rPr>
          <w:rFonts w:cs="Calibri"/>
        </w:rPr>
        <w:t>ritical realism</w:t>
      </w:r>
      <w:r w:rsidR="006826E9">
        <w:rPr>
          <w:rFonts w:cs="Calibri"/>
        </w:rPr>
        <w:t xml:space="preserve"> is less objective than positivism and incorporates some elements of subjectivism, suggesting that there is one truth but that </w:t>
      </w:r>
      <w:r w:rsidR="006826E9">
        <w:rPr>
          <w:rFonts w:cs="Calibri"/>
        </w:rPr>
        <w:lastRenderedPageBreak/>
        <w:t>uncovering that truth is challenging due to social and organisational structures</w:t>
      </w:r>
      <w:r w:rsidR="0080267A">
        <w:rPr>
          <w:rFonts w:cs="Calibri"/>
        </w:rPr>
        <w:t xml:space="preserve">; </w:t>
      </w:r>
      <w:r w:rsidR="001D297F">
        <w:rPr>
          <w:rFonts w:cs="Calibri"/>
        </w:rPr>
        <w:t>p</w:t>
      </w:r>
      <w:r w:rsidR="003F33BE">
        <w:rPr>
          <w:rFonts w:cs="Calibri"/>
        </w:rPr>
        <w:t>ostmodernism</w:t>
      </w:r>
      <w:r w:rsidR="0080267A">
        <w:rPr>
          <w:rFonts w:cs="Calibri"/>
        </w:rPr>
        <w:t xml:space="preserve"> moves further away from objectivity and focuses more on power structures and to give voice to the marginalised, through a deeper analysis of language; and finally </w:t>
      </w:r>
      <w:r w:rsidR="001D297F">
        <w:rPr>
          <w:rFonts w:cs="Calibri"/>
        </w:rPr>
        <w:t>p</w:t>
      </w:r>
      <w:r w:rsidR="003F33BE">
        <w:rPr>
          <w:rFonts w:cs="Calibri"/>
        </w:rPr>
        <w:t>ragmatism</w:t>
      </w:r>
      <w:r w:rsidR="0080267A">
        <w:rPr>
          <w:rFonts w:cs="Calibri"/>
        </w:rPr>
        <w:t xml:space="preserve"> focuses on an initial problem and focuses on concepts as tools to support action </w:t>
      </w:r>
      <w:r w:rsidR="0080267A">
        <w:rPr>
          <w:rFonts w:cs="Calibri"/>
        </w:rPr>
        <w:fldChar w:fldCharType="begin" w:fldLock="1"/>
      </w:r>
      <w:r w:rsidR="006A0F18">
        <w:rPr>
          <w:rFonts w:cs="Calibri"/>
        </w:rPr>
        <w:instrText>ADDIN CSL_CITATION {"citationItems":[{"id":"ITEM-1","itemData":{"DOI":"10.1111/cobi.12326","ISSN":"08888892","abstract":"Abstract: Natural scientists are increasingly interested in social research because they recognize that conservation problems are commonly social problems. Interpreting social research, however, requires at least a basic understanding of the philosophical principles and theoretical assumptions of the discipline, which are embedded in the design of social research. Natural scientists who engage in social science but are unfamiliar with these principles and assumptions can misinterpret their results. We developed a guide to assist natural scientists in understanding the philosophical basis of social science to support the meaningful interpretation of social research outcomes. The 3 fundamental elements of research are ontology, what exists in the human world that researchers can acquire knowledge about; epistemology, how knowledge is created; and philosophical perspective, the philosophical orientation of the researcher that guides her or his action. Many elements of the guide also apply to the natural sciences. Natural scientists can use the guide to assist them in interpreting social science research to determine how the ontological position of the researcher can influence the nature of the research; how the epistemological position can be used to support the legitimacy of different types of knowledge; and how philosophical perspective can shape the researcher’s choice of methods and affect interpretation, communication, and application of results. The use of this guide can also support and promote the effective integration of the natural and social sciences to generate more insightful and relevant conservation research outcomes.","author":[{"dropping-particle":"","family":"Moon","given":"Katie","non-dropping-particle":"","parse-names":false,"suffix":""},{"dropping-particle":"","family":"Blackman","given":"Deborah","non-dropping-particle":"","parse-names":false,"suffix":""}],"container-title":"Conservation Biology","id":"ITEM-1","issue":"5","issued":{"date-parts":[["2014","10","1"]]},"page":"1167-1177","title":"A Guide to Understanding Social Science Research for Natural Scientists","type":"article-journal","volume":"28"},"uris":["http://www.mendeley.com/documents/?uuid=6b40e2b1-1646-3904-ac30-5c410eb30472"]},{"id":"ITEM-2","itemData":{"DOI":"10.1080/09523367.2012.743996","ISBN":"9780273716860","ISSN":"09523367","abstract":"A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students","edition":"Eighth","id":"ITEM-2","issued":{"date-parts":[["2019"]]},"page":"128 - 170","publisher":"Pearson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 Moon &amp; Blackman, 2014)","plainTextFormattedCitation":"(Saunders, Lewis, &amp; Thornhill, 2019; Moon &amp; Blackman, 2014)","previouslyFormattedCitation":"(Saunders, Lewis, &amp; Thornhill, 2019; Moon &amp; Blackman, 2014)"},"properties":{"noteIndex":0},"schema":"https://github.com/citation-style-language/schema/raw/master/csl-citation.json"}</w:instrText>
      </w:r>
      <w:r w:rsidR="0080267A">
        <w:rPr>
          <w:rFonts w:cs="Calibri"/>
        </w:rPr>
        <w:fldChar w:fldCharType="separate"/>
      </w:r>
      <w:r w:rsidR="0080267A" w:rsidRPr="0080267A">
        <w:rPr>
          <w:rFonts w:cs="Calibri"/>
          <w:noProof/>
        </w:rPr>
        <w:t>(Saunders, Lewis, &amp; Thornhill, 2019; Moon &amp; Blackman, 2014)</w:t>
      </w:r>
      <w:r w:rsidR="0080267A">
        <w:rPr>
          <w:rFonts w:cs="Calibri"/>
        </w:rPr>
        <w:fldChar w:fldCharType="end"/>
      </w:r>
      <w:r w:rsidR="0080267A">
        <w:rPr>
          <w:rFonts w:cs="Calibri"/>
        </w:rPr>
        <w:t xml:space="preserve">. Each of these philosophical </w:t>
      </w:r>
      <w:r w:rsidR="001D297F">
        <w:rPr>
          <w:rFonts w:cs="Calibri"/>
        </w:rPr>
        <w:t>paradigm’s</w:t>
      </w:r>
      <w:r w:rsidR="0080267A">
        <w:rPr>
          <w:rFonts w:cs="Calibri"/>
        </w:rPr>
        <w:t xml:space="preserve"> views reality and concepts in</w:t>
      </w:r>
      <w:r w:rsidR="001D297F">
        <w:rPr>
          <w:rFonts w:cs="Calibri"/>
        </w:rPr>
        <w:t xml:space="preserve"> a</w:t>
      </w:r>
      <w:r w:rsidR="0080267A">
        <w:rPr>
          <w:rFonts w:cs="Calibri"/>
        </w:rPr>
        <w:t xml:space="preserve"> different way</w:t>
      </w:r>
      <w:r w:rsidR="00AD51E5">
        <w:rPr>
          <w:rFonts w:cs="Calibri"/>
        </w:rPr>
        <w:t>, however</w:t>
      </w:r>
      <w:r w:rsidR="001D297F">
        <w:rPr>
          <w:rFonts w:cs="Calibri"/>
        </w:rPr>
        <w:t>,</w:t>
      </w:r>
      <w:r w:rsidR="00AD51E5">
        <w:rPr>
          <w:rFonts w:cs="Calibri"/>
        </w:rPr>
        <w:t xml:space="preserve"> due to the nature of the research, namely focusing on communities and the concept of resilience, there was a need for a philosophical approach which enabled individual experiences and interpretations to be captured in the research</w:t>
      </w:r>
      <w:r w:rsidR="00D66A77">
        <w:rPr>
          <w:rFonts w:cs="Calibri"/>
        </w:rPr>
        <w:t>.</w:t>
      </w:r>
      <w:r w:rsidR="00451DF1">
        <w:rPr>
          <w:rFonts w:cs="Calibri"/>
        </w:rPr>
        <w:t xml:space="preserve"> </w:t>
      </w:r>
    </w:p>
    <w:p w14:paraId="0906763C" w14:textId="77777777" w:rsidR="001D297F" w:rsidRDefault="001D297F" w:rsidP="0080267A">
      <w:pPr>
        <w:rPr>
          <w:rFonts w:cs="Calibri"/>
        </w:rPr>
      </w:pPr>
    </w:p>
    <w:p w14:paraId="57F27EA3" w14:textId="1EE65C80" w:rsidR="00787F73" w:rsidRDefault="00742FB7" w:rsidP="00866155">
      <w:r>
        <w:rPr>
          <w:rFonts w:cs="Calibri"/>
          <w:highlight w:val="white"/>
        </w:rPr>
        <w:t xml:space="preserve">Throughout the literature review (chapter 2), I noted how different concepts (community resilience, institutions, and communication) are socially constructed, meaning they are challenging to observe objectively as they are created and maintained by the actions of social actors. Using an interpretivist approach encourages one to examine the data from various </w:t>
      </w:r>
      <w:r w:rsidR="00BD2F78">
        <w:rPr>
          <w:rFonts w:cs="Calibri"/>
          <w:highlight w:val="white"/>
        </w:rPr>
        <w:t>standpoints</w:t>
      </w:r>
      <w:r>
        <w:rPr>
          <w:rFonts w:cs="Calibri"/>
          <w:highlight w:val="white"/>
        </w:rPr>
        <w:t xml:space="preserve"> with the acknowledgement that one experience and understanding of an event or concept is not universal</w:t>
      </w:r>
      <w:r w:rsidR="003F33BE">
        <w:rPr>
          <w:rFonts w:cs="Calibri"/>
          <w:highlight w:val="white"/>
        </w:rPr>
        <w:t>. Therefore, using an interpretivist approach was the best fit for the research topic</w:t>
      </w:r>
      <w:r>
        <w:rPr>
          <w:rFonts w:cs="Calibri"/>
          <w:highlight w:val="white"/>
        </w:rPr>
        <w:t>, as discussed in more detail in the next section. </w:t>
      </w:r>
    </w:p>
    <w:p w14:paraId="0CF11ED1" w14:textId="77777777" w:rsidR="00787F73" w:rsidRDefault="00787F73" w:rsidP="00866155">
      <w:pPr>
        <w:rPr>
          <w:rFonts w:cs="Calibri"/>
        </w:rPr>
      </w:pPr>
    </w:p>
    <w:p w14:paraId="1937E51C" w14:textId="77777777" w:rsidR="00787F73" w:rsidRDefault="00742FB7" w:rsidP="00866155">
      <w:pPr>
        <w:pStyle w:val="Heading3"/>
      </w:pPr>
      <w:bookmarkStart w:id="547" w:name="_Toc147765743"/>
      <w:bookmarkStart w:id="548" w:name="_Toc153554337"/>
      <w:bookmarkStart w:id="549" w:name="_Toc145019981"/>
      <w:bookmarkStart w:id="550" w:name="_Toc145281027"/>
      <w:bookmarkStart w:id="551" w:name="_Toc193367219"/>
      <w:r>
        <w:rPr>
          <w:rFonts w:ascii="Calibri" w:hAnsi="Calibri" w:cs="Calibri"/>
        </w:rPr>
        <w:t>3.2.1: Interpretivism</w:t>
      </w:r>
      <w:bookmarkEnd w:id="547"/>
      <w:bookmarkEnd w:id="548"/>
      <w:bookmarkEnd w:id="549"/>
      <w:bookmarkEnd w:id="550"/>
      <w:bookmarkEnd w:id="551"/>
    </w:p>
    <w:p w14:paraId="105D2AF5" w14:textId="06776BA7" w:rsidR="00787F73" w:rsidRDefault="00742FB7" w:rsidP="00866155">
      <w:r>
        <w:rPr>
          <w:rFonts w:cs="Calibri"/>
        </w:rPr>
        <w:t>This project adopted an interpretivist approach, using a socially constructed ontology, with the belief that multiple realities exist</w:t>
      </w:r>
      <w:r w:rsidR="001D297F">
        <w:rPr>
          <w:rFonts w:cs="Calibri"/>
        </w:rPr>
        <w:t>;</w:t>
      </w:r>
      <w:r>
        <w:rPr>
          <w:rFonts w:cs="Calibri"/>
        </w:rPr>
        <w:t xml:space="preserve"> this is known as </w:t>
      </w:r>
      <w:r>
        <w:rPr>
          <w:rFonts w:cs="Calibri"/>
          <w:i/>
          <w:iCs/>
        </w:rPr>
        <w:t xml:space="preserve">relativism </w:t>
      </w:r>
      <w:bookmarkStart w:id="552" w:name="_Hlk187833015"/>
      <w:r>
        <w:fldChar w:fldCharType="begin" w:fldLock="1"/>
      </w:r>
      <w:r w:rsidR="00974B75">
        <w:rPr>
          <w:rFonts w:cs="Calibri"/>
          <w:i/>
          <w:iCs/>
        </w:rPr>
        <w:instrText>ADDIN CSL_CITATION {"citationItems":[{"id":"ITEM-1","itemData":{"author":[{"dropping-particle":"","family":"Bechara","given":"John P","non-dropping-particle":"","parse-names":false,"suffix":""},{"dropping-particle":"","family":"Ven","given":"Andrew H","non-dropping-particle":"Van De","parse-names":false,"suffix":""}],"chapter-number":"2","container-title":"Engaged Scholarship: A Guide for Organizational and Social Research","editor":[{"dropping-particle":"","family":"Ven","given":"Andrew H","non-dropping-particle":"Van De","parse-names":false,"suffix":""}],"id":"ITEM-1","issued":{"date-parts":[["2007"]]},"page":"36-70","publisher":"Oxford University Press","publisher-place":"Oxford","title":"Philosophy of Science Underlying Engaged Scholarship*","type":"chapter"},"uris":["http://www.mendeley.com/documents/?uuid=67dec568-d096-43b0-85a7-08cf93a8eac0"]},{"id":"ITEM-2","itemData":{"ISBN":"0199689458","abstract":"Fifth edition. \"This best-selling introduction to research methods provides students and researchers with unrivalled coverage of both quantitative and qualitative methods, making it invaluable for anyone embarking on social research. Bridging the gap between theory and practice, Social Research Methods is packed full of engaging examples and practical tips to equip students with the tools and knowledge needed for them to complete their own research projects. In addition to providing practical advice, Bryman deftly explores the nature of social research and the wider issues impinging on it.\" -- Provided by publisher. The research process -- Quantitative research -- Qualitative research -- Mixed methods research and writing up.","author":[{"dropping-particle":"","family":"Bryman","given":"Alan.","non-dropping-particle":"","parse-names":false,"suffix":""}],"edition":"5th","id":"ITEM-2","issued":{"date-parts":[["2016"]]},"publisher":"Oxford University Press","publisher-place":"Oxford","title":"Social research methods","type":"book"},"uris":["http://www.mendeley.com/documents/?uuid=95b0a038-2e81-3fd8-bae3-09bc0ecf7a2c"]},{"id":"ITEM-3","itemData":{"DOI":"10.1111/cobi.12326","ISSN":"08888892","abstract":"Abstract: Natural scientists are increasingly interested in social research because they recognize that conservation problems are commonly social problems. Interpreting social research, however, requires at least a basic understanding of the philosophical principles and theoretical assumptions of the discipline, which are embedded in the design of social research. Natural scientists who engage in social science but are unfamiliar with these principles and assumptions can misinterpret their results. We developed a guide to assist natural scientists in understanding the philosophical basis of social science to support the meaningful interpretation of social research outcomes. The 3 fundamental elements of research are ontology, what exists in the human world that researchers can acquire knowledge about; epistemology, how knowledge is created; and philosophical perspective, the philosophical orientation of the researcher that guides her or his action. Many elements of the guide also apply to the natural sciences. Natural scientists can use the guide to assist them in interpreting social science research to determine how the ontological position of the researcher can influence the nature of the research; how the epistemological position can be used to support the legitimacy of different types of knowledge; and how philosophical perspective can shape the researcher’s choice of methods and affect interpretation, communication, and application of results. The use of this guide can also support and promote the effective integration of the natural and social sciences to generate more insightful and relevant conservation research outcomes.","author":[{"dropping-particle":"","family":"Moon","given":"Katie","non-dropping-particle":"","parse-names":false,"suffix":""},{"dropping-particle":"","family":"Blackman","given":"Deborah","non-dropping-particle":"","parse-names":false,"suffix":""}],"container-title":"Conservation Biology","id":"ITEM-3","issue":"5","issued":{"date-parts":[["2014","10","1"]]},"page":"1167-1177","title":"A Guide to Understanding Social Science Research for Natural Scientists","type":"article-journal","volume":"28"},"uris":["http://www.mendeley.com/documents/?uuid=6b40e2b1-1646-3904-ac30-5c410eb30472"]},{"id":"ITEM-4","itemData":{"DOI":"10.1080/09523367.2012.743996","ISBN":"9780273716860","ISSN":"09523367","abstract":"A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students","edition":"Eighth","id":"ITEM-4","issued":{"date-parts":[["2019"]]},"page":"128 - 170","publisher":"Pearson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 Bryman, 2016; Moon &amp; Blackman, 2014; Bechara &amp; Van De Ven, 2007)","plainTextFormattedCitation":"(Saunders, Lewis, &amp; Thornhill, 2019; Bryman, 2016; Moon &amp; Blackman, 2014; Bechara &amp; Van De Ven, 2007)","previouslyFormattedCitation":"(Saunders, Lewis, &amp; Thornhill, 2019; Bryman, 2016; Moon &amp; Blackman, 2014; Bechara &amp; Van De Ven, 2007)"},"properties":{"noteIndex":0},"schema":"https://github.com/citation-style-language/schema/raw/master/csl-citation.json"}</w:instrText>
      </w:r>
      <w:r>
        <w:rPr>
          <w:rFonts w:cs="Calibri"/>
          <w:i/>
          <w:iCs/>
        </w:rPr>
        <w:fldChar w:fldCharType="separate"/>
      </w:r>
      <w:r>
        <w:rPr>
          <w:rFonts w:cs="Calibri"/>
          <w:iCs/>
          <w:noProof/>
        </w:rPr>
        <w:t>(Saunders, Lewis, &amp; Thornhill, 2019; Bryman, 2016; Moon &amp; Blackman, 2014; Bechara &amp; Van De Ven, 2007)</w:t>
      </w:r>
      <w:r>
        <w:rPr>
          <w:rFonts w:cs="Calibri"/>
          <w:i/>
          <w:iCs/>
        </w:rPr>
        <w:fldChar w:fldCharType="end"/>
      </w:r>
      <w:bookmarkEnd w:id="552"/>
      <w:r>
        <w:rPr>
          <w:rFonts w:cs="Calibri"/>
        </w:rPr>
        <w:t xml:space="preserve">. Within the </w:t>
      </w:r>
      <w:r>
        <w:t xml:space="preserve">wider </w:t>
      </w:r>
      <w:r>
        <w:rPr>
          <w:rFonts w:eastAsia="DengXian Light"/>
        </w:rPr>
        <w:t>relativist</w:t>
      </w:r>
      <w:r>
        <w:t xml:space="preserve"> ontological</w:t>
      </w:r>
      <w:r>
        <w:rPr>
          <w:rFonts w:cs="Calibri"/>
        </w:rPr>
        <w:t xml:space="preserve"> approach, there are different ways of viewing the multiple realities: bounded relativism suggests that </w:t>
      </w:r>
      <w:r>
        <w:rPr>
          <w:rFonts w:cs="Calibri"/>
          <w:highlight w:val="white"/>
        </w:rPr>
        <w:t xml:space="preserve">“one shared reality exists within a bounded group” </w:t>
      </w:r>
      <w:r>
        <w:fldChar w:fldCharType="begin" w:fldLock="1"/>
      </w:r>
      <w:r>
        <w:rPr>
          <w:rFonts w:cs="Calibri"/>
          <w:highlight w:val="white"/>
        </w:rPr>
        <w:instrText>ADDIN CSL_CITATION {"citationItems":[{"id":"ITEM-1","itemData":{"DOI":"10.1111/cobi.12326","ISSN":"08888892","abstract":"Abstract: Natural scientists are increasingly interested in social research because they recognize that conservation problems are commonly social problems. Interpreting social research, however, requires at least a basic understanding of the philosophical principles and theoretical assumptions of the discipline, which are embedded in the design of social research. Natural scientists who engage in social science but are unfamiliar with these principles and assumptions can misinterpret their results. We developed a guide to assist natural scientists in understanding the philosophical basis of social science to support the meaningful interpretation of social research outcomes. The 3 fundamental elements of research are ontology, what exists in the human world that researchers can acquire knowledge about; epistemology, how knowledge is created; and philosophical perspective, the philosophical orientation of the researcher that guides her or his action. Many elements of the guide also apply to the natural sciences. Natural scientists can use the guide to assist them in interpreting social science research to determine how the ontological position of the researcher can influence the nature of the research; how the epistemological position can be used to support the legitimacy of different types of knowledge; and how philosophical perspective can shape the researcher’s choice of methods and affect interpretation, communication, and application of results. The use of this guide can also support and promote the effective integration of the natural and social sciences to generate more insightful and relevant conservation research outcomes.","author":[{"dropping-particle":"","family":"Moon","given":"Katie","non-dropping-particle":"","parse-names":false,"suffix":""},{"dropping-particle":"","family":"Blackman","given":"Deborah","non-dropping-particle":"","parse-names":false,"suffix":""}],"container-title":"Conservation Biology","id":"ITEM-1","issue":"5","issued":{"date-parts":[["2014","10","1"]]},"page":"1167-1177","title":"A Guide to Understanding Social Science Research for Natural Scientists","type":"article-journal","volume":"28"},"locator":"1170","uris":["http://www.mendeley.com/documents/?uuid=6b40e2b1-1646-3904-ac30-5c410eb30472"]}],"mendeley":{"formattedCitation":"(Moon &amp; Blackman, 2014, p. 1170)","plainTextFormattedCitation":"(Moon &amp; Blackman, 2014, p. 1170)","previouslyFormattedCitation":"(Moon &amp; Blackman, 2014, p. 1170)"},"properties":{"noteIndex":0},"schema":"https://github.com/citation-style-language/schema/raw/master/csl-citation.json"}</w:instrText>
      </w:r>
      <w:r>
        <w:rPr>
          <w:rFonts w:cs="Calibri"/>
          <w:highlight w:val="white"/>
        </w:rPr>
        <w:fldChar w:fldCharType="separate"/>
      </w:r>
      <w:r>
        <w:rPr>
          <w:rFonts w:cs="Calibri"/>
          <w:noProof/>
          <w:highlight w:val="white"/>
        </w:rPr>
        <w:t>(Moon &amp; Blackman, 2014, p. 1170)</w:t>
      </w:r>
      <w:r>
        <w:rPr>
          <w:rFonts w:cs="Calibri"/>
          <w:highlight w:val="white"/>
        </w:rPr>
        <w:fldChar w:fldCharType="end"/>
      </w:r>
      <w:r>
        <w:rPr>
          <w:rFonts w:cs="Calibri"/>
          <w:highlight w:val="white"/>
        </w:rPr>
        <w:t xml:space="preserve"> whereas </w:t>
      </w:r>
      <w:r>
        <w:rPr>
          <w:rFonts w:cs="Calibri"/>
        </w:rPr>
        <w:t xml:space="preserve">relativism suggests that reality exists as intangible mental constructions </w:t>
      </w:r>
      <w:r>
        <w:fldChar w:fldCharType="begin" w:fldLock="1"/>
      </w:r>
      <w:r>
        <w:rPr>
          <w:rFonts w:cs="Calibri"/>
        </w:rPr>
        <w:instrText>ADDIN CSL_CITATION {"citationItems":[{"id":"ITEM-1","itemData":{"DOI":"10.1111/cobi.12326","ISSN":"08888892","abstract":"Abstract: Natural scientists are increasingly interested in social research because they recognize that conservation problems are commonly social problems. Interpreting social research, however, requires at least a basic understanding of the philosophical principles and theoretical assumptions of the discipline, which are embedded in the design of social research. Natural scientists who engage in social science but are unfamiliar with these principles and assumptions can misinterpret their results. We developed a guide to assist natural scientists in understanding the philosophical basis of social science to support the meaningful interpretation of social research outcomes. The 3 fundamental elements of research are ontology, what exists in the human world that researchers can acquire knowledge about; epistemology, how knowledge is created; and philosophical perspective, the philosophical orientation of the researcher that guides her or his action. Many elements of the guide also apply to the natural sciences. Natural scientists can use the guide to assist them in interpreting social science research to determine how the ontological position of the researcher can influence the nature of the research; how the epistemological position can be used to support the legitimacy of different types of knowledge; and how philosophical perspective can shape the researcher’s choice of methods and affect interpretation, communication, and application of results. The use of this guide can also support and promote the effective integration of the natural and social sciences to generate more insightful and relevant conservation research outcomes.","author":[{"dropping-particle":"","family":"Moon","given":"Katie","non-dropping-particle":"","parse-names":false,"suffix":""},{"dropping-particle":"","family":"Blackman","given":"Deborah","non-dropping-particle":"","parse-names":false,"suffix":""}],"container-title":"Conservation Biology","id":"ITEM-1","issue":"5","issued":{"date-parts":[["2014","10","1"]]},"page":"1167-1177","title":"A Guide to Understanding Social Science Research for Natural Scientists","type":"article-journal","volume":"28"},"uris":["http://www.mendeley.com/documents/?uuid=6b40e2b1-1646-3904-ac30-5c410eb30472"]},{"id":"ITEM-2","itemData":{"DOI":"10.1080/09523367.2012.743996","ISBN":"9780273716860","ISSN":"09523367","abstract":"A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students","edition":"Eighth","id":"ITEM-2","issued":{"date-parts":[["2019"]]},"page":"128 - 170","publisher":"Pearson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 Moon &amp; Blackman, 2014)","plainTextFormattedCitation":"(Saunders, Lewis, &amp; Thornhill, 2019; Moon &amp; Blackman, 2014)","previouslyFormattedCitation":"(Saunders, Lewis, &amp; Thornhill, 2019; Moon &amp; Blackman, 2014)"},"properties":{"noteIndex":0},"schema":"https://github.com/citation-style-language/schema/raw/master/csl-citation.json"}</w:instrText>
      </w:r>
      <w:r>
        <w:rPr>
          <w:rFonts w:cs="Calibri"/>
        </w:rPr>
        <w:fldChar w:fldCharType="separate"/>
      </w:r>
      <w:r>
        <w:rPr>
          <w:rFonts w:cs="Calibri"/>
          <w:noProof/>
        </w:rPr>
        <w:t>(Saunders, Lewis, &amp; Thornhill, 2019; Moon &amp; Blackman, 2014)</w:t>
      </w:r>
      <w:r>
        <w:rPr>
          <w:rFonts w:cs="Calibri"/>
        </w:rPr>
        <w:fldChar w:fldCharType="end"/>
      </w:r>
      <w:r>
        <w:rPr>
          <w:rFonts w:cs="Calibri"/>
        </w:rPr>
        <w:t xml:space="preserve">. As this project focuses on communities, there is a draw to bounded relativism as certain groups or organisations may experience reality in a similar way; however, </w:t>
      </w:r>
      <w:r>
        <w:rPr>
          <w:rFonts w:cs="Calibri"/>
          <w:highlight w:val="white"/>
        </w:rPr>
        <w:t xml:space="preserve">this project used this approach with a caveat, namely using an intersectional approach </w:t>
      </w:r>
      <w:r>
        <w:fldChar w:fldCharType="begin" w:fldLock="1"/>
      </w:r>
      <w:r w:rsidR="00974B75">
        <w:rPr>
          <w:rFonts w:cs="Calibri"/>
          <w:highlight w:val="white"/>
        </w:rPr>
        <w:instrText>ADDIN CSL_CITATION {"citationItems":[{"id":"ITEM-1","itemData":{"DOI":"10.4324/9780203578988","ISBN":"9780203578988","ISSN":"978-0-415-81890-2 (Hardcover); 978-0-203-57898-8 (Digital (undefined format))","PMID":"17972902","abstract":"This edited collection brings together many of the world's leading experts, both academic and practitioner, in a single volume handbook that examines key international issues in the field of hate crime. Collectively it examines a range of pertinent areas with the ultimate aim of providing a detailed picture of the hate crime 'problem' in different parts of the world. Offering a strong international focus and comprehensive coverage of a wide range of hate crime issues, this book is an important contribution to hate crime studies and will be essential reading for academics, students and practitioners interested in this field. The book is divided into four parts: An examination, covering theories and concepts, of issues relating to definitions of hate crime, the individual and community impacts of hate crime, the controversies of hate crime legislation and theoretical approaches to understanding offending. An exploration of the international geography of hate, in which each chapter examines a range of hate crime issues in different parts of the world, including the UK, wider Europe, North America, Australia and New Zealand. Reflections on a number of different perspectives across a range of key issues in hate crime, examining areas including particular issues affecting different victim groups, the increasingly important influence of the Internet and hate crimes in sport. A discussion of a range of international efforts being utilised to combat hate and hate crime. (PsycINFO Database Record (c) 2016 APA, all rights reserved)","author":[{"dropping-particle":"","family":"Mason-Bish","given":"Hannah","non-dropping-particle":"","parse-names":false,"suffix":""}],"chapter-number":"3","container-title":"The Routledge International Handbook on Hate Crime","editor":[{"dropping-particle":"","family":"Hall","given":"Nathan","non-dropping-particle":"","parse-names":false,"suffix":""},{"dropping-particle":"","family":"Corb","given":"Abbee","non-dropping-particle":"","parse-names":false,"suffix":""},{"dropping-particle":"","family":"Giannasi","given":"Paul","non-dropping-particle":"","parse-names":false,"suffix":""},{"dropping-particle":"","family":"Grieve","given":"John G D","non-dropping-particle":"","parse-names":false,"suffix":""}],"id":"ITEM-1","issued":{"date-parts":[["2014"]]},"page":"1-33","title":"Beyond the Silo","type":"chapter"},"uris":["http://www.mendeley.com/documents/?uuid=6a96c44a-dc08-4bfb-9a6b-c0bc3ef8505d"]},{"id":"ITEM-2","itemData":{"DOI":"10.1007/s11199-008-9504-5","ISBN":"0360-0025","ISSN":"03600025","PMID":"87372200","abstract":"This paper serves as a “best practices guide” for researchers interested in applying intersectionality theory to psychological research. Intersectionality, the mutually constitutive relations among social identities, presents several issues to researchers interested in applying it to research. I highlight three central issues and provide guidelines for how to address them. First, I discuss the constraints in the number of identities that researchers are able to test in an empirical study, and highlight relevant decision rules. Second, I discuss when to focus on “master” identities (e.g., gender) versus “emergent” identities (i.e., White lesbian). Third, I argue that treating identity as a process situated within social structural contexts facilitates the research process. I end with a brief discussion of the implications for the study of intersectionality.","author":[{"dropping-particle":"","family":"Warner","given":"Leah R.","non-dropping-particle":"","parse-names":false,"suffix":""}],"container-title":"Sex Roles","id":"ITEM-2","issued":{"date-parts":[["2008"]]},"page":"454-463","title":"A best practices guide to intersectional approaches in psychological research","type":"article-journal","volume":"59"},"uris":["http://www.mendeley.com/documents/?uuid=8e851e26-4ae8-4ad4-a56b-d76e0f8ea539"]},{"id":"ITEM-3","itemData":{"DOI":"10.1111/j.1467-9272.2007.00587.x","ISBN":"00330124","ISSN":"00330124","PMID":"23750159","abstract":"This article focuses on the concept of intersectionality, which is being used within the wider social sciences by feminists to theorize the relationship between different social categories: gender, race, sexuality, and so forth. Although research within the field of feminist geography has explored particular interconnections such as those between gender and race, the theoretical concept of intersectionality as debated in the wider social sciences has not been addressed. This article attempts to respond to that omission. It begins by tracing the emergence of debates about the interconnections between gender and other identities. It goes on to reflect on attempts tomap geometries of oppressions.Theemphasis thenmovesfromtheorizing intersectionality to questioninghowit can be researched in practice by presenting a case study to illustrate intersectionality as lived experience. The conclusion demonstrates the contribution that feminist geography can make to advance the theorization of intersectionality throughits appreciation of the significance of space in processes of subject formation. It calls for feminist geography to pay more attention to questions of power and social inequalities.","author":[{"dropping-particle":"","family":"Valentine","given":"Gill","non-dropping-particle":"","parse-names":false,"suffix":""}],"container-title":"The Professional Geographer","id":"ITEM-3","issue":"1","issued":{"date-parts":[["2007"]]},"page":"10 - 21","title":"Theorizing and Researching Intersectionality: A Challenge for Feminist Geography","type":"article-journal","volume":"59"},"uris":["http://www.mendeley.com/documents/?uuid=33533b8f-b858-4321-96f6-432feeb05d24"]},{"id":"ITEM-4","itemData":{"DOI":"10.1080/13698230701660220","ISBN":"1369-8230\\r1743-8772","ISSN":"1369-8230","PMID":"25650308","abstract":"The paper examines the effects of intersecting social divisions on constructions of multi-layered citizenships and the politics of belonging in contemporary Britain. It starts with conceptual clarifications of the notions of citizenship, belonging and intersectionality and then turns to examine contemporary politics of belonging in contemporary Britain, focus- ing on the current debate on the ‘death of multiculturalism’ and on ‘social cohesion’. It illus- trates how the use of civic and democratic values as signifiers of belonging can end up as exclusionary, rather than inclusionary in that discourse. K","author":[{"dropping-particle":"","family":"Yuval‐Davis","given":"Nira","non-dropping-particle":"","parse-names":false,"suffix":""}],"container-title":"Critical Review of International Social and Political Philosophy","id":"ITEM-4","issue":"4","issued":{"date-parts":[["2007"]]},"page":"561-574","title":"Intersectionality, Citizenship and Contemporary Politics of Belonging","type":"article-journal","volume":"10"},"uris":["http://www.mendeley.com/documents/?uuid=553a05d6-78f0-4a87-8a7f-d7dd1694f17a"]}],"mendeley":{"formattedCitation":"(Mason-Bish, 2014; Warner, 2008; Valentine, 2007; Yuval‐Davis, 2007)","plainTextFormattedCitation":"(Mason-Bish, 2014; Warner, 2008; Valentine, 2007; Yuval‐Davis, 2007)","previouslyFormattedCitation":"(Mason-Bish, 2014; Warner, 2008; Valentine, 2007; Yuval‐Davis, 2007)"},"properties":{"noteIndex":0},"schema":"https://github.com/citation-style-language/schema/raw/master/csl-citation.json"}</w:instrText>
      </w:r>
      <w:r>
        <w:rPr>
          <w:rFonts w:cs="Calibri"/>
          <w:highlight w:val="white"/>
        </w:rPr>
        <w:fldChar w:fldCharType="separate"/>
      </w:r>
      <w:r>
        <w:rPr>
          <w:rFonts w:cs="Calibri"/>
          <w:noProof/>
          <w:highlight w:val="white"/>
        </w:rPr>
        <w:t>(Mason-Bish, 2014; Warner, 2008; Valentine, 2007; Yuval‐Davis, 2007)</w:t>
      </w:r>
      <w:r>
        <w:rPr>
          <w:rFonts w:cs="Calibri"/>
          <w:highlight w:val="white"/>
        </w:rPr>
        <w:fldChar w:fldCharType="end"/>
      </w:r>
      <w:r>
        <w:rPr>
          <w:rFonts w:cs="Calibri"/>
          <w:highlight w:val="white"/>
        </w:rPr>
        <w:t xml:space="preserve">, as a social </w:t>
      </w:r>
      <w:r>
        <w:rPr>
          <w:rFonts w:cs="Calibri"/>
          <w:highlight w:val="white"/>
        </w:rPr>
        <w:lastRenderedPageBreak/>
        <w:t>actor can be a member of different groups and as such their perception of reality may differ to people who have a different intersectional characteristic.</w:t>
      </w:r>
    </w:p>
    <w:p w14:paraId="6145ACED" w14:textId="77777777" w:rsidR="00787F73" w:rsidRDefault="00787F73" w:rsidP="00866155">
      <w:pPr>
        <w:rPr>
          <w:rFonts w:cs="Calibri"/>
        </w:rPr>
      </w:pPr>
    </w:p>
    <w:p w14:paraId="4907FB94" w14:textId="228424DE" w:rsidR="00BB0539" w:rsidRDefault="00742FB7" w:rsidP="00BB0539">
      <w:pPr>
        <w:rPr>
          <w:rFonts w:cs="Calibri"/>
        </w:rPr>
      </w:pPr>
      <w:r>
        <w:rPr>
          <w:rFonts w:cs="Calibri"/>
          <w:highlight w:val="white"/>
        </w:rPr>
        <w:t xml:space="preserve">Using a bounded relativist ontological approach, this leads to the second philosophical attribute of the research: epistemology. </w:t>
      </w:r>
      <w:r>
        <w:rPr>
          <w:rFonts w:cs="Calibri"/>
        </w:rPr>
        <w:t xml:space="preserve">The interpretivist approach suggests that being and knowledge must be interpreted by social actors </w:t>
      </w:r>
      <w:r>
        <w:fldChar w:fldCharType="begin" w:fldLock="1"/>
      </w:r>
      <w:r w:rsidR="00974B75">
        <w:rPr>
          <w:rFonts w:cs="Calibri"/>
        </w:rPr>
        <w:instrText>ADDIN CSL_CITATION {"citationItems":[{"id":"ITEM-1","itemData":{"DOI":"10.1111/j.1467-9256.2007.00311.x","ISSN":"02633957","abstract":"This article represents an intervention in the debate over ontology and epistemology conducted recently in Politics. Taking a post-structuralist stance it seeks to reformulate the nature of the relationship between the ontological and the epistemological and to demonstrate that this has important consequences for the way in which the question of politics is approached.","author":[{"dropping-particle":"","family":"Daly","given":"Glyn","non-dropping-particle":"","parse-names":false,"suffix":""}],"container-title":"Politics","id":"ITEM-1","issue":"1","issued":{"date-parts":[["2008"]]},"page":"57-60","title":"Ology schmology: A post-structuralist approach: Controversy","type":"article-journal","volume":"28"},"uris":["http://www.mendeley.com/documents/?uuid=ebc79afa-8908-4053-9d91-17b57def77cd"]},{"id":"ITEM-2","itemData":{"author":[{"dropping-particle":"","family":"Schwandt","given":"Thomas","non-dropping-particle":"","parse-names":false,"suffix":""}],"chapter-number":"7","container-title":"The Landscape of Qualitative Research: Theories and Issues","editor":[{"dropping-particle":"","family":"Denzin","given":"Norman K.","non-dropping-particle":"","parse-names":false,"suffix":""},{"dropping-particle":"","family":"Lincoln","given":"Yvonna S.","non-dropping-particle":"","parse-names":false,"suffix":""}],"id":"ITEM-2","issued":{"date-parts":[["1998"]]},"page":"221-259","publisher":"Sage Publications","publisher-place":"Thousand Oaks","title":"Constructivist, Interpretivist Approaches to Human Inquiry","type":"chapter"},"uris":["http://www.mendeley.com/documents/?uuid=9cb5c40e-f404-4b27-9e5c-66895e259391"]}],"mendeley":{"formattedCitation":"(Daly, 2008; Schwandt, 1998)","plainTextFormattedCitation":"(Daly, 2008; Schwandt, 1998)","previouslyFormattedCitation":"(Daly, 2008; Schwandt, 1998)"},"properties":{"noteIndex":0},"schema":"https://github.com/citation-style-language/schema/raw/master/csl-citation.json"}</w:instrText>
      </w:r>
      <w:r>
        <w:rPr>
          <w:rFonts w:cs="Calibri"/>
        </w:rPr>
        <w:fldChar w:fldCharType="separate"/>
      </w:r>
      <w:r>
        <w:rPr>
          <w:rFonts w:cs="Calibri"/>
          <w:noProof/>
        </w:rPr>
        <w:t>(Daly, 2008; Schwandt, 1998)</w:t>
      </w:r>
      <w:r>
        <w:rPr>
          <w:rFonts w:cs="Calibri"/>
        </w:rPr>
        <w:fldChar w:fldCharType="end"/>
      </w:r>
      <w:r>
        <w:rPr>
          <w:rFonts w:cs="Calibri"/>
        </w:rPr>
        <w:t xml:space="preserve">, suggesting that knowledge is created and maintained by the social actors’ perceptions and interpretations </w:t>
      </w:r>
      <w:r>
        <w:fldChar w:fldCharType="begin" w:fldLock="1"/>
      </w:r>
      <w:r>
        <w:rPr>
          <w:rFonts w:cs="Calibri"/>
        </w:rPr>
        <w:instrText>ADDIN CSL_CITATION {"citationItems":[{"id":"ITEM-1","itemData":{"DOI":"10.1080/09523367.2012.743996","ISBN":"9780273716860","ISSN":"09523367","abstract":"A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students","edition":"Eighth","id":"ITEM-1","issued":{"date-parts":[["2019"]]},"page":"128 - 170","publisher":"Pearson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2019)","plainTextFormattedCitation":"(Saunders, Lewis, &amp; Thornhill, 2019)","previouslyFormattedCitation":"(Saunders, Lewis, &amp; Thornhill, 2019)"},"properties":{"noteIndex":0},"schema":"https://github.com/citation-style-language/schema/raw/master/csl-citation.json"}</w:instrText>
      </w:r>
      <w:r>
        <w:rPr>
          <w:rFonts w:cs="Calibri"/>
        </w:rPr>
        <w:fldChar w:fldCharType="separate"/>
      </w:r>
      <w:r>
        <w:rPr>
          <w:rFonts w:cs="Calibri"/>
          <w:noProof/>
        </w:rPr>
        <w:t>(Saunders, Lewis, &amp; Thornhill, 2019)</w:t>
      </w:r>
      <w:r>
        <w:rPr>
          <w:rFonts w:cs="Calibri"/>
        </w:rPr>
        <w:fldChar w:fldCharType="end"/>
      </w:r>
      <w:r>
        <w:rPr>
          <w:rFonts w:cs="Calibri"/>
        </w:rPr>
        <w:t xml:space="preserve">. Therefore, to examine knowledge, one must explore individual cases to gain a stronger understanding and interpretation of knowledge and reality </w:t>
      </w:r>
      <w:r>
        <w:fldChar w:fldCharType="begin" w:fldLock="1"/>
      </w:r>
      <w:r>
        <w:rPr>
          <w:rFonts w:cs="Calibri"/>
        </w:rPr>
        <w:instrText>ADDIN CSL_CITATION {"citationItems":[{"id":"ITEM-1","itemData":{"DOI":"10.1111/cobi.12326","ISSN":"08888892","abstract":"Abstract: Natural scientists are increasingly interested in social research because they recognize that conservation problems are commonly social problems. Interpreting social research, however, requires at least a basic understanding of the philosophical principles and theoretical assumptions of the discipline, which are embedded in the design of social research. Natural scientists who engage in social science but are unfamiliar with these principles and assumptions can misinterpret their results. We developed a guide to assist natural scientists in understanding the philosophical basis of social science to support the meaningful interpretation of social research outcomes. The 3 fundamental elements of research are ontology, what exists in the human world that researchers can acquire knowledge about; epistemology, how knowledge is created; and philosophical perspective, the philosophical orientation of the researcher that guides her or his action. Many elements of the guide also apply to the natural sciences. Natural scientists can use the guide to assist them in interpreting social science research to determine how the ontological position of the researcher can influence the nature of the research; how the epistemological position can be used to support the legitimacy of different types of knowledge; and how philosophical perspective can shape the researcher’s choice of methods and affect interpretation, communication, and application of results. The use of this guide can also support and promote the effective integration of the natural and social sciences to generate more insightful and relevant conservation research outcomes.","author":[{"dropping-particle":"","family":"Moon","given":"Katie","non-dropping-particle":"","parse-names":false,"suffix":""},{"dropping-particle":"","family":"Blackman","given":"Deborah","non-dropping-particle":"","parse-names":false,"suffix":""}],"container-title":"Conservation Biology","id":"ITEM-1","issue":"5","issued":{"date-parts":[["2014","10","1"]]},"page":"1167-1177","title":"A Guide to Understanding Social Science Research for Natural Scientists","type":"article-journal","volume":"28"},"uris":["http://www.mendeley.com/documents/?uuid=6b40e2b1-1646-3904-ac30-5c410eb30472"]},{"id":"ITEM-2","itemData":{"DOI":"10.1080/09523367.2012.743996","ISBN":"9780273716860","ISSN":"09523367","abstract":"A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students","edition":"Eighth","id":"ITEM-2","issued":{"date-parts":[["2019"]]},"page":"128 - 170","publisher":"Pearson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 Moon &amp; Blackman, 2014)","plainTextFormattedCitation":"(Saunders, Lewis, &amp; Thornhill, 2019; Moon &amp; Blackman, 2014)","previouslyFormattedCitation":"(Saunders, Lewis, &amp; Thornhill, 2019; Moon &amp; Blackman, 2014)"},"properties":{"noteIndex":0},"schema":"https://github.com/citation-style-language/schema/raw/master/csl-citation.json"}</w:instrText>
      </w:r>
      <w:r>
        <w:rPr>
          <w:rFonts w:cs="Calibri"/>
        </w:rPr>
        <w:fldChar w:fldCharType="separate"/>
      </w:r>
      <w:r>
        <w:rPr>
          <w:rFonts w:cs="Calibri"/>
          <w:noProof/>
        </w:rPr>
        <w:t>(Saunders, Lewis, &amp; Thornhill, 2019; Moon &amp; Blackman, 2014)</w:t>
      </w:r>
      <w:r>
        <w:rPr>
          <w:rFonts w:cs="Calibri"/>
        </w:rPr>
        <w:fldChar w:fldCharType="end"/>
      </w:r>
      <w:r>
        <w:rPr>
          <w:rFonts w:cs="Calibri"/>
        </w:rPr>
        <w:t xml:space="preserve">. Using an interpretivist paradigm shapes the way that the research examines and understands reality and knowledge, and as such influences what data is collected and how it is interpreted. </w:t>
      </w:r>
      <w:r w:rsidR="00BB0539">
        <w:rPr>
          <w:rFonts w:cs="Calibri"/>
        </w:rPr>
        <w:t xml:space="preserve"> Using an interpretivist approach enabled me to gain insight into the meaning behind people’s actions, thoughts and opinions. This research focuses on topics, such as communication and community resilience, which are intrinsically linked to the individual experience. This meant that using an interpretivist approach enabled me to frame the research in a way which prioritised the individuality of their experiences.</w:t>
      </w:r>
    </w:p>
    <w:p w14:paraId="524B43CB" w14:textId="77777777" w:rsidR="00BB0539" w:rsidRDefault="00BB0539" w:rsidP="00BB0539">
      <w:pPr>
        <w:rPr>
          <w:rFonts w:cs="Calibri"/>
        </w:rPr>
      </w:pPr>
    </w:p>
    <w:p w14:paraId="2C749338" w14:textId="2C66DB78" w:rsidR="00976B46" w:rsidRDefault="00BB0539" w:rsidP="00976B46">
      <w:pPr>
        <w:rPr>
          <w:rFonts w:cs="Calibri"/>
        </w:rPr>
      </w:pPr>
      <w:r>
        <w:rPr>
          <w:rFonts w:cs="Calibri"/>
        </w:rPr>
        <w:t>As I researcher</w:t>
      </w:r>
      <w:r w:rsidR="00A7510A">
        <w:rPr>
          <w:rFonts w:cs="Calibri"/>
        </w:rPr>
        <w:t>,</w:t>
      </w:r>
      <w:r>
        <w:rPr>
          <w:rFonts w:cs="Calibri"/>
        </w:rPr>
        <w:t xml:space="preserve"> I also personally believe in the interpretivist approach. Through my educational career, I have examined a range of literatures, including feminist theories such as intersectional theory </w:t>
      </w:r>
      <w:r>
        <w:rPr>
          <w:rFonts w:cs="Calibri"/>
        </w:rPr>
        <w:fldChar w:fldCharType="begin" w:fldLock="1"/>
      </w:r>
      <w:r w:rsidR="002E66BD">
        <w:rPr>
          <w:rFonts w:cs="Calibri"/>
        </w:rPr>
        <w:instrText>ADDIN CSL_CITATION {"citationItems":[{"id":"ITEM-1","itemData":{"author":[{"dropping-particle":"","family":"Cho","given":"Sumi","non-dropping-particle":"","parse-names":false,"suffix":""},{"dropping-particle":"","family":"Crenshaw","given":"Kimberlé Williams","non-dropping-particle":"","parse-names":false,"suffix":""},{"dropping-particle":"","family":"McCall","given":"Leslie","non-dropping-particle":"","parse-names":false,"suffix":""}],"container-title":"Signs","id":"ITEM-1","issue":"4","issued":{"date-parts":[["2013"]]},"page":"785-810","title":"Toward a Field of Intersectionality Studies: Theory, Applications, and Praxis","type":"article-journal","volume":"38"},"uris":["http://www.mendeley.com/documents/?uuid=753500ff-be11-481c-88d4-a1e416615c04"]},{"id":"ITEM-2","itemData":{"DOI":"10.1007/s11199-008-9426-2","ISBN":"0360-0025, 1573-2762","ISSN":"03600025","abstract":"The literatures on the ways in which social identity and social position (e.g., gender, class, race) inform altruism have developed orthogonally. In this community-based qualitative study we use intersectionality theory to explore the complex ways in which social identity and social structures jointly influence altruism among African American adults ( n = 40) in an urban, economically distressed housing community in New York City. Content analysis of participants’ narratives reveals the ways in which gender, race, ethnicity, class, age, and urbanicity work in tandem to create differential patterns of vulnerability, differential needs, differential commitments to caring for particular subgroups, and informs how altruists are perceived by others. The implications of this work for future research on altruism are highlighted.","author":[{"dropping-particle":"","family":"Mattis","given":"Jacqueline S.","non-dropping-particle":"","parse-names":false,"suffix":""},{"dropping-particle":"","family":"Grayman","given":"Nyasha A.","non-dropping-particle":"","parse-names":false,"suffix":""},{"dropping-particle":"","family":"Cowie","given":"Sheri Ann","non-dropping-particle":"","parse-names":false,"suffix":""},{"dropping-particle":"","family":"Winston","given":"Cynthia","non-dropping-particle":"","parse-names":false,"suffix":""},{"dropping-particle":"","family":"Watson","given":"Carolyn","non-dropping-particle":"","parse-names":false,"suffix":""},{"dropping-particle":"","family":"Jackson","given":"Daisy","non-dropping-particle":"","parse-names":false,"suffix":""}],"container-title":"Sex Roles","id":"ITEM-2","issue":"5-6","issued":{"date-parts":[["2008"]]},"page":"418-428","title":"Intersectional identities and the politics of altruistic care in a low-income, urban community","type":"article-journal","volume":"59"},"uris":["http://www.mendeley.com/documents/?uuid=f119de51-3785-4e49-bda8-5b4e2ae90fae"]},{"id":"ITEM-3","itemData":{"DOI":"10.1111/j.1467-9272.2007.00587.x","ISBN":"00330124","ISSN":"00330124","PMID":"23750159","abstract":"This article focuses on the concept of intersectionality, which is being used within the wider social sciences by feminists to theorize the relationship between different social categories: gender, race, sexuality, and so forth. Although research within the field of feminist geography has explored particular interconnections such as those between gender and race, the theoretical concept of intersectionality as debated in the wider social sciences has not been addressed. This article attempts to respond to that omission. It begins by tracing the emergence of debates about the interconnections between gender and other identities. It goes on to reflect on attempts tomap geometries of oppressions.Theemphasis thenmovesfromtheorizing intersectionality to questioninghowit can be researched in practice by presenting a case study to illustrate intersectionality as lived experience. The conclusion demonstrates the contribution that feminist geography can make to advance the theorization of intersectionality throughits appreciation of the significance of space in processes of subject formation. It calls for feminist geography to pay more attention to questions of power and social inequalities.","author":[{"dropping-particle":"","family":"Valentine","given":"Gill","non-dropping-particle":"","parse-names":false,"suffix":""}],"container-title":"The Professional Geographer","id":"ITEM-3","issue":"1","issued":{"date-parts":[["2007"]]},"page":"10 - 21","title":"Theorizing and Researching Intersectionality: A Challenge for Feminist Geography","type":"article-journal","volume":"59"},"uris":["http://www.mendeley.com/documents/?uuid=33533b8f-b858-4321-96f6-432feeb05d24"]}],"mendeley":{"formattedCitation":"(Cho, Crenshaw, &amp; McCall, 2013; Mattis et al., 2008; Valentine, 2007)","plainTextFormattedCitation":"(Cho, Crenshaw, &amp; McCall, 2013; Mattis et al., 2008; Valentine, 2007)","previouslyFormattedCitation":"(Cho, Crenshaw, &amp; McCall, 2013; Mattis et al., 2008; Valentine, 2007)"},"properties":{"noteIndex":0},"schema":"https://github.com/citation-style-language/schema/raw/master/csl-citation.json"}</w:instrText>
      </w:r>
      <w:r>
        <w:rPr>
          <w:rFonts w:cs="Calibri"/>
        </w:rPr>
        <w:fldChar w:fldCharType="separate"/>
      </w:r>
      <w:r w:rsidR="00371FF2" w:rsidRPr="00371FF2">
        <w:rPr>
          <w:rFonts w:cs="Calibri"/>
          <w:noProof/>
        </w:rPr>
        <w:t>(Cho, Crenshaw, &amp; McCall, 2013; Mattis et al., 2008; Valentine, 2007)</w:t>
      </w:r>
      <w:r>
        <w:rPr>
          <w:rFonts w:cs="Calibri"/>
        </w:rPr>
        <w:fldChar w:fldCharType="end"/>
      </w:r>
      <w:r w:rsidR="00371FF2">
        <w:rPr>
          <w:rFonts w:cs="Calibri"/>
        </w:rPr>
        <w:t xml:space="preserve">. </w:t>
      </w:r>
      <w:r>
        <w:rPr>
          <w:rFonts w:cs="Calibri"/>
        </w:rPr>
        <w:t xml:space="preserve">This academic grounding showed me the importance of examining the context and lived experiences behind the data. I strongly believe that every individual has a unique perspective on the world, not only depending on their socio-economic characteristics, but also their lived experiences. Using an interpretivist approach enabled me to conduct this research in a way which acknowledged and </w:t>
      </w:r>
      <w:r w:rsidR="00371FF2">
        <w:rPr>
          <w:rFonts w:cs="Calibri"/>
        </w:rPr>
        <w:t xml:space="preserve">gave space for the context and specificity of the participants lived experience. </w:t>
      </w:r>
      <w:r w:rsidR="00976B46">
        <w:rPr>
          <w:rFonts w:cs="Calibri"/>
        </w:rPr>
        <w:t xml:space="preserve"> </w:t>
      </w:r>
    </w:p>
    <w:p w14:paraId="0F40A855" w14:textId="77777777" w:rsidR="00BB0539" w:rsidRDefault="00BB0539" w:rsidP="00866155"/>
    <w:p w14:paraId="4A28512F" w14:textId="77777777" w:rsidR="00787F73" w:rsidRDefault="00742FB7" w:rsidP="00866155">
      <w:r>
        <w:rPr>
          <w:rFonts w:cs="Calibri"/>
        </w:rPr>
        <w:t xml:space="preserve">Traditionally, an interpretivist approach utilises an inductive approach to theory development, letting the data guide the development of theory, rather than a deductive approach which starts with the theory and then links to the data. However, due to the </w:t>
      </w:r>
      <w:r>
        <w:rPr>
          <w:rFonts w:cs="Calibri"/>
        </w:rPr>
        <w:lastRenderedPageBreak/>
        <w:t xml:space="preserve">collaborative nature of this project, I chose to adopt an abductive approach which is viewed as the middle ground between induction and deduction, with an iterative process moving between the data and the theory </w:t>
      </w:r>
      <w:bookmarkStart w:id="553" w:name="_Hlk187832663"/>
      <w:r>
        <w:fldChar w:fldCharType="begin" w:fldLock="1"/>
      </w:r>
      <w:r>
        <w:rPr>
          <w:rFonts w:cs="Calibri"/>
        </w:rPr>
        <w:instrText>ADDIN CSL_CITATION {"citationItems":[{"id":"ITEM-1","itemData":{"DOI":"10.1080/09523367.2012.743996","ISBN":"9780273716860","ISSN":"09523367","abstract":"A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students","edition":"Eighth","id":"ITEM-1","issued":{"date-parts":[["2019"]]},"page":"128 - 170","publisher":"Pearson Eduction Limited","publisher-place":"Harlow","title":"Understanding research philosophy and approaches to theory development","type":"chapter"},"uris":["http://www.mendeley.com/documents/?uuid=33ddb5a7-9d6f-4773-8236-6d048f22a52e"]},{"id":"ITEM-2","itemData":{"DOI":"10.46743/2160-3715/2022.5340","ISSN":"21603715","abstract":"Thematic analysis is an increasingly popular method for analysing qualitative data within the social sciences. Current guides for conducting thematic analysis promote the method’s broad flexibility across research designs, which has resulted in criticism that the method lacks the rigour and structure necessary for credible academic research. Recognizing the challenges faced by qualitative scholars, I developed and present an 8-step prescriptive approach specific to abductive methodologies incorporating many concepts from seminal works in thematic analysis, and importantly maintaining the balance of theorising with empirical data, which is the core of abductive research.","author":[{"dropping-particle":"","family":"Thompson","given":"Jamie","non-dropping-particle":"","parse-names":false,"suffix":""}],"container-title":"The Qualitative Report","id":"ITEM-2","issue":"5","issued":{"date-parts":[["2022"]]},"page":"1410-1421","title":"A Guide to Abductive Thematic Analysis","type":"article-journal","volume":"27"},"uris":["http://www.mendeley.com/documents/?uuid=17d3b0fb-c7ef-42c9-8b30-d2628c10807f"]}],"mendeley":{"formattedCitation":"(Thompson, 2022; Saunders, Lewis, &amp; Thornhill, 2019)","plainTextFormattedCitation":"(Thompson, 2022; Saunders, Lewis, &amp; Thornhill, 2019)","previouslyFormattedCitation":"(Thompson, 2022; Saunders, Lewis, &amp; Thornhill, 2019)"},"properties":{"noteIndex":0},"schema":"https://github.com/citation-style-language/schema/raw/master/csl-citation.json"}</w:instrText>
      </w:r>
      <w:r>
        <w:rPr>
          <w:rFonts w:cs="Calibri"/>
        </w:rPr>
        <w:fldChar w:fldCharType="separate"/>
      </w:r>
      <w:r>
        <w:rPr>
          <w:rFonts w:cs="Calibri"/>
          <w:noProof/>
        </w:rPr>
        <w:t>(Thompson, 2022; Saunders, Lewis, &amp; Thornhill, 2019)</w:t>
      </w:r>
      <w:r>
        <w:rPr>
          <w:rFonts w:cs="Calibri"/>
        </w:rPr>
        <w:fldChar w:fldCharType="end"/>
      </w:r>
      <w:bookmarkEnd w:id="553"/>
      <w:r>
        <w:rPr>
          <w:rFonts w:cs="Calibri"/>
        </w:rPr>
        <w:t xml:space="preserve">. Abduction has also been described as induction with additional understanding and explanation </w:t>
      </w:r>
      <w:r>
        <w:fldChar w:fldCharType="begin" w:fldLock="1"/>
      </w:r>
      <w:r>
        <w:rPr>
          <w:rFonts w:cs="Calibri"/>
        </w:rPr>
        <w:instrText>ADDIN CSL_CITATION {"citationItems":[{"id":"ITEM-1","itemData":{"DOI":"10.1177/1839334921998541","ISSN":"18393349","abstract":"Co-design empowers people, giving them a voice in social marketing program design; however, approaches have mostly excluded expert knowledge. An abductive approach to co-design allows for inclusion of expert knowledge, providing theoretical guidance while simultaneously investigating user views and ideas extending understanding beyond known effective approaches. We use the seven-step co-design framework and outline how an abductive inference can be applied to co-design. Social cognitive theory constructs were integrated into the seven-step co-design process. The abductive approach to co-design was tested in two co-design sessions involving 40 participants. Findings demonstrate that theory can be successfully integrated into the seven-step co-design process through utilization of theory-mapped activity cards. This article provides guidance on how theory can be incorporated into ideation and insight generation. Limitations and future research recommendations are provided.","author":[{"dropping-particle":"","family":"Hurley","given":"Erin","non-dropping-particle":"","parse-names":false,"suffix":""},{"dropping-particle":"","family":"Dietrich","given":"Timo","non-dropping-particle":"","parse-names":false,"suffix":""},{"dropping-particle":"","family":"Rundle-Thiele","given":"Sharyn","non-dropping-particle":"","parse-names":false,"suffix":""}],"container-title":"Australasian Marketing Journal","id":"ITEM-1","issue":"1","issued":{"date-parts":[["2021"]]},"page":"66-77","title":"Integrating Theory in Co-design: An Abductive Approach","type":"article-journal","volume":"29"},"uris":["http://www.mendeley.com/documents/?uuid=2ddb94e4-c76f-4f9a-bea4-d86a9d8fb454"]}],"mendeley":{"formattedCitation":"(Hurley, Dietrich, &amp; Rundle-Thiele, 2021)","plainTextFormattedCitation":"(Hurley, Dietrich, &amp; Rundle-Thiele, 2021)","previouslyFormattedCitation":"(Hurley, Dietrich, &amp; Rundle-Thiele, 2021)"},"properties":{"noteIndex":0},"schema":"https://github.com/citation-style-language/schema/raw/master/csl-citation.json"}</w:instrText>
      </w:r>
      <w:r>
        <w:rPr>
          <w:rFonts w:cs="Calibri"/>
        </w:rPr>
        <w:fldChar w:fldCharType="separate"/>
      </w:r>
      <w:r>
        <w:rPr>
          <w:rFonts w:cs="Calibri"/>
          <w:noProof/>
        </w:rPr>
        <w:t>(Hurley, Dietrich, &amp; Rundle-Thiele, 2021)</w:t>
      </w:r>
      <w:r>
        <w:rPr>
          <w:rFonts w:cs="Calibri"/>
        </w:rPr>
        <w:fldChar w:fldCharType="end"/>
      </w:r>
      <w:r>
        <w:rPr>
          <w:rFonts w:cs="Calibri"/>
        </w:rPr>
        <w:t>.</w:t>
      </w:r>
    </w:p>
    <w:p w14:paraId="07BF560A" w14:textId="77777777" w:rsidR="00787F73" w:rsidRDefault="00787F73" w:rsidP="00866155">
      <w:pPr>
        <w:rPr>
          <w:rFonts w:cs="Calibri"/>
        </w:rPr>
      </w:pPr>
    </w:p>
    <w:p w14:paraId="52546891" w14:textId="77777777" w:rsidR="00787F73" w:rsidRDefault="00742FB7" w:rsidP="00866155">
      <w:r>
        <w:rPr>
          <w:rFonts w:cs="Calibri"/>
        </w:rPr>
        <w:t xml:space="preserve">A broad abductive approach was adopted for this project due to the use of engaged scholarship </w:t>
      </w:r>
      <w:r>
        <w:fldChar w:fldCharType="begin" w:fldLock="1"/>
      </w:r>
      <w:r w:rsidR="00974B75">
        <w:rPr>
          <w:rFonts w:cs="Calibri"/>
        </w:rPr>
        <w:instrText>ADDIN CSL_CITATION {"citationItems":[{"id":"ITEM-1","itemData":{"author":[{"dropping-particle":"","family":"Ven","given":"Andrew H","non-dropping-particle":"Van De","parse-names":false,"suffix":""}],"chapter-number":"4","container-title":"Engaged Scholarship: A Guide for Organizational and Social Research","editor":[{"dropping-particle":"","family":"Ven","given":"Andrew H","non-dropping-particle":"Van De","parse-names":false,"suffix":""}],"id":"ITEM-1","issued":{"date-parts":[["2007"]]},"page":"100 - 142","publisher":"Oxford University Press","publisher-place":"Oxford","title":"Building a Theory","type":"chapter"},"uris":["http://www.mendeley.com/documents/?uuid=08c3f842-c1a3-4327-aeaf-e868c48078c1"]}],"mendeley":{"formattedCitation":"(Van De Ven, 2007a)","plainTextFormattedCitation":"(Van De Ven, 2007a)","previouslyFormattedCitation":"(Van De Ven, 2007a)"},"properties":{"noteIndex":0},"schema":"https://github.com/citation-style-language/schema/raw/master/csl-citation.json"}</w:instrText>
      </w:r>
      <w:r>
        <w:rPr>
          <w:rFonts w:cs="Calibri"/>
        </w:rPr>
        <w:fldChar w:fldCharType="separate"/>
      </w:r>
      <w:r>
        <w:rPr>
          <w:rFonts w:cs="Calibri"/>
          <w:noProof/>
        </w:rPr>
        <w:t>(Van De Ven, 2007a)</w:t>
      </w:r>
      <w:r>
        <w:rPr>
          <w:rFonts w:cs="Calibri"/>
        </w:rPr>
        <w:fldChar w:fldCharType="end"/>
      </w:r>
      <w:r>
        <w:rPr>
          <w:rFonts w:cs="Calibri"/>
        </w:rPr>
        <w:t xml:space="preserve">. This approach was chosen due to the nature of the project, </w:t>
      </w:r>
      <w:r>
        <w:t>as myself and</w:t>
      </w:r>
      <w:r>
        <w:rPr>
          <w:rFonts w:cs="Calibri"/>
        </w:rPr>
        <w:t xml:space="preserve"> SYFR worked together to shape and design the project, so moving between theory and data enabled the inclusion of new ideas and approaches </w:t>
      </w:r>
      <w:bookmarkStart w:id="554" w:name="_Hlk187832785"/>
      <w:r>
        <w:fldChar w:fldCharType="begin" w:fldLock="1"/>
      </w:r>
      <w:r>
        <w:rPr>
          <w:rFonts w:cs="Calibri"/>
        </w:rPr>
        <w:instrText>ADDIN CSL_CITATION {"citationItems":[{"id":"ITEM-1","itemData":{"DOI":"10.1177/1839334921998541","ISSN":"18393349","abstract":"Co-design empowers people, giving them a voice in social marketing program design; however, approaches have mostly excluded expert knowledge. An abductive approach to co-design allows for inclusion of expert knowledge, providing theoretical guidance while simultaneously investigating user views and ideas extending understanding beyond known effective approaches. We use the seven-step co-design framework and outline how an abductive inference can be applied to co-design. Social cognitive theory constructs were integrated into the seven-step co-design process. The abductive approach to co-design was tested in two co-design sessions involving 40 participants. Findings demonstrate that theory can be successfully integrated into the seven-step co-design process through utilization of theory-mapped activity cards. This article provides guidance on how theory can be incorporated into ideation and insight generation. Limitations and future research recommendations are provided.","author":[{"dropping-particle":"","family":"Hurley","given":"Erin","non-dropping-particle":"","parse-names":false,"suffix":""},{"dropping-particle":"","family":"Dietrich","given":"Timo","non-dropping-particle":"","parse-names":false,"suffix":""},{"dropping-particle":"","family":"Rundle-Thiele","given":"Sharyn","non-dropping-particle":"","parse-names":false,"suffix":""}],"container-title":"Australasian Marketing Journal","id":"ITEM-1","issue":"1","issued":{"date-parts":[["2021"]]},"page":"66-77","title":"Integrating Theory in Co-design: An Abductive Approach","type":"article-journal","volume":"29"},"uris":["http://www.mendeley.com/documents/?uuid=2ddb94e4-c76f-4f9a-bea4-d86a9d8fb454"]}],"mendeley":{"formattedCitation":"(Hurley, Dietrich, &amp; Rundle-Thiele, 2021)","plainTextFormattedCitation":"(Hurley, Dietrich, &amp; Rundle-Thiele, 2021)","previouslyFormattedCitation":"(Hurley, Dietrich, &amp; Rundle-Thiele, 2021)"},"properties":{"noteIndex":0},"schema":"https://github.com/citation-style-language/schema/raw/master/csl-citation.json"}</w:instrText>
      </w:r>
      <w:r>
        <w:rPr>
          <w:rFonts w:cs="Calibri"/>
        </w:rPr>
        <w:fldChar w:fldCharType="separate"/>
      </w:r>
      <w:r>
        <w:rPr>
          <w:rFonts w:cs="Calibri"/>
          <w:noProof/>
        </w:rPr>
        <w:t>(Hurley, Dietrich, &amp; Rundle-Thiele, 2021)</w:t>
      </w:r>
      <w:r>
        <w:rPr>
          <w:rFonts w:cs="Calibri"/>
        </w:rPr>
        <w:fldChar w:fldCharType="end"/>
      </w:r>
      <w:r>
        <w:rPr>
          <w:rFonts w:cs="Calibri"/>
        </w:rPr>
        <w:t xml:space="preserve">. </w:t>
      </w:r>
      <w:bookmarkEnd w:id="554"/>
      <w:r>
        <w:rPr>
          <w:rFonts w:cs="Calibri"/>
        </w:rPr>
        <w:t xml:space="preserve">An example of this was that the project initially focussed on fires, however, in 2019 severe flooding occurred in South Yorkshire which led SYFR to adapt the project to include floods, and subsequently this project needed to refocus on a wider variety of disasters. </w:t>
      </w:r>
    </w:p>
    <w:p w14:paraId="0B3C5F97" w14:textId="77777777" w:rsidR="00787F73" w:rsidRDefault="00787F73" w:rsidP="00866155">
      <w:pPr>
        <w:rPr>
          <w:rFonts w:cs="Calibri"/>
        </w:rPr>
      </w:pPr>
    </w:p>
    <w:p w14:paraId="262BE053" w14:textId="77777777" w:rsidR="00787F73" w:rsidRDefault="00742FB7" w:rsidP="00866155">
      <w:r>
        <w:rPr>
          <w:rFonts w:cs="Calibri"/>
        </w:rPr>
        <w:t xml:space="preserve">Using an interpretivist approach lends itself to more qualitative based research, as it focuses on the interpretation of events and phenomena by social actors, which can be explored in greater depth with qualitative methods </w:t>
      </w:r>
      <w:r>
        <w:fldChar w:fldCharType="begin" w:fldLock="1"/>
      </w:r>
      <w:r>
        <w:rPr>
          <w:rFonts w:cs="Calibri"/>
        </w:rPr>
        <w:instrText>ADDIN CSL_CITATION {"citationItems":[{"id":"ITEM-1","itemData":{"DOI":"10.1080/09523367.2012.743996","ISBN":"9780273716860","ISSN":"09523367","abstract":"A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students","edition":"Eighth","id":"ITEM-1","issued":{"date-parts":[["2019"]]},"page":"128 - 170","publisher":"Pearson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2019)","plainTextFormattedCitation":"(Saunders, Lewis, &amp; Thornhill, 2019)","previouslyFormattedCitation":"(Saunders, Lewis, &amp; Thornhill, 2019)"},"properties":{"noteIndex":0},"schema":"https://github.com/citation-style-language/schema/raw/master/csl-citation.json"}</w:instrText>
      </w:r>
      <w:r>
        <w:rPr>
          <w:rFonts w:cs="Calibri"/>
        </w:rPr>
        <w:fldChar w:fldCharType="separate"/>
      </w:r>
      <w:r>
        <w:rPr>
          <w:rFonts w:cs="Calibri"/>
          <w:noProof/>
        </w:rPr>
        <w:t>(Saunders, Lewis, &amp; Thornhill, 2019)</w:t>
      </w:r>
      <w:r>
        <w:rPr>
          <w:rFonts w:cs="Calibri"/>
        </w:rPr>
        <w:fldChar w:fldCharType="end"/>
      </w:r>
      <w:r>
        <w:rPr>
          <w:rFonts w:cs="Calibri"/>
        </w:rPr>
        <w:t>; this is outlined in greater detail in the next section.</w:t>
      </w:r>
    </w:p>
    <w:p w14:paraId="7C499A07" w14:textId="77777777" w:rsidR="00787F73" w:rsidRDefault="00787F73" w:rsidP="00866155">
      <w:pPr>
        <w:rPr>
          <w:rFonts w:cs="Calibri"/>
        </w:rPr>
      </w:pPr>
    </w:p>
    <w:p w14:paraId="2EA7027E" w14:textId="77777777" w:rsidR="00787F73" w:rsidRDefault="00742FB7" w:rsidP="00866155">
      <w:pPr>
        <w:pStyle w:val="Heading2"/>
      </w:pPr>
      <w:bookmarkStart w:id="555" w:name="_Hlk1448458861"/>
      <w:bookmarkStart w:id="556" w:name="_Toc145281028"/>
      <w:bookmarkStart w:id="557" w:name="_Toc145019982"/>
      <w:bookmarkStart w:id="558" w:name="_Toc153554338"/>
      <w:bookmarkStart w:id="559" w:name="_Toc147765744"/>
      <w:bookmarkStart w:id="560" w:name="_Toc193367220"/>
      <w:bookmarkEnd w:id="555"/>
      <w:r>
        <w:rPr>
          <w:rFonts w:ascii="Calibri" w:hAnsi="Calibri" w:cs="Calibri"/>
        </w:rPr>
        <w:t>3.3: Research strategy</w:t>
      </w:r>
      <w:bookmarkEnd w:id="556"/>
      <w:bookmarkEnd w:id="557"/>
      <w:bookmarkEnd w:id="558"/>
      <w:bookmarkEnd w:id="559"/>
      <w:bookmarkEnd w:id="560"/>
    </w:p>
    <w:p w14:paraId="581770AB" w14:textId="77777777" w:rsidR="00787F73" w:rsidRDefault="00742FB7" w:rsidP="00866155">
      <w:pPr>
        <w:sectPr w:rsidR="00787F73">
          <w:footerReference w:type="default" r:id="rId17"/>
          <w:footerReference w:type="first" r:id="rId18"/>
          <w:pgSz w:w="11906" w:h="16838"/>
          <w:pgMar w:top="1440" w:right="1440" w:bottom="1440" w:left="1440" w:header="0" w:footer="708" w:gutter="0"/>
          <w:pgNumType w:start="1"/>
          <w:cols w:space="720"/>
          <w:formProt w:val="0"/>
          <w:titlePg/>
          <w:docGrid w:linePitch="326"/>
        </w:sectPr>
      </w:pPr>
      <w:r>
        <w:rPr>
          <w:rFonts w:cs="Calibri"/>
        </w:rPr>
        <w:t>This section focuses on the practicalities of the research, exploring the strategies used to collect data which fits within the philosophical underpinnings of the project. Within Figure 10, one can see that the research strategy included an interpretivist approach using engaged scholarship with a specific focus on transdisciplinary research. Figure 10 also highlights the dual approach to this research, conducting data collections with SYFR, and the South Yorkshire Community, both of which used different data collection methods.</w:t>
      </w:r>
    </w:p>
    <w:p w14:paraId="164A223F" w14:textId="77777777" w:rsidR="00787F73" w:rsidRDefault="00742FB7" w:rsidP="00866155">
      <w:pPr>
        <w:keepNext/>
        <w:jc w:val="center"/>
      </w:pPr>
      <w:r>
        <w:rPr>
          <w:noProof/>
        </w:rPr>
        <w:lastRenderedPageBreak/>
        <w:drawing>
          <wp:inline distT="0" distB="0" distL="0" distR="0" wp14:anchorId="62DADD3A" wp14:editId="134D520C">
            <wp:extent cx="6249235" cy="5377218"/>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19"/>
                    <a:srcRect l="11339" r="11130"/>
                    <a:stretch>
                      <a:fillRect/>
                    </a:stretch>
                  </pic:blipFill>
                  <pic:spPr bwMode="auto">
                    <a:xfrm>
                      <a:off x="0" y="0"/>
                      <a:ext cx="6256219" cy="5383228"/>
                    </a:xfrm>
                    <a:prstGeom prst="rect">
                      <a:avLst/>
                    </a:prstGeom>
                  </pic:spPr>
                </pic:pic>
              </a:graphicData>
            </a:graphic>
          </wp:inline>
        </w:drawing>
      </w:r>
    </w:p>
    <w:p w14:paraId="3510815C" w14:textId="0E18333F" w:rsidR="00787F73" w:rsidRDefault="00742FB7" w:rsidP="00A0151B">
      <w:pPr>
        <w:pStyle w:val="caption1"/>
        <w:jc w:val="center"/>
        <w:sectPr w:rsidR="00787F73">
          <w:footerReference w:type="default" r:id="rId20"/>
          <w:footerReference w:type="first" r:id="rId21"/>
          <w:pgSz w:w="16838" w:h="11906" w:orient="landscape"/>
          <w:pgMar w:top="1440" w:right="1440" w:bottom="1440" w:left="1440" w:header="0" w:footer="709" w:gutter="0"/>
          <w:cols w:space="720"/>
          <w:formProt w:val="0"/>
          <w:docGrid w:linePitch="100"/>
        </w:sectPr>
      </w:pPr>
      <w:bookmarkStart w:id="561" w:name="_Toc193367288"/>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10</w:t>
      </w:r>
      <w:r>
        <w:rPr>
          <w:rFonts w:cs="Calibri"/>
        </w:rPr>
        <w:fldChar w:fldCharType="end"/>
      </w:r>
      <w:r>
        <w:rPr>
          <w:rFonts w:cs="Calibri"/>
        </w:rPr>
        <w:t>: Research philosophy and strategy of the project, created by the au</w:t>
      </w:r>
      <w:bookmarkStart w:id="562" w:name="_Toc153554391"/>
      <w:r>
        <w:rPr>
          <w:rFonts w:cs="Calibri"/>
        </w:rPr>
        <w:t>t</w:t>
      </w:r>
      <w:bookmarkEnd w:id="562"/>
      <w:r>
        <w:rPr>
          <w:rFonts w:cs="Calibri"/>
        </w:rPr>
        <w:t>hor.</w:t>
      </w:r>
      <w:bookmarkEnd w:id="561"/>
    </w:p>
    <w:p w14:paraId="553F8248" w14:textId="77777777" w:rsidR="00787F73" w:rsidRDefault="00742FB7" w:rsidP="00866155">
      <w:r>
        <w:rPr>
          <w:rFonts w:cs="Calibri"/>
        </w:rPr>
        <w:lastRenderedPageBreak/>
        <w:t xml:space="preserve">This section will discuss the collaborative nature of this project and its position within the engaged scholarship perspective, focusing on a transdisciplinary approach. Following from this will be a discussion of the two phases of data </w:t>
      </w:r>
      <w:r w:rsidR="00BD2F78">
        <w:rPr>
          <w:rFonts w:cs="Calibri"/>
        </w:rPr>
        <w:t>collection:</w:t>
      </w:r>
      <w:r>
        <w:rPr>
          <w:rFonts w:cs="Calibri"/>
        </w:rPr>
        <w:t xml:space="preserve"> firstly, working with SYFR, and secondly working with community groups across South Yorkshire. This section explores how the research was conducted with SYFR and discusses the use of the Institutional Ethnography (IE) and social media data. This is followed by a discussion of the community research and how the data were collected using this approach. </w:t>
      </w:r>
    </w:p>
    <w:p w14:paraId="0075F886" w14:textId="77777777" w:rsidR="00787F73" w:rsidRDefault="00787F73" w:rsidP="00866155">
      <w:pPr>
        <w:rPr>
          <w:rFonts w:cs="Calibri"/>
        </w:rPr>
      </w:pPr>
    </w:p>
    <w:p w14:paraId="48CBE387" w14:textId="77777777" w:rsidR="00787F73" w:rsidRDefault="00742FB7" w:rsidP="00866155">
      <w:pPr>
        <w:pStyle w:val="Heading3"/>
      </w:pPr>
      <w:bookmarkStart w:id="563" w:name="_Toc145281029"/>
      <w:bookmarkStart w:id="564" w:name="_Toc153554339"/>
      <w:bookmarkStart w:id="565" w:name="_Toc147765745"/>
      <w:bookmarkStart w:id="566" w:name="_Toc145019983"/>
      <w:bookmarkStart w:id="567" w:name="_Toc193367221"/>
      <w:r>
        <w:rPr>
          <w:rFonts w:ascii="Calibri" w:hAnsi="Calibri" w:cs="Calibri"/>
        </w:rPr>
        <w:t>3.3.1: Engaged Scholarship</w:t>
      </w:r>
      <w:bookmarkEnd w:id="563"/>
      <w:bookmarkEnd w:id="564"/>
      <w:bookmarkEnd w:id="565"/>
      <w:bookmarkEnd w:id="566"/>
      <w:bookmarkEnd w:id="567"/>
    </w:p>
    <w:p w14:paraId="50E48A62" w14:textId="6F2E3C66" w:rsidR="00787F73" w:rsidRDefault="00742FB7" w:rsidP="00866155">
      <w:r>
        <w:rPr>
          <w:rFonts w:cs="Calibri"/>
        </w:rPr>
        <w:t xml:space="preserve">This project used an </w:t>
      </w:r>
      <w:r>
        <w:rPr>
          <w:rFonts w:cs="Calibri"/>
          <w:i/>
        </w:rPr>
        <w:t xml:space="preserve">engaged scholarship </w:t>
      </w:r>
      <w:r>
        <w:rPr>
          <w:rFonts w:cs="Calibri"/>
          <w:iCs/>
        </w:rPr>
        <w:t>(ES) approach</w:t>
      </w:r>
      <w:r>
        <w:rPr>
          <w:rFonts w:cs="Calibri"/>
        </w:rPr>
        <w:t xml:space="preserve">, which refers to the process of combining academic (theory) and practitioner (practice) knowledge in a community-focused or partnership-oriented way </w:t>
      </w:r>
      <w:r>
        <w:fldChar w:fldCharType="begin" w:fldLock="1"/>
      </w:r>
      <w:r>
        <w:rPr>
          <w:rFonts w:cs="Calibri"/>
        </w:rPr>
        <w:instrText>ADDIN CSL_CITATION {"citationItems":[{"id":"ITEM-1","itemData":{"DOI":"10.1086/706266","ISSN":"1948822X","abstract":"The concept of engaged scholarship has garnered significant attention across numerous scientific disciplines. Engaged scholarship can be conceptualized as both a method centered on cocreating and applying new knowledge and a movement focused on prioritizing community identification of needs and social problem-solving strategies. In an effort to position social work researchers for engaged scholarship to promote public impact, we provide an overview of the following engaged-scholarship mechanisms: (a) community-based participatory research, (b) participatory action research, (c) practice-based research networks, (d) translational research, (e) transdisciplinary scientific collaborations, (f) systemic evaluation, and (g) developmental evaluation. We address the contextual factors that may influence the extent to which social work researchers can successfully pursue engaged scholarship and conclude by explicating a plausible relationship between engaged scholarship and public impact scholarship. Specifically, we apply the diffusion of innovations model and community dissonance theory to conceptually position engaged scholarship as a vehicle for promoting and optimizing public impact scholarship.","author":[{"dropping-particle":"","family":"Jensen","given":"Todd M.","non-dropping-particle":"","parse-names":false,"suffix":""},{"dropping-particle":"","family":"Kainz","given":"Kirsten","non-dropping-particle":"","parse-names":false,"suffix":""}],"container-title":"Journal of the Society for Social Work and Research","id":"ITEM-1","issue":"4","issued":{"date-parts":[["2019"]]},"page":"591-609","title":"Positioning social work researchers for engaged scholarship to promote public impact","type":"article-journal","volume":"10"},"uris":["http://www.mendeley.com/documents/?uuid=07b385ce-112d-4c2f-8976-5c04d4f2c6a1"]}],"mendeley":{"formattedCitation":"(Jensen &amp; Kainz, 2019)","plainTextFormattedCitation":"(Jensen &amp; Kainz, 2019)","previouslyFormattedCitation":"(Jensen &amp; Kainz, 2019)"},"properties":{"noteIndex":0},"schema":"https://github.com/citation-style-language/schema/raw/master/csl-citation.json"}</w:instrText>
      </w:r>
      <w:r>
        <w:rPr>
          <w:rFonts w:cs="Calibri"/>
        </w:rPr>
        <w:fldChar w:fldCharType="separate"/>
      </w:r>
      <w:r>
        <w:rPr>
          <w:rFonts w:cs="Calibri"/>
          <w:noProof/>
        </w:rPr>
        <w:t>(Jensen &amp; Kainz, 2019)</w:t>
      </w:r>
      <w:r>
        <w:rPr>
          <w:rFonts w:cs="Calibri"/>
        </w:rPr>
        <w:fldChar w:fldCharType="end"/>
      </w:r>
      <w:r>
        <w:rPr>
          <w:rFonts w:cs="Calibri"/>
        </w:rPr>
        <w:t xml:space="preserve">. ES can be described as a method that either focuses on the application and creation of knowledge in a collaborative manner, or as a movement with an emphasis on community needs and solutions </w:t>
      </w:r>
      <w:r>
        <w:fldChar w:fldCharType="begin" w:fldLock="1"/>
      </w:r>
      <w:r>
        <w:rPr>
          <w:rFonts w:cs="Calibri"/>
        </w:rPr>
        <w:instrText>ADDIN CSL_CITATION {"citationItems":[{"id":"ITEM-1","itemData":{"DOI":"10.1086/706266","ISSN":"1948822X","abstract":"The concept of engaged scholarship has garnered significant attention across numerous scientific disciplines. Engaged scholarship can be conceptualized as both a method centered on cocreating and applying new knowledge and a movement focused on prioritizing community identification of needs and social problem-solving strategies. In an effort to position social work researchers for engaged scholarship to promote public impact, we provide an overview of the following engaged-scholarship mechanisms: (a) community-based participatory research, (b) participatory action research, (c) practice-based research networks, (d) translational research, (e) transdisciplinary scientific collaborations, (f) systemic evaluation, and (g) developmental evaluation. We address the contextual factors that may influence the extent to which social work researchers can successfully pursue engaged scholarship and conclude by explicating a plausible relationship between engaged scholarship and public impact scholarship. Specifically, we apply the diffusion of innovations model and community dissonance theory to conceptually position engaged scholarship as a vehicle for promoting and optimizing public impact scholarship.","author":[{"dropping-particle":"","family":"Jensen","given":"Todd M.","non-dropping-particle":"","parse-names":false,"suffix":""},{"dropping-particle":"","family":"Kainz","given":"Kirsten","non-dropping-particle":"","parse-names":false,"suffix":""}],"container-title":"Journal of the Society for Social Work and Research","id":"ITEM-1","issue":"4","issued":{"date-parts":[["2019"]]},"page":"591-609","title":"Positioning social work researchers for engaged scholarship to promote public impact","type":"article-journal","volume":"10"},"uris":["http://www.mendeley.com/documents/?uuid=07b385ce-112d-4c2f-8976-5c04d4f2c6a1"]}],"mendeley":{"formattedCitation":"(Jensen &amp; Kainz, 2019)","plainTextFormattedCitation":"(Jensen &amp; Kainz, 2019)","previouslyFormattedCitation":"(Jensen &amp; Kainz, 2019)"},"properties":{"noteIndex":0},"schema":"https://github.com/citation-style-language/schema/raw/master/csl-citation.json"}</w:instrText>
      </w:r>
      <w:r>
        <w:rPr>
          <w:rFonts w:cs="Calibri"/>
        </w:rPr>
        <w:fldChar w:fldCharType="separate"/>
      </w:r>
      <w:r>
        <w:rPr>
          <w:rFonts w:cs="Calibri"/>
          <w:noProof/>
        </w:rPr>
        <w:t>(Jensen &amp; Kainz, 2019)</w:t>
      </w:r>
      <w:r>
        <w:rPr>
          <w:rFonts w:cs="Calibri"/>
        </w:rPr>
        <w:fldChar w:fldCharType="end"/>
      </w:r>
      <w:r>
        <w:rPr>
          <w:rFonts w:cs="Calibri"/>
        </w:rPr>
        <w:t xml:space="preserve">. An ES approach aims to engage stakeholders in all stages of the research, from the conceptualising phase through to the dissemination of the findings </w:t>
      </w:r>
      <w:r>
        <w:fldChar w:fldCharType="begin" w:fldLock="1"/>
      </w:r>
      <w:r>
        <w:rPr>
          <w:rFonts w:cs="Calibri"/>
        </w:rPr>
        <w:instrText>ADDIN CSL_CITATION {"citationItems":[{"id":"ITEM-1","itemData":{"DOI":"10.1086/706266","ISSN":"1948822X","abstract":"The concept of engaged scholarship has garnered significant attention across numerous scientific disciplines. Engaged scholarship can be conceptualized as both a method centered on cocreating and applying new knowledge and a movement focused on prioritizing community identification of needs and social problem-solving strategies. In an effort to position social work researchers for engaged scholarship to promote public impact, we provide an overview of the following engaged-scholarship mechanisms: (a) community-based participatory research, (b) participatory action research, (c) practice-based research networks, (d) translational research, (e) transdisciplinary scientific collaborations, (f) systemic evaluation, and (g) developmental evaluation. We address the contextual factors that may influence the extent to which social work researchers can successfully pursue engaged scholarship and conclude by explicating a plausible relationship between engaged scholarship and public impact scholarship. Specifically, we apply the diffusion of innovations model and community dissonance theory to conceptually position engaged scholarship as a vehicle for promoting and optimizing public impact scholarship.","author":[{"dropping-particle":"","family":"Jensen","given":"Todd M.","non-dropping-particle":"","parse-names":false,"suffix":""},{"dropping-particle":"","family":"Kainz","given":"Kirsten","non-dropping-particle":"","parse-names":false,"suffix":""}],"container-title":"Journal of the Society for Social Work and Research","id":"ITEM-1","issue":"4","issued":{"date-parts":[["2019"]]},"page":"591-609","title":"Positioning social work researchers for engaged scholarship to promote public impact","type":"article-journal","volume":"10"},"uris":["http://www.mendeley.com/documents/?uuid=07b385ce-112d-4c2f-8976-5c04d4f2c6a1"]}],"mendeley":{"formattedCitation":"(Jensen &amp; Kainz, 2019)","plainTextFormattedCitation":"(Jensen &amp; Kainz, 2019)","previouslyFormattedCitation":"(Jensen &amp; Kainz, 2019)"},"properties":{"noteIndex":0},"schema":"https://github.com/citation-style-language/schema/raw/master/csl-citation.json"}</w:instrText>
      </w:r>
      <w:r>
        <w:rPr>
          <w:rFonts w:cs="Calibri"/>
        </w:rPr>
        <w:fldChar w:fldCharType="separate"/>
      </w:r>
      <w:r>
        <w:rPr>
          <w:rFonts w:cs="Calibri"/>
          <w:noProof/>
        </w:rPr>
        <w:t>(Jensen &amp; Kainz, 2019)</w:t>
      </w:r>
      <w:r>
        <w:rPr>
          <w:rFonts w:cs="Calibri"/>
        </w:rPr>
        <w:fldChar w:fldCharType="end"/>
      </w:r>
      <w:r>
        <w:rPr>
          <w:rFonts w:cs="Calibri"/>
        </w:rPr>
        <w:t>. There is a growing body of work focusing on collaboration within research, which can be viewed as changing the institutional logics of traditional academia</w:t>
      </w:r>
      <w:r w:rsidR="00C7430A">
        <w:rPr>
          <w:rFonts w:cs="Calibri"/>
        </w:rPr>
        <w:t>.</w:t>
      </w:r>
      <w:r>
        <w:rPr>
          <w:rFonts w:cs="Calibri"/>
        </w:rPr>
        <w:t xml:space="preserve"> </w:t>
      </w:r>
      <w:r w:rsidR="00C7430A">
        <w:rPr>
          <w:rFonts w:cs="Calibri"/>
        </w:rPr>
        <w:t>H</w:t>
      </w:r>
      <w:r>
        <w:rPr>
          <w:rFonts w:cs="Calibri"/>
        </w:rPr>
        <w:t>istorically</w:t>
      </w:r>
      <w:r w:rsidR="00C7430A">
        <w:rPr>
          <w:rFonts w:cs="Calibri"/>
        </w:rPr>
        <w:t>, this</w:t>
      </w:r>
      <w:r>
        <w:rPr>
          <w:rFonts w:cs="Calibri"/>
        </w:rPr>
        <w:t xml:space="preserve"> has focused on retaining knowledge within departmental silos, whereas ES aims to ensure a collaborative approach to the research, whil</w:t>
      </w:r>
      <w:r w:rsidR="00C7430A">
        <w:rPr>
          <w:rFonts w:cs="Calibri"/>
        </w:rPr>
        <w:t>e</w:t>
      </w:r>
      <w:r>
        <w:rPr>
          <w:rFonts w:cs="Calibri"/>
        </w:rPr>
        <w:t xml:space="preserve"> contextualising the research within academic knowledge and practice </w:t>
      </w:r>
      <w:r>
        <w:fldChar w:fldCharType="begin" w:fldLock="1"/>
      </w:r>
      <w:r>
        <w:rPr>
          <w:rFonts w:cs="Calibri"/>
        </w:rPr>
        <w:instrText>ADDIN CSL_CITATION {"citationItems":[{"id":"ITEM-1","itemData":{"DOI":"10.1080/00909880802172277","ISBN":"0090988080217","ISSN":"00909882","abstract":"Engaged scholarship represents one way for making our research relevant to organizational practitioners by bridging the gap between theory and practice. Engaged scholarship is viewed as a form of collaborative inquiry between academics and practitioners that leverages their different perspectives to generate useful organizational knowledge. We explore the possibilities associated with engaged scholarship in three specific contexts: (1) theory-building and research, (2) pedagogy, teaching, and education, and (3) institutional opportunities and constraints as they relate to issues of tenure and promotion and creation of the engaged campus.","author":[{"dropping-particle":"","family":"Barge","given":"J. Kevin","non-dropping-particle":"","parse-names":false,"suffix":""},{"dropping-particle":"","family":"Shockley-Zalabak","given":"Pamela","non-dropping-particle":"","parse-names":false,"suffix":""}],"container-title":"Journal of Applied Communication Research","id":"ITEM-1","issue":"3","issued":{"date-parts":[["2008"]]},"page":"251-265","title":"Engaged scholarship and the creation of useful organizational knowledge","type":"article-journal","volume":"36"},"uris":["http://www.mendeley.com/documents/?uuid=3d3e504d-9e5d-49aa-8126-f9400a7a786e"]},{"id":"ITEM-2","itemData":{"author":[{"dropping-particle":"","family":"Ven","given":"Andrew H","non-dropping-particle":"Van De","parse-names":false,"suffix":""}],"chapter-number":"1","container-title":"Engaged Scholarship : A Guide for Organizational and Social Research","editor":[{"dropping-particle":"","family":"Ven","given":"Andrew H","non-dropping-particle":"Van De","parse-names":false,"suffix":""}],"id":"ITEM-2","issued":{"date-parts":[["2007"]]},"page":"1-35","publisher":"Oxford University Press","publisher-place":"Ox","title":"Engaged Scholarship in a Professional School","type":"chapter"},"uris":["http://www.mendeley.com/documents/?uuid=0b5781c7-4877-4a84-8616-fe1fc7bac2a6"]},{"id":"ITEM-3","itemData":{"DOI":"10.1086/706266","ISSN":"1948822X","abstract":"The concept of engaged scholarship has garnered significant attention across numerous scientific disciplines. Engaged scholarship can be conceptualized as both a method centered on cocreating and applying new knowledge and a movement focused on prioritizing community identification of needs and social problem-solving strategies. In an effort to position social work researchers for engaged scholarship to promote public impact, we provide an overview of the following engaged-scholarship mechanisms: (a) community-based participatory research, (b) participatory action research, (c) practice-based research networks, (d) translational research, (e) transdisciplinary scientific collaborations, (f) systemic evaluation, and (g) developmental evaluation. We address the contextual factors that may influence the extent to which social work researchers can successfully pursue engaged scholarship and conclude by explicating a plausible relationship between engaged scholarship and public impact scholarship. Specifically, we apply the diffusion of innovations model and community dissonance theory to conceptually position engaged scholarship as a vehicle for promoting and optimizing public impact scholarship.","author":[{"dropping-particle":"","family":"Jensen","given":"Todd M.","non-dropping-particle":"","parse-names":false,"suffix":""},{"dropping-particle":"","family":"Kainz","given":"Kirsten","non-dropping-particle":"","parse-names":false,"suffix":""}],"container-title":"Journal of the Society for Social Work and Research","id":"ITEM-3","issue":"4","issued":{"date-parts":[["2019"]]},"page":"591-609","title":"Positioning social work researchers for engaged scholarship to promote public impact","type":"article-journal","volume":"10"},"uris":["http://www.mendeley.com/documents/?uuid=07b385ce-112d-4c2f-8976-5c04d4f2c6a1"]}],"mendeley":{"formattedCitation":"(Jensen &amp; Kainz, 2019; Barge &amp; Shockley-Zalabak, 2008; Van De Ven, 2007b)","plainTextFormattedCitation":"(Jensen &amp; Kainz, 2019; Barge &amp; Shockley-Zalabak, 2008; Van De Ven, 2007b)","previouslyFormattedCitation":"(Jensen &amp; Kainz, 2019; Barge &amp; Shockley-Zalabak, 2008; Van De Ven, 2007b)"},"properties":{"noteIndex":0},"schema":"https://github.com/citation-style-language/schema/raw/master/csl-citation.json"}</w:instrText>
      </w:r>
      <w:r>
        <w:rPr>
          <w:rFonts w:cs="Calibri"/>
        </w:rPr>
        <w:fldChar w:fldCharType="separate"/>
      </w:r>
      <w:r>
        <w:rPr>
          <w:rFonts w:cs="Calibri"/>
          <w:noProof/>
        </w:rPr>
        <w:t>(Jensen &amp; Kainz, 2019; Barge &amp; Shockley-Zalabak, 2008; Van De Ven, 2007b)</w:t>
      </w:r>
      <w:r>
        <w:rPr>
          <w:rFonts w:cs="Calibri"/>
        </w:rPr>
        <w:fldChar w:fldCharType="end"/>
      </w:r>
      <w:r>
        <w:rPr>
          <w:rFonts w:cs="Calibri"/>
        </w:rPr>
        <w:t xml:space="preserve">. A method of engaged scholarship is transdisciplinary work </w:t>
      </w:r>
      <w:r>
        <w:fldChar w:fldCharType="begin" w:fldLock="1"/>
      </w:r>
      <w:r>
        <w:rPr>
          <w:rFonts w:cs="Calibri"/>
        </w:rPr>
        <w:instrText>ADDIN CSL_CITATION {"citationItems":[{"id":"ITEM-1","itemData":{"DOI":"10.1086/706266","ISSN":"1948822X","abstract":"The concept of engaged scholarship has garnered significant attention across numerous scientific disciplines. Engaged scholarship can be conceptualized as both a method centered on cocreating and applying new knowledge and a movement focused on prioritizing community identification of needs and social problem-solving strategies. In an effort to position social work researchers for engaged scholarship to promote public impact, we provide an overview of the following engaged-scholarship mechanisms: (a) community-based participatory research, (b) participatory action research, (c) practice-based research networks, (d) translational research, (e) transdisciplinary scientific collaborations, (f) systemic evaluation, and (g) developmental evaluation. We address the contextual factors that may influence the extent to which social work researchers can successfully pursue engaged scholarship and conclude by explicating a plausible relationship between engaged scholarship and public impact scholarship. Specifically, we apply the diffusion of innovations model and community dissonance theory to conceptually position engaged scholarship as a vehicle for promoting and optimizing public impact scholarship.","author":[{"dropping-particle":"","family":"Jensen","given":"Todd M.","non-dropping-particle":"","parse-names":false,"suffix":""},{"dropping-particle":"","family":"Kainz","given":"Kirsten","non-dropping-particle":"","parse-names":false,"suffix":""}],"container-title":"Journal of the Society for Social Work and Research","id":"ITEM-1","issue":"4","issued":{"date-parts":[["2019"]]},"page":"591-609","title":"Positioning social work researchers for engaged scholarship to promote public impact","type":"article-journal","volume":"10"},"uris":["http://www.mendeley.com/documents/?uuid=07b385ce-112d-4c2f-8976-5c04d4f2c6a1"]}],"mendeley":{"formattedCitation":"(Jensen &amp; Kainz, 2019)","plainTextFormattedCitation":"(Jensen &amp; Kainz, 2019)","previouslyFormattedCitation":"(Jensen &amp; Kainz, 2019)"},"properties":{"noteIndex":0},"schema":"https://github.com/citation-style-language/schema/raw/master/csl-citation.json"}</w:instrText>
      </w:r>
      <w:r>
        <w:rPr>
          <w:rFonts w:cs="Calibri"/>
        </w:rPr>
        <w:fldChar w:fldCharType="separate"/>
      </w:r>
      <w:r>
        <w:rPr>
          <w:rFonts w:cs="Calibri"/>
          <w:noProof/>
        </w:rPr>
        <w:t>(Jensen &amp; Kainz, 2019)</w:t>
      </w:r>
      <w:r>
        <w:rPr>
          <w:rFonts w:cs="Calibri"/>
        </w:rPr>
        <w:fldChar w:fldCharType="end"/>
      </w:r>
      <w:r>
        <w:rPr>
          <w:rFonts w:cs="Calibri"/>
        </w:rPr>
        <w:t>.</w:t>
      </w:r>
    </w:p>
    <w:p w14:paraId="6A9DBCD2" w14:textId="77777777" w:rsidR="00787F73" w:rsidRDefault="00787F73" w:rsidP="00866155">
      <w:pPr>
        <w:rPr>
          <w:rFonts w:cs="Calibri"/>
        </w:rPr>
      </w:pPr>
    </w:p>
    <w:p w14:paraId="4061C1B8" w14:textId="77777777" w:rsidR="00787F73" w:rsidRDefault="00742FB7" w:rsidP="00866155">
      <w:pPr>
        <w:pStyle w:val="Heading4"/>
        <w:spacing w:line="360" w:lineRule="auto"/>
      </w:pPr>
      <w:bookmarkStart w:id="568" w:name="_Toc145281031"/>
      <w:bookmarkStart w:id="569" w:name="_Toc147765746"/>
      <w:r>
        <w:rPr>
          <w:rFonts w:ascii="Calibri" w:hAnsi="Calibri" w:cs="Calibri"/>
        </w:rPr>
        <w:t>Transdisciplinary research</w:t>
      </w:r>
      <w:bookmarkEnd w:id="568"/>
      <w:bookmarkEnd w:id="569"/>
    </w:p>
    <w:p w14:paraId="01518C3C" w14:textId="77777777" w:rsidR="00787F73" w:rsidRDefault="00742FB7" w:rsidP="00866155">
      <w:r>
        <w:rPr>
          <w:rFonts w:cs="Calibri"/>
        </w:rPr>
        <w:t xml:space="preserve">This project was designed to be transdisciplinary due to the partnership with SYFR. Transdisciplinary research describes research which combines academic and non-academic actors in the co-production of knowledge </w:t>
      </w:r>
      <w:r>
        <w:fldChar w:fldCharType="begin" w:fldLock="1"/>
      </w:r>
      <w:bookmarkStart w:id="570" w:name="_Hlk161238196"/>
      <w:r w:rsidR="00974B75">
        <w:rPr>
          <w:rFonts w:cs="Calibri"/>
        </w:rPr>
        <w:instrText>ADDIN CSL_CITATION {"citationItems":[{"id":"ITEM-1","itemData":{"DOI":"10.1080/26395916.2021.1931452","ISSN":"26395916","abstract":"Transdisciplinary research that bridges science and society is needed to address the complex social-ecological sustainability challenges we are facing. However, many transdisciplinary researchers grapple with balancing the competing demands of scientific rigour and excellence, societal impact and engagement, and self-care. This is especially evident in the growing literature by early-career researchers describing the challenges of pursuing a transdisciplinary research career in social-ecological sustainability research. To guide discussion and reflection towards a flourishing transdisciplinary research practice, we synthesized our own and other researchers’ experiences of using a transdisciplinary approach and formulated the heuristic of the ‘Triple-S’: caring for Science, Society and Self. This heuristic adds the frequently overlooked personal aspects of transdisciplinary research. Current dominant academic structures, cultures and metrics of success are not supporting a balanced and flourishing transdisciplinary research practice, but rather creating and exacerbating the trade-offs between these three aspects. As an example of a solutions-oriented approach, we developed a theory of change to address the changes we see are necessary to enable a transdisciplinary research practice in line with the Triple-S. We hope that this will foster academic environments where transdisciplinary research practice can flourish and the next generation of researchers are not burnt-out, but empowered.","author":[{"dropping-particle":"","family":"Sellberg","given":"My M.","non-dropping-particle":"","parse-names":false,"suffix":""},{"dropping-particle":"","family":"Cockburn","given":"Jessica","non-dropping-particle":"","parse-names":false,"suffix":""},{"dropping-particle":"","family":"Holden","given":"Petra B.","non-dropping-particle":"","parse-names":false,"suffix":""},{"dropping-particle":"","family":"Lam","given":"David P.M.","non-dropping-particle":"","parse-names":false,"suffix":""}],"container-title":"Ecosystems and People","id":"ITEM-1","issue":"1","issued":{"date-parts":[["2021"]]},"page":"292-305","title":"Towards a caring transdisciplinary research practice: navigating science, society and self","type":"article-journal","volume":"17"},"uris":["http://www.mendeley.com/documents/?uuid=30c854bf-e6eb-4d29-a8b2-6489b3d8f6e4"]},{"id":"ITEM-2","itemData":{"ISBN":"4159902000598","ISSN":"2662-9992","author":[{"dropping-particle":"","family":"Rigolot","given":"Cyrille","non-dropping-particle":"","parse-names":false,"suffix":""}],"container-title":"Humanities and Social Sciences Communications","id":"ITEM-2","issue":"100","issued":{"date-parts":[["2020"]]},"page":"1-5","title":"Transdisciplinarity as a discipline and a way of being: complementarities and creative tensions","type":"article-journal","volume":"7"},"uris":["http://www.mendeley.com/documents/?uuid=1cf1a49e-83f1-4bbe-8595-25063f6e6b2f"]},{"id":"ITEM-3","itemData":{"author":[{"dropping-particle":"","family":"Lawrence","given":"Mark G","non-dropping-particle":"","parse-names":false,"suffix":""},{"dropping-particle":"","family":"Williams","given":"Stephen","non-dropping-particle":"","parse-names":false,"suffix":""},{"dropping-particle":"","family":"Nanz","given":"Patrizia","non-dropping-particle":"","parse-names":false,"suffix":""},{"dropping-particle":"","family":"Renn","given":"Ortwin","non-dropping-particle":"","parse-names":false,"suffix":""}],"container-title":"One Earth","id":"ITEM-3","issue":"1","issued":{"date-parts":[["2022"]]},"page":"44-61.","title":"Characteristics, potentials, and challenges of transdisciplinary research","type":"article-journal","volume":"5"},"uris":["http://www.mendeley.com/documents/?uuid=cfeb06b1-c46b-48d6-88eb-c2bb4aefa648"]},{"id":"ITEM-4","itemData":{"ISBN":"0123456789","author":[{"dropping-particle":"","family":"Plummer","given":"Ryan","non-dropping-particle":"","parse-names":false,"suffix":""},{"dropping-particle":"","family":"Blythe","given":"Jessica","non-dropping-particle":"","parse-names":false,"suffix":""},{"dropping-particle":"","family":"Gurney","given":"Georgina G","non-dropping-particle":"","parse-names":false,"suffix":""},{"dropping-particle":"","family":"Witkowski","given":"Samantha","non-dropping-particle":"","parse-names":false,"suffix":""},{"dropping-particle":"","family":"Armitage","given":"Derek","non-dropping-particle":"","parse-names":false,"suffix":""}],"container-title":"Sustainability Science","id":"ITEM-4","issued":{"date-parts":[["2022"]]},"page":"955-967","title":"Transdisciplinary partnerships for sustainability: an evaluation guide","type":"article-journal","volume":"17"},"uris":["http://www.mendeley.com/documents/?uuid=0640535f-e4b9-4800-8bf1-5f117747c88a"]},{"id":"ITEM-5","itemData":{"DOI":"10.1002/sd.2281","author":[{"dropping-particle":"","family":"Kruijf","given":"Joanne Vinke-de","non-dropping-particle":"","parse-names":false,"suffix":""},{"dropping-particle":"","family":"Verbrugge","given":"Laura","non-dropping-particle":"","parse-names":false,"suffix":""},{"dropping-particle":"","family":"Schröter","given":"Barbara","non-dropping-particle":"","parse-names":false,"suffix":""},{"dropping-particle":"","family":"Fliervoet","given":"Jan","non-dropping-particle":"","parse-names":false,"suffix":""},{"dropping-particle":"","family":"Henze","given":"Jennifer","non-dropping-particle":"","parse-names":false,"suffix":""},{"dropping-particle":"","family":"Albert","given":"Christian","non-dropping-particle":"","parse-names":false,"suffix":""}],"container-title":"Sustainable Development","id":"ITEM-5","issue":"2","issued":{"date-parts":[["2022"]]},"page":"393-405","title":"Knowledge co-production and researcher roles in transdisciplinary environmental management projects","type":"article-journal","volume":"30"},"uris":["http://www.mendeley.com/documents/?uuid=1176cab8-7afa-49d2-b49e-808c2ad5ad43"]}],"mendeley":{"formattedCitation":"(Kruijf et al., 2022; Lawrence et al., 2022; Plummer et al., 2022; Sellberg et al., 2021; Rigolot, 2020)","plainTextFormattedCitation":"(Kruijf et al., 2022; Lawrence et al., 2022; Plummer et al., 2022; Sellberg et al., 2021; Rigolot, 2020)","previouslyFormattedCitation":"(Kruijf et al., 2022; Lawrence et al., 2022; Plummer et al., 2022; Sellberg et al., 2021; Rigolot, 2020)"},"properties":{"noteIndex":0},"schema":"https://github.com/citation-style-language/schema/raw/master/csl-citation.json"}</w:instrText>
      </w:r>
      <w:r>
        <w:rPr>
          <w:rFonts w:cs="Calibri"/>
        </w:rPr>
        <w:fldChar w:fldCharType="separate"/>
      </w:r>
      <w:r>
        <w:rPr>
          <w:rFonts w:cs="Calibri"/>
          <w:noProof/>
        </w:rPr>
        <w:t>(Kruijf et al., 2022; Lawrence et al., 2022; Plummer et al., 2022; Sellberg et al., 2021; Rigolot, 2020)</w:t>
      </w:r>
      <w:r>
        <w:rPr>
          <w:rFonts w:cs="Calibri"/>
        </w:rPr>
        <w:fldChar w:fldCharType="end"/>
      </w:r>
      <w:bookmarkEnd w:id="570"/>
      <w:r>
        <w:rPr>
          <w:rFonts w:cs="Calibri"/>
        </w:rPr>
        <w:t>. Transdisciplinary work aims to engage societal actors in “</w:t>
      </w:r>
      <w:r>
        <w:rPr>
          <w:rFonts w:cs="Calibri"/>
          <w:i/>
          <w:iCs/>
        </w:rPr>
        <w:t>wicked problems”</w:t>
      </w:r>
      <w:r>
        <w:rPr>
          <w:rFonts w:cs="Calibri"/>
        </w:rPr>
        <w:t xml:space="preserve"> or “</w:t>
      </w:r>
      <w:r>
        <w:rPr>
          <w:rFonts w:cs="Calibri"/>
          <w:i/>
          <w:iCs/>
        </w:rPr>
        <w:t>grand challenges”</w:t>
      </w:r>
      <w:r>
        <w:rPr>
          <w:rFonts w:cs="Calibri"/>
        </w:rPr>
        <w:t xml:space="preserve">, which describes multifaceted societal issues, such as climate change </w:t>
      </w:r>
      <w:r>
        <w:fldChar w:fldCharType="begin" w:fldLock="1"/>
      </w:r>
      <w:r w:rsidR="00974B75">
        <w:rPr>
          <w:rFonts w:cs="Calibri"/>
        </w:rPr>
        <w:instrText>ADDIN CSL_CITATION {"citationItems":[{"id":"ITEM-1","itemData":{"author":[{"dropping-particle":"","family":"Cunliffe","given":"Ann L.","non-dropping-particle":"","parse-names":false,"suffix":""},{"dropping-particle":"","family":"Pavlovich","given":"Kathryn","non-dropping-particle":"","parse-names":false,"suffix":""}],"container-title":"Academy of Management Perspectives","id":"ITEM-1","issue":"3","issued":{"date-parts":[["2022"]]},"page":"879-895","title":"Making Our Work Matter: From Spectator To and Management Studies","type":"article-journal","volume":"36"},"uris":["http://www.mendeley.com/documents/?uuid=76313b30-475b-48ee-a88e-69614d719385"]},{"id":"ITEM-2","itemData":{"DOI":"10.5465/amp.2020.0159","ISSN":"15589080","abstract":"There is growing interest among management scholars, policy-makers, and practitioners in understanding and addressing deep-seated societal problems, often termed “wicked problems,” “grand challenges,” or “messes.” An expansive body of research and practice-based literature has appeared, with little evidence to date of synthesis across research streams, tools, and practices. We also note a bifurcation between management scholarship and practice in this area that hinders cumulative learning and cross-fertilization to inform practice and policy questions. In this paper, we introduce the RAFFT framework, composed of five interrelated themes that underpin messiness (rules, agency, feedback, frames and tensions) and are grounded in knowledge triangulated across thought worlds from research and practice. Supported by illustrative examples from research and practice, we present this heuristic framework as both a diagnostic tool and an intervention repertoire. We hope that this framework can serve as a starting point for further development by researchers and practitioners working more closely together to build cumulative knowledge.","author":[{"dropping-particle":"","family":"Klag","given":"Malvina","non-dropping-particle":"","parse-names":false,"suffix":""},{"dropping-particle":"","family":"Langley","given":"Ann","non-dropping-particle":"","parse-names":false,"suffix":""}],"container-title":"Academy of Management Perspectives","id":"ITEM-2","issue":"1","issued":{"date-parts":[["2023"]]},"page":"37-54","title":"When Everything Interacts With Everything Else: Intervening in Messes","type":"article-journal","volume":"37"},"uris":["http://www.mendeley.com/documents/?uuid=fd7248dd-6f65-4f22-8100-85710d4e6dfc"]},{"id":"ITEM-3","itemData":{"author":[{"dropping-particle":"","family":"Lawrence","given":"Mark G","non-dropping-particle":"","parse-names":false,"suffix":""},{"dropping-particle":"","family":"Williams","given":"Stephen","non-dropping-particle":"","parse-names":false,"suffix":""},{"dropping-particle":"","family":"Nanz","given":"Patrizia","non-dropping-particle":"","parse-names":false,"suffix":""},{"dropping-particle":"","family":"Renn","given":"Ortwin","non-dropping-particle":"","parse-names":false,"suffix":""}],"container-title":"One Earth","id":"ITEM-3","issue":"1","issued":{"date-parts":[["2022"]]},"page":"44-61.","title":"Characteristics, potentials, and challenges of transdisciplinary research","type":"article-journal","volume":"5"},"uris":["http://www.mendeley.com/documents/?uuid=cfeb06b1-c46b-48d6-88eb-c2bb4aefa648"]}],"mendeley":{"formattedCitation":"(Klag &amp; Langley, 2023; Cunliffe &amp; Pavlovich, 2022; Lawrence et al., 2022)","plainTextFormattedCitation":"(Klag &amp; Langley, 2023; Cunliffe &amp; Pavlovich, 2022; Lawrence et al., 2022)","previouslyFormattedCitation":"(Klag &amp; Langley, 2023; Cunliffe &amp; Pavlovich, 2022; Lawrence et al., 2022)"},"properties":{"noteIndex":0},"schema":"https://github.com/citation-style-language/schema/raw/master/csl-citation.json"}</w:instrText>
      </w:r>
      <w:r>
        <w:rPr>
          <w:rFonts w:cs="Calibri"/>
        </w:rPr>
        <w:fldChar w:fldCharType="separate"/>
      </w:r>
      <w:r>
        <w:rPr>
          <w:rFonts w:cs="Calibri"/>
          <w:noProof/>
        </w:rPr>
        <w:t xml:space="preserve">(Klag &amp; Langley, 2023; Cunliffe &amp; Pavlovich, 2022; </w:t>
      </w:r>
      <w:r>
        <w:rPr>
          <w:rFonts w:cs="Calibri"/>
          <w:noProof/>
        </w:rPr>
        <w:lastRenderedPageBreak/>
        <w:t>Lawrence et al., 2022)</w:t>
      </w:r>
      <w:r>
        <w:rPr>
          <w:rFonts w:cs="Calibri"/>
        </w:rPr>
        <w:fldChar w:fldCharType="end"/>
      </w:r>
      <w:r>
        <w:rPr>
          <w:rFonts w:cs="Calibri"/>
        </w:rPr>
        <w:t xml:space="preserve">, and in the case of this research, community resilience to disasters. There are three different phases that societal actors can be involved with in a project, such as project formulation, project execution and results, and products and publications </w:t>
      </w:r>
      <w:r>
        <w:fldChar w:fldCharType="begin" w:fldLock="1"/>
      </w:r>
      <w:r>
        <w:rPr>
          <w:rFonts w:cs="Calibri"/>
        </w:rPr>
        <w:instrText>ADDIN CSL_CITATION {"citationItems":[{"id":"ITEM-1","itemData":{"author":[{"dropping-particle":"","family":"Lawrence","given":"Mark G","non-dropping-particle":"","parse-names":false,"suffix":""},{"dropping-particle":"","family":"Williams","given":"Stephen","non-dropping-particle":"","parse-names":false,"suffix":""},{"dropping-particle":"","family":"Nanz","given":"Patrizia","non-dropping-particle":"","parse-names":false,"suffix":""},{"dropping-particle":"","family":"Renn","given":"Ortwin","non-dropping-particle":"","parse-names":false,"suffix":""}],"container-title":"One Earth","id":"ITEM-1","issue":"1","issued":{"date-parts":[["2022"]]},"page":"44-61.","title":"Characteristics, potentials, and challenges of transdisciplinary research","type":"article-journal","volume":"5"},"uris":["http://www.mendeley.com/documents/?uuid=cfeb06b1-c46b-48d6-88eb-c2bb4aefa648"]}],"mendeley":{"formattedCitation":"(Lawrence et al., 2022)","plainTextFormattedCitation":"(Lawrence et al., 2022)","previouslyFormattedCitation":"(Lawrence et al., 2022)"},"properties":{"noteIndex":0},"schema":"https://github.com/citation-style-language/schema/raw/master/csl-citation.json"}</w:instrText>
      </w:r>
      <w:r>
        <w:rPr>
          <w:rFonts w:cs="Calibri"/>
        </w:rPr>
        <w:fldChar w:fldCharType="separate"/>
      </w:r>
      <w:r>
        <w:rPr>
          <w:rFonts w:cs="Calibri"/>
          <w:noProof/>
        </w:rPr>
        <w:t>(Lawrence et al., 2022)</w:t>
      </w:r>
      <w:r>
        <w:rPr>
          <w:rFonts w:cs="Calibri"/>
        </w:rPr>
        <w:fldChar w:fldCharType="end"/>
      </w:r>
      <w:r>
        <w:rPr>
          <w:rFonts w:cs="Calibri"/>
        </w:rPr>
        <w:t xml:space="preserve">. </w:t>
      </w:r>
    </w:p>
    <w:p w14:paraId="307D8BDA" w14:textId="77777777" w:rsidR="00787F73" w:rsidRDefault="00787F73" w:rsidP="00866155">
      <w:pPr>
        <w:rPr>
          <w:rFonts w:cs="Calibri"/>
        </w:rPr>
      </w:pPr>
    </w:p>
    <w:p w14:paraId="5B6AEA8F" w14:textId="77777777" w:rsidR="00787F73" w:rsidRDefault="00742FB7" w:rsidP="00866155">
      <w:r>
        <w:rPr>
          <w:rFonts w:cs="Calibri"/>
        </w:rPr>
        <w:t xml:space="preserve">This project was designed in collaboration with SYFR, which means the conceptualisation and design of this project has combined academic and practitioner discourses, enabling knowledge co-production </w:t>
      </w:r>
      <w:r>
        <w:fldChar w:fldCharType="begin" w:fldLock="1"/>
      </w:r>
      <w:r>
        <w:rPr>
          <w:rFonts w:cs="Calibri"/>
        </w:rPr>
        <w:instrText>ADDIN CSL_CITATION {"citationItems":[{"id":"ITEM-1","itemData":{"DOI":"10.1002/sd.2281","author":[{"dropping-particle":"","family":"Kruijf","given":"Joanne Vinke-de","non-dropping-particle":"","parse-names":false,"suffix":""},{"dropping-particle":"","family":"Verbrugge","given":"Laura","non-dropping-particle":"","parse-names":false,"suffix":""},{"dropping-particle":"","family":"Schröter","given":"Barbara","non-dropping-particle":"","parse-names":false,"suffix":""},{"dropping-particle":"","family":"Fliervoet","given":"Jan","non-dropping-particle":"","parse-names":false,"suffix":""},{"dropping-particle":"","family":"Henze","given":"Jennifer","non-dropping-particle":"","parse-names":false,"suffix":""},{"dropping-particle":"","family":"Albert","given":"Christian","non-dropping-particle":"","parse-names":false,"suffix":""}],"container-title":"Sustainable Development","id":"ITEM-1","issue":"2","issued":{"date-parts":[["2022"]]},"page":"393-405","title":"Knowledge co-production and researcher roles in transdisciplinary environmental management projects","type":"article-journal","volume":"30"},"uris":["http://www.mendeley.com/documents/?uuid=1176cab8-7afa-49d2-b49e-808c2ad5ad43"]}],"mendeley":{"formattedCitation":"(Kruijf et al., 2022)","plainTextFormattedCitation":"(Kruijf et al., 2022)","previouslyFormattedCitation":"(Kruijf et al., 2022)"},"properties":{"noteIndex":0},"schema":"https://github.com/citation-style-language/schema/raw/master/csl-citation.json"}</w:instrText>
      </w:r>
      <w:r>
        <w:rPr>
          <w:rFonts w:cs="Calibri"/>
        </w:rPr>
        <w:fldChar w:fldCharType="separate"/>
      </w:r>
      <w:r>
        <w:rPr>
          <w:rFonts w:cs="Calibri"/>
          <w:noProof/>
        </w:rPr>
        <w:t>(Kruijf et al., 2022)</w:t>
      </w:r>
      <w:r>
        <w:rPr>
          <w:rFonts w:cs="Calibri"/>
        </w:rPr>
        <w:fldChar w:fldCharType="end"/>
      </w:r>
      <w:r>
        <w:rPr>
          <w:rFonts w:cs="Calibri"/>
        </w:rPr>
        <w:t xml:space="preserve">. This approach aims to ensure that impact is embedded within the research, not only for academic audiences, but also for the wider disaster management sector. Working across academia and practitioner environments requires an understanding of the cultural differences between academia and practitioner discourses </w:t>
      </w:r>
      <w:r>
        <w:fldChar w:fldCharType="begin" w:fldLock="1"/>
      </w:r>
      <w:r>
        <w:rPr>
          <w:rFonts w:cs="Calibri"/>
        </w:rPr>
        <w:instrText>ADDIN CSL_CITATION {"citationItems":[{"id":"ITEM-1","itemData":{"DOI":"10.1086/706266","ISSN":"1948822X","abstract":"The concept of engaged scholarship has garnered significant attention across numerous scientific disciplines. Engaged scholarship can be conceptualized as both a method centered on cocreating and applying new knowledge and a movement focused on prioritizing community identification of needs and social problem-solving strategies. In an effort to position social work researchers for engaged scholarship to promote public impact, we provide an overview of the following engaged-scholarship mechanisms: (a) community-based participatory research, (b) participatory action research, (c) practice-based research networks, (d) translational research, (e) transdisciplinary scientific collaborations, (f) systemic evaluation, and (g) developmental evaluation. We address the contextual factors that may influence the extent to which social work researchers can successfully pursue engaged scholarship and conclude by explicating a plausible relationship between engaged scholarship and public impact scholarship. Specifically, we apply the diffusion of innovations model and community dissonance theory to conceptually position engaged scholarship as a vehicle for promoting and optimizing public impact scholarship.","author":[{"dropping-particle":"","family":"Jensen","given":"Todd M.","non-dropping-particle":"","parse-names":false,"suffix":""},{"dropping-particle":"","family":"Kainz","given":"Kirsten","non-dropping-particle":"","parse-names":false,"suffix":""}],"container-title":"Journal of the Society for Social Work and Research","id":"ITEM-1","issue":"4","issued":{"date-parts":[["2019"]]},"page":"591-609","title":"Positioning social work researchers for engaged scholarship to promote public impact","type":"article-journal","volume":"10"},"uris":["http://www.mendeley.com/documents/?uuid=07b385ce-112d-4c2f-8976-5c04d4f2c6a1"]}],"mendeley":{"formattedCitation":"(Jensen &amp; Kainz, 2019)","plainTextFormattedCitation":"(Jensen &amp; Kainz, 2019)","previouslyFormattedCitation":"(Jensen &amp; Kainz, 2019)"},"properties":{"noteIndex":0},"schema":"https://github.com/citation-style-language/schema/raw/master/csl-citation.json"}</w:instrText>
      </w:r>
      <w:r>
        <w:rPr>
          <w:rFonts w:cs="Calibri"/>
        </w:rPr>
        <w:fldChar w:fldCharType="separate"/>
      </w:r>
      <w:r>
        <w:rPr>
          <w:rFonts w:cs="Calibri"/>
          <w:noProof/>
        </w:rPr>
        <w:t>(Jensen &amp; Kainz, 2019)</w:t>
      </w:r>
      <w:r>
        <w:rPr>
          <w:rFonts w:cs="Calibri"/>
        </w:rPr>
        <w:fldChar w:fldCharType="end"/>
      </w:r>
      <w:r>
        <w:rPr>
          <w:rFonts w:cs="Calibri"/>
        </w:rPr>
        <w:t>.</w:t>
      </w:r>
    </w:p>
    <w:p w14:paraId="2FB5566A" w14:textId="77777777" w:rsidR="00787F73" w:rsidRDefault="00787F73" w:rsidP="00866155">
      <w:pPr>
        <w:rPr>
          <w:rFonts w:cs="Calibri"/>
        </w:rPr>
      </w:pPr>
    </w:p>
    <w:p w14:paraId="5AC0F639" w14:textId="56093689" w:rsidR="00787F73" w:rsidRDefault="00C84401" w:rsidP="00866155">
      <w:r>
        <w:rPr>
          <w:rFonts w:cs="Calibri"/>
        </w:rPr>
        <w:t>While</w:t>
      </w:r>
      <w:r w:rsidR="00742FB7">
        <w:rPr>
          <w:rFonts w:cs="Calibri"/>
        </w:rPr>
        <w:t xml:space="preserve"> transdisciplinary work aims to be engaging and supportive of societal actors, there are some challenges with conducting such a project. Firstly, the perspective of these actors must be included in different elements of the project, such as what should be addressed and how it should be evaluated</w:t>
      </w:r>
      <w:r w:rsidR="00C7430A">
        <w:rPr>
          <w:rFonts w:cs="Calibri"/>
        </w:rPr>
        <w:t>. Moving on</w:t>
      </w:r>
      <w:r w:rsidR="00742FB7">
        <w:rPr>
          <w:rFonts w:cs="Calibri"/>
        </w:rPr>
        <w:t xml:space="preserve"> to even larger epistemological discussions on what constitutes knowledge </w:t>
      </w:r>
      <w:r w:rsidR="00742FB7">
        <w:fldChar w:fldCharType="begin" w:fldLock="1"/>
      </w:r>
      <w:r w:rsidR="00742FB7">
        <w:rPr>
          <w:rFonts w:cs="Calibri"/>
        </w:rPr>
        <w:instrText>ADDIN CSL_CITATION {"citationItems":[{"id":"ITEM-1","itemData":{"author":[{"dropping-particle":"","family":"Lawrence","given":"Mark G","non-dropping-particle":"","parse-names":false,"suffix":""},{"dropping-particle":"","family":"Williams","given":"Stephen","non-dropping-particle":"","parse-names":false,"suffix":""},{"dropping-particle":"","family":"Nanz","given":"Patrizia","non-dropping-particle":"","parse-names":false,"suffix":""},{"dropping-particle":"","family":"Renn","given":"Ortwin","non-dropping-particle":"","parse-names":false,"suffix":""}],"container-title":"One Earth","id":"ITEM-1","issue":"1","issued":{"date-parts":[["2022"]]},"page":"44-61.","title":"Characteristics, potentials, and challenges of transdisciplinary research","type":"article-journal","volume":"5"},"uris":["http://www.mendeley.com/documents/?uuid=cfeb06b1-c46b-48d6-88eb-c2bb4aefa648"]},{"id":"ITEM-2","itemData":{"ISBN":"0123456789","author":[{"dropping-particle":"","family":"Plummer","given":"Ryan","non-dropping-particle":"","parse-names":false,"suffix":""},{"dropping-particle":"","family":"Blythe","given":"Jessica","non-dropping-particle":"","parse-names":false,"suffix":""},{"dropping-particle":"","family":"Gurney","given":"Georgina G","non-dropping-particle":"","parse-names":false,"suffix":""},{"dropping-particle":"","family":"Witkowski","given":"Samantha","non-dropping-particle":"","parse-names":false,"suffix":""},{"dropping-particle":"","family":"Armitage","given":"Derek","non-dropping-particle":"","parse-names":false,"suffix":""}],"container-title":"Sustainability Science","id":"ITEM-2","issued":{"date-parts":[["2022"]]},"page":"955-967","title":"Transdisciplinary partnerships for sustainability: an evaluation guide","type":"article-journal","volume":"17"},"uris":["http://www.mendeley.com/documents/?uuid=0640535f-e4b9-4800-8bf1-5f117747c88a"]},{"id":"ITEM-3","itemData":{"DOI":"10.1002/sd.2281","author":[{"dropping-particle":"","family":"Kruijf","given":"Joanne Vinke-de","non-dropping-particle":"","parse-names":false,"suffix":""},{"dropping-particle":"","family":"Verbrugge","given":"Laura","non-dropping-particle":"","parse-names":false,"suffix":""},{"dropping-particle":"","family":"Schröter","given":"Barbara","non-dropping-particle":"","parse-names":false,"suffix":""},{"dropping-particle":"","family":"Fliervoet","given":"Jan","non-dropping-particle":"","parse-names":false,"suffix":""},{"dropping-particle":"","family":"Henze","given":"Jennifer","non-dropping-particle":"","parse-names":false,"suffix":""},{"dropping-particle":"","family":"Albert","given":"Christian","non-dropping-particle":"","parse-names":false,"suffix":""}],"container-title":"Sustainable Development","id":"ITEM-3","issue":"2","issued":{"date-parts":[["2022"]]},"page":"393-405","title":"Knowledge co-production and researcher roles in transdisciplinary environmental management projects","type":"article-journal","volume":"30"},"uris":["http://www.mendeley.com/documents/?uuid=1176cab8-7afa-49d2-b49e-808c2ad5ad43"]}],"mendeley":{"formattedCitation":"(Kruijf et al., 2022; Lawrence et al., 2022; Plummer et al., 2022)","plainTextFormattedCitation":"(Kruijf et al., 2022; Lawrence et al., 2022; Plummer et al., 2022)","previouslyFormattedCitation":"(Kruijf et al., 2022; Lawrence et al., 2022; Plummer et al., 2022)"},"properties":{"noteIndex":0},"schema":"https://github.com/citation-style-language/schema/raw/master/csl-citation.json"}</w:instrText>
      </w:r>
      <w:r w:rsidR="00742FB7">
        <w:rPr>
          <w:rFonts w:cs="Calibri"/>
        </w:rPr>
        <w:fldChar w:fldCharType="separate"/>
      </w:r>
      <w:r w:rsidR="00742FB7">
        <w:rPr>
          <w:rFonts w:cs="Calibri"/>
          <w:noProof/>
        </w:rPr>
        <w:t>(Kruijf et al., 2022; Lawrence et al., 2022; Plummer et al., 2022)</w:t>
      </w:r>
      <w:r w:rsidR="00742FB7">
        <w:rPr>
          <w:rFonts w:cs="Calibri"/>
        </w:rPr>
        <w:fldChar w:fldCharType="end"/>
      </w:r>
      <w:r w:rsidR="00742FB7">
        <w:rPr>
          <w:rFonts w:cs="Calibri"/>
        </w:rPr>
        <w:t xml:space="preserve"> as well as the value of that knowledge. There can also be challenges associated with the academic focus of the project; it can be difficult to maintain independence and objectivity, or it can be more time consuming, or simply that it may raise expectations of participants </w:t>
      </w:r>
      <w:r w:rsidR="00742FB7">
        <w:fldChar w:fldCharType="begin" w:fldLock="1"/>
      </w:r>
      <w:r w:rsidR="00742FB7">
        <w:rPr>
          <w:rFonts w:cs="Calibri"/>
        </w:rPr>
        <w:instrText>ADDIN CSL_CITATION {"citationItems":[{"id":"ITEM-1","itemData":{"DOI":"10.1002/sd.2281","author":[{"dropping-particle":"","family":"Kruijf","given":"Joanne Vinke-de","non-dropping-particle":"","parse-names":false,"suffix":""},{"dropping-particle":"","family":"Verbrugge","given":"Laura","non-dropping-particle":"","parse-names":false,"suffix":""},{"dropping-particle":"","family":"Schröter","given":"Barbara","non-dropping-particle":"","parse-names":false,"suffix":""},{"dropping-particle":"","family":"Fliervoet","given":"Jan","non-dropping-particle":"","parse-names":false,"suffix":""},{"dropping-particle":"","family":"Henze","given":"Jennifer","non-dropping-particle":"","parse-names":false,"suffix":""},{"dropping-particle":"","family":"Albert","given":"Christian","non-dropping-particle":"","parse-names":false,"suffix":""}],"container-title":"Sustainable Development","id":"ITEM-1","issue":"2","issued":{"date-parts":[["2022"]]},"page":"393-405","title":"Knowledge co-production and researcher roles in transdisciplinary environmental management projects","type":"article-journal","volume":"30"},"uris":["http://www.mendeley.com/documents/?uuid=1176cab8-7afa-49d2-b49e-808c2ad5ad43"]}],"mendeley":{"formattedCitation":"(Kruijf et al., 2022)","plainTextFormattedCitation":"(Kruijf et al., 2022)","previouslyFormattedCitation":"(Kruijf et al., 2022)"},"properties":{"noteIndex":0},"schema":"https://github.com/citation-style-language/schema/raw/master/csl-citation.json"}</w:instrText>
      </w:r>
      <w:r w:rsidR="00742FB7">
        <w:rPr>
          <w:rFonts w:cs="Calibri"/>
        </w:rPr>
        <w:fldChar w:fldCharType="separate"/>
      </w:r>
      <w:r w:rsidR="00742FB7">
        <w:rPr>
          <w:rFonts w:cs="Calibri"/>
          <w:noProof/>
        </w:rPr>
        <w:t>(Kruijf et al., 2022)</w:t>
      </w:r>
      <w:r w:rsidR="00742FB7">
        <w:rPr>
          <w:rFonts w:cs="Calibri"/>
        </w:rPr>
        <w:fldChar w:fldCharType="end"/>
      </w:r>
      <w:r w:rsidR="00742FB7">
        <w:rPr>
          <w:rFonts w:cs="Calibri"/>
        </w:rPr>
        <w:t xml:space="preserve">. </w:t>
      </w:r>
    </w:p>
    <w:p w14:paraId="37B2E11E" w14:textId="77777777" w:rsidR="00787F73" w:rsidRDefault="00787F73" w:rsidP="00866155">
      <w:pPr>
        <w:rPr>
          <w:rFonts w:cs="Calibri"/>
        </w:rPr>
      </w:pPr>
    </w:p>
    <w:p w14:paraId="647311C4" w14:textId="2534F9FF" w:rsidR="00787F73" w:rsidRDefault="00742FB7" w:rsidP="00866155">
      <w:r>
        <w:rPr>
          <w:rFonts w:cs="Calibri"/>
        </w:rPr>
        <w:t xml:space="preserve">As discussed earlier in this chapter, this research was divided into two distinct data collection phases: work with SYFR; and work with the community groups in South Yorkshire (seen in figure 10). Each of </w:t>
      </w:r>
      <w:r w:rsidR="00500023">
        <w:rPr>
          <w:rFonts w:cs="Calibri"/>
        </w:rPr>
        <w:t>the</w:t>
      </w:r>
      <w:r>
        <w:rPr>
          <w:rFonts w:cs="Calibri"/>
        </w:rPr>
        <w:t xml:space="preserve"> data collection phases used different tools and will be discussed next.</w:t>
      </w:r>
    </w:p>
    <w:p w14:paraId="2D7D6C30" w14:textId="77777777" w:rsidR="00787F73" w:rsidRDefault="00787F73" w:rsidP="00866155">
      <w:pPr>
        <w:keepNext/>
        <w:rPr>
          <w:rFonts w:cs="Calibri"/>
        </w:rPr>
      </w:pPr>
    </w:p>
    <w:p w14:paraId="3FAC3B10" w14:textId="77777777" w:rsidR="00787F73" w:rsidRDefault="00742FB7" w:rsidP="00866155">
      <w:pPr>
        <w:pStyle w:val="Heading3"/>
      </w:pPr>
      <w:bookmarkStart w:id="571" w:name="_Toc98148380"/>
      <w:bookmarkStart w:id="572" w:name="_Toc93336035"/>
      <w:bookmarkStart w:id="573" w:name="_Toc141888837"/>
      <w:bookmarkStart w:id="574" w:name="_Toc145281032"/>
      <w:bookmarkStart w:id="575" w:name="_Toc145019984"/>
      <w:bookmarkStart w:id="576" w:name="_Toc153554340"/>
      <w:bookmarkStart w:id="577" w:name="_Toc147765747"/>
      <w:bookmarkStart w:id="578" w:name="_Toc193367222"/>
      <w:bookmarkEnd w:id="571"/>
      <w:bookmarkEnd w:id="572"/>
      <w:bookmarkEnd w:id="573"/>
      <w:r>
        <w:rPr>
          <w:rFonts w:ascii="Calibri" w:hAnsi="Calibri" w:cs="Calibri"/>
        </w:rPr>
        <w:t>3.3.2: Research with SYFR</w:t>
      </w:r>
      <w:bookmarkEnd w:id="574"/>
      <w:bookmarkEnd w:id="575"/>
      <w:bookmarkEnd w:id="576"/>
      <w:bookmarkEnd w:id="577"/>
      <w:bookmarkEnd w:id="578"/>
    </w:p>
    <w:p w14:paraId="4D62B58B" w14:textId="77777777" w:rsidR="00787F73" w:rsidRDefault="00742FB7" w:rsidP="00866155">
      <w:r>
        <w:rPr>
          <w:rFonts w:cs="Calibri"/>
        </w:rPr>
        <w:t xml:space="preserve">Within the transdisciplinary framework, I examined SYFR and how they communicate with their surrounding communities using an institutional ethnography method; this helped to </w:t>
      </w:r>
      <w:r>
        <w:rPr>
          <w:rFonts w:cs="Calibri"/>
        </w:rPr>
        <w:lastRenderedPageBreak/>
        <w:t>examine SYFR from an institutional perspective and how they created their social media communications strategy surrounding community resilience. This was supplemented with a brief analysis of their social media followers, exploring whether the local community were engaging with their communication.</w:t>
      </w:r>
    </w:p>
    <w:p w14:paraId="5EDB8271" w14:textId="77777777" w:rsidR="00787F73" w:rsidRDefault="00787F73" w:rsidP="00866155">
      <w:pPr>
        <w:rPr>
          <w:rFonts w:cs="Calibri"/>
        </w:rPr>
      </w:pPr>
    </w:p>
    <w:p w14:paraId="262806F0" w14:textId="77777777" w:rsidR="00787F73" w:rsidRDefault="00742FB7" w:rsidP="00866155">
      <w:pPr>
        <w:pStyle w:val="Heading4"/>
        <w:spacing w:line="360" w:lineRule="auto"/>
      </w:pPr>
      <w:bookmarkStart w:id="579" w:name="_Toc1418888371"/>
      <w:bookmarkStart w:id="580" w:name="_Toc981483801"/>
      <w:bookmarkStart w:id="581" w:name="_Toc933360351"/>
      <w:bookmarkStart w:id="582" w:name="_Toc98148383"/>
      <w:bookmarkStart w:id="583" w:name="_Toc145281034"/>
      <w:bookmarkStart w:id="584" w:name="_Toc147765748"/>
      <w:bookmarkStart w:id="585" w:name="_Toc141888840"/>
      <w:bookmarkStart w:id="586" w:name="_Toc93336038"/>
      <w:bookmarkEnd w:id="579"/>
      <w:bookmarkEnd w:id="580"/>
      <w:bookmarkEnd w:id="581"/>
      <w:r>
        <w:rPr>
          <w:rFonts w:ascii="Calibri" w:hAnsi="Calibri" w:cs="Calibri"/>
        </w:rPr>
        <w:t>Institutional ethnography</w:t>
      </w:r>
      <w:bookmarkEnd w:id="582"/>
      <w:bookmarkEnd w:id="583"/>
      <w:bookmarkEnd w:id="584"/>
      <w:bookmarkEnd w:id="585"/>
      <w:bookmarkEnd w:id="586"/>
    </w:p>
    <w:p w14:paraId="689EEF84" w14:textId="77777777" w:rsidR="00787F73" w:rsidRDefault="00742FB7" w:rsidP="00866155">
      <w:r>
        <w:rPr>
          <w:rFonts w:eastAsia="Calibri" w:cs="Calibri"/>
          <w:color w:val="000000"/>
        </w:rPr>
        <w:t xml:space="preserve">IE is a qualitative research approach created by Canadian sociologist Dorothy Smith in 1987, and comes from Marxist and feminist theories, examining how people’s occupations are situated within their social contexts </w:t>
      </w:r>
      <w:r>
        <w:fldChar w:fldCharType="begin" w:fldLock="1"/>
      </w:r>
      <w:r>
        <w:rPr>
          <w:rFonts w:eastAsia="Calibri" w:cs="Calibri"/>
          <w:color w:val="000000"/>
        </w:rPr>
        <w:instrText>ADDIN CSL_CITATION {"citationItems":[{"id":"ITEM-1","itemData":{"DOI":"10.1080/09654313.2022.2057186","author":[{"dropping-particle":"","family":"Mosseray","given":"Jeanne","non-dropping-particle":"","parse-names":false,"suffix":""},{"dropping-particle":"","family":"Aernouts","given":"Nele","non-dropping-particle":"","parse-names":false,"suffix":""},{"dropping-particle":"","family":"Ryckewaert","given":"Michael","non-dropping-particle":"","parse-names":false,"suffix":""}],"container-title":"European Planning Studies","id":"ITEM-1","issue":"2","issued":{"date-parts":[["2023"]]},"page":"392 - 408","title":"Institutional ethnography: a transformative mode of inquiry in the renovation of a Brussels high-rise housing estate","type":"article-journal","volume":"31"},"uris":["http://www.mendeley.com/documents/?uuid=b93076c3-fc74-4cb3-bfb0-b3195b8d1cf4"]},{"id":"ITEM-2","itemData":{"DOI":"10.1080/14427591.2013.813429","ISSN":"21581576","abstract":"Institutional ethnographers and occupational scientists share a common interest in studying what people do in their daily lives. Institutional ethnographers start inquiry at the standpoint of people as they are situated in the actualities of everyday life and then turn their gaze from the individual to the social. We aim to outline in this paper some key tenets of institutional ethnography to argue its relevance for studying human occupation. More specifically, we posit that institutional ethnography provides a promising social theory and method to further understandings of the situated nature of human occupation.","author":[{"dropping-particle":"","family":"Prodinger","given":"Birgit","non-dropping-particle":"","parse-names":false,"suffix":""},{"dropping-particle":"","family":"Rudman","given":"Debbie Laliberte","non-dropping-particle":"","parse-names":false,"suffix":""},{"dropping-particle":"","family":"Shaw","given":"Lynn","non-dropping-particle":"","parse-names":false,"suffix":""}],"container-title":"Journal of Occupational Science","id":"ITEM-2","issue":"1","issued":{"date-parts":[["2015"]]},"page":"71-81","title":"Institutional ethnography: Studying the situated nature of human occupation","type":"article-journal","volume":"22"},"uris":["http://www.mendeley.com/documents/?uuid=4a2e25d1-86b8-4e2f-ac63-5b712ec2fb6b"]},{"id":"ITEM-3","itemData":{"DOI":"10.1177/1609406917734472","ISSN":"16094069","abstract":"Institutional ethnography (IE) is being taken up by researchers across diverse disciplines, many who do not have a background in sociology and the antecedents and influences that underpin Dorothy Smith's distinctive IE method. Novice IEers, who often work with advisors who have not studied or conducted an IE, are at risk of straying from IE's core epistemology and ontology. This second of a two-volume set provides a broad overview to approaching analysis once the IE design and fieldwork are well under way. The purpose of two-volume series is to offer practical guidance and cautions that have been generated from my experiences of supervising graduate students and my involvement in reviewing and examining IE work that has gone \" off track. \" With a particular focus on the practicalities of conducting analysis, the paper includes examples of the application of IE's theoretical framework with techniques for approaching and managing data: mapping, indexing, and building preliminary accounts/ \" analytic chunks. \" I suggest these techniques are useful tactics to work with data and to refine the formulation of the research problematic(s) to be explicated.","author":[{"dropping-particle":"","family":"Rankin","given":"Janet","non-dropping-particle":"","parse-names":false,"suffix":""}],"container-title":"International Journal of Qualitative Methods","id":"ITEM-3","issue":"1","issued":{"date-parts":[["2017"]]},"page":"1-11","title":"Conducting Analysis in Institutional Ethnography: Guidance and Cautions","type":"article-journal","volume":"16"},"uris":["http://www.mendeley.com/documents/?uuid=1f512de7-2804-4501-b9d4-819790d77516"]},{"id":"ITEM-4","itemData":{"DOI":"10.1177/0309132515572269","ISBN":"0309-1325","ISSN":"03091325","PMID":"26312005","abstract":"In this paper we unpack how geographers have studied institutions, focusing specifically on institutional ethnography, often called IE'. Sociologist Dorothy Smith is widely credited with developing institutional ethnography as an embodied' feminist approach. Smith studies the experiences of women in daily life, and the complex social relations in which these are embedded. Institutional ethnography offers the possibility to study up to understand the differential effects of institutions within and beyond institutional spaces and associated productions of subjectivities and material inequalities. We suggest that geographical scholarship on institutions can be enhanced and, in turn, has much to contribute to the broader interdisciplinary field on institutional ethnography, such as understandings of institutions that account for spatial differentiation. We argue that IE holds potential to enrich geographical research not only about a multitude of kinds of institutions, but about the many structures, effects, and identities working through institutions as territorial forces. In spite of recent interest by geographers, the broader literature on institutional ethnography remains under-engaged and under-cited by human geographers. Critical of this lack of engagement, we suggest that it has left a gap in geographical research on institutions. Our aim is to analyze and advance existing scholarship and offer this article as a tool for geographers thinking about employing IE. We develop a typology, categorized by methodological approach, to highlight ethnographic approaches to institutions undertaken by geographers.","author":[{"dropping-particle":"","family":"Billo","given":"Emily","non-dropping-particle":"","parse-names":false,"suffix":""},{"dropping-particle":"","family":"Mountz","given":"Alison","non-dropping-particle":"","parse-names":false,"suffix":""}],"container-title":"Progress in Human Geography","id":"ITEM-4","issue":"2","issued":{"date-parts":[["2016"]]},"page":"199-220","title":"For institutional ethnography: Geographical approaches to institutions and the everyday","type":"article-journal","volume":"40"},"uris":["http://www.mendeley.com/documents/?uuid=60ffdc4c-a09c-44ce-bf6a-1abd25f9f7e8"]},{"id":"ITEM-5","itemData":{"DOI":"10.1177/1049732315619893","ISSN":"15527557","abstract":"Person-centered care is heavily dependent on effective information exchange among health care team members. We explored the organizational systems that influence resident care attendants' (RCAs) access to care information in long-term care (LTC) settings. We conducted an institutional ethnography in three LTC facilities. Investigative methods included naturalistic observations, in-depth interviews, and textual analysis. Practical access to texts containing individualized care-related information (e.g., care plans) was dependent on job classification. Regulated health care professionals accessed these texts daily. RCAs lacked practical access to these texts and primarily received and shared information orally. Microsystems of care, based on information exchange formats, emerged. Organizational systems mandated written exchange of information and did not formally support an oral exchange. Thus, oral information exchanges were largely dependent on the quality of workplace relationships. Formal systems are needed to support structured oral information exchange within and between the microsystems of care found in LTC.","author":[{"dropping-particle":"","family":"Caspar","given":"Sienna","non-dropping-particle":"","parse-names":false,"suffix":""},{"dropping-particle":"","family":"Ratner","given":"Pamela A.","non-dropping-particle":"","parse-names":false,"suffix":""},{"dropping-particle":"","family":"Phinney","given":"Alison","non-dropping-particle":"","parse-names":false,"suffix":""},{"dropping-particle":"","family":"MacKinnon","given":"Karen","non-dropping-particle":"","parse-names":false,"suffix":""}],"container-title":"Qualitative Health Research","id":"ITEM-5","issue":"7","issued":{"date-parts":[["2016"]]},"page":"951-965","title":"The Influence of Organizational Systems on Information Exchange in Long-Term Care Facilities: An Institutional Ethnography","type":"article-journal","volume":"26"},"uris":["http://www.mendeley.com/documents/?uuid=e586a46e-53ba-43a4-97c2-5ec73a39937f"]},{"id":"ITEM-6","itemData":{"DOI":"10.5204/ijcjsd.v8i1.1051.This","abstract":"Institutional ethnography (IE) is a method of inquiry created by Canadian feminist sociologist Dorothy E. Smith to examine how sequences of texts coordinate forms of organisation. Here we explain how to use IE, and why scholars in criminal justice and socio-legal studies should use it in their research. We focus on IE’s analysis of texts and intertextual hierarchy, as well as Smith’s understanding of mapping as a methodological technique; the latter entails explaining how IE’s approach to mapping differs from other social science approaches. We also argue that IE’s terms and techniques can help examine the textual work undertaken in criminal justice and legal organisations, and reveal how people are governed and ruled by these organisational processes. In the discussion, we summarise how IE can productively contribute to criminal justice and socio-legal studies in the twenty-first century.","author":[{"dropping-particle":"","family":"Doll","given":"Agnieszka","non-dropping-particle":"","parse-names":false,"suffix":""},{"dropping-particle":"","family":"Walby","given":"Kevin","non-dropping-particle":"","parse-names":false,"suffix":""}],"container-title":"International Journal for Crime, Justice and Social Democracy","id":"ITEM-6","issue":"1","issued":{"date-parts":[["2019"]]},"page":"147-160","title":"Institutional Ethnography as a Method of Inquiry for Criminal Justice and Socio-Legal Studies","type":"article-journal","volume":"8"},"uris":["http://www.mendeley.com/documents/?uuid=eea21ff2-ea4d-4e5b-9072-2b82fd697a75"]},{"id":"ITEM-7","itemData":{"DOI":"10.1080/13645579.2020.1839162","author":[{"dropping-particle":"","family":"Murray","given":"Órla Meadhbh","non-dropping-particle":"","parse-names":false,"suffix":""}],"container-title":"International Journal of Social Research Methodology","id":"ITEM-7","issue":"1","issued":{"date-parts":[["2022"]]},"page":"45 - 57","title":"Text, process, discourse: doing feminist text analysis in institutional ethnography","type":"article-journal","volume":"25"},"uris":["http://www.mendeley.com/documents/?uuid=237c6aa9-7110-4155-9e46-c2cd04276908"]}],"mendeley":{"formattedCitation":"(Mosseray, Aernouts, &amp; Ryckewaert, 2023; Murray, 2022; Doll &amp; Walby, 2019; Rankin, 2017; Billo &amp; Mountz, 2016; Caspar et al., 2016; Prodinger, Rudman, &amp; Shaw, 2015)","plainTextFormattedCitation":"(Mosseray, Aernouts, &amp; Ryckewaert, 2023; Murray, 2022; Doll &amp; Walby, 2019; Rankin, 2017; Billo &amp; Mountz, 2016; Caspar et al., 2016; Prodinger, Rudman, &amp; Shaw, 2015)","previouslyFormattedCitation":"(Mosseray, Aernouts, &amp; Ryckewaert, 2023; Murray, 2022; Doll &amp; Walby, 2019; Rankin, 2017; Billo &amp; Mountz, 2016; Caspar et al., 2016; Prodinger, Rudman, &amp; Shaw, 2015)"},"properties":{"noteIndex":0},"schema":"https://github.com/citation-style-language/schema/raw/master/csl-citation.json"}</w:instrText>
      </w:r>
      <w:r>
        <w:rPr>
          <w:rFonts w:eastAsia="Calibri" w:cs="Calibri"/>
          <w:color w:val="000000"/>
        </w:rPr>
        <w:fldChar w:fldCharType="separate"/>
      </w:r>
      <w:r>
        <w:rPr>
          <w:rFonts w:eastAsia="Calibri" w:cs="Calibri"/>
          <w:noProof/>
          <w:color w:val="000000"/>
        </w:rPr>
        <w:t>(Mosseray, Aernouts, &amp; Ryckewaert, 2023; Murray, 2022; Doll &amp; Walby, 2019; Rankin, 2017; Billo &amp; Mountz, 2016; Caspar et al., 2016; Prodinger, Rudman, &amp; Shaw, 2015)</w:t>
      </w:r>
      <w:r>
        <w:rPr>
          <w:rFonts w:eastAsia="Calibri" w:cs="Calibri"/>
          <w:color w:val="000000"/>
        </w:rPr>
        <w:fldChar w:fldCharType="end"/>
      </w:r>
      <w:r>
        <w:rPr>
          <w:rFonts w:eastAsia="Calibri" w:cs="Calibri"/>
          <w:color w:val="000000"/>
        </w:rPr>
        <w:t xml:space="preserve">. It focuses on everyday interactions of people and how they are influenced by institutional forces, viewing the everyday as the problematic </w:t>
      </w:r>
      <w:r>
        <w:fldChar w:fldCharType="begin" w:fldLock="1"/>
      </w:r>
      <w:r>
        <w:rPr>
          <w:rFonts w:eastAsia="Calibri" w:cs="Calibri"/>
          <w:color w:val="000000"/>
        </w:rPr>
        <w:instrText>ADDIN CSL_CITATION {"citationItems":[{"id":"ITEM-1","itemData":{"ISBN":"1-55553-794-4","abstract":"In this collection of essays, sociologist Dorothy E. Smith develops a method for analyzing how women (and men) view contemporary society from specific gendered points of view","author":[{"dropping-particle":"","family":"Smith","given":"Dorothy E","non-dropping-particle":"","parse-names":false,"suffix":""}],"chapter-number":"4","container-title":"The Everyday World as Problematic: a Feminist Sociology","id":"ITEM-1","issued":{"date-parts":[["1987"]]},"note":"Includes bibliographical references and index.","page":"151 - 180","publisher":"Boston, Massachusetts : Northeastern University Press, 1987","publisher-place":"Boston, [Massachusetts]","title":"Institutional Ethnography: A Feminist Research Strategy","type":"chapter"},"uris":["http://www.mendeley.com/documents/?uuid=13003926-0113-4417-a0a3-b30af5ebd81a"]},{"id":"ITEM-2","itemData":{"DOI":"10.1080/09654313.2022.2057186","author":[{"dropping-particle":"","family":"Mosseray","given":"Jeanne","non-dropping-particle":"","parse-names":false,"suffix":""},{"dropping-particle":"","family":"Aernouts","given":"Nele","non-dropping-particle":"","parse-names":false,"suffix":""},{"dropping-particle":"","family":"Ryckewaert","given":"Michael","non-dropping-particle":"","parse-names":false,"suffix":""}],"container-title":"European Planning Studies","id":"ITEM-2","issue":"2","issued":{"date-parts":[["2023"]]},"page":"392 - 408","title":"Institutional ethnography: a transformative mode of inquiry in the renovation of a Brussels high-rise housing estate","type":"article-journal","volume":"31"},"uris":["http://www.mendeley.com/documents/?uuid=b93076c3-fc74-4cb3-bfb0-b3195b8d1cf4"]}],"mendeley":{"formattedCitation":"(Mosseray, Aernouts, &amp; Ryckewaert, 2023; Smith, 1987)","plainTextFormattedCitation":"(Mosseray, Aernouts, &amp; Ryckewaert, 2023; Smith, 1987)","previouslyFormattedCitation":"(Mosseray, Aernouts, &amp; Ryckewaert, 2023; Smith, 1987)"},"properties":{"noteIndex":0},"schema":"https://github.com/citation-style-language/schema/raw/master/csl-citation.json"}</w:instrText>
      </w:r>
      <w:r>
        <w:rPr>
          <w:rFonts w:eastAsia="Calibri" w:cs="Calibri"/>
          <w:color w:val="000000"/>
        </w:rPr>
        <w:fldChar w:fldCharType="separate"/>
      </w:r>
      <w:r>
        <w:rPr>
          <w:rFonts w:eastAsia="Calibri" w:cs="Calibri"/>
          <w:noProof/>
          <w:color w:val="000000"/>
        </w:rPr>
        <w:t>(Mosseray, Aernouts, &amp; Ryckewaert, 2023; Smith, 1987)</w:t>
      </w:r>
      <w:r>
        <w:rPr>
          <w:rFonts w:eastAsia="Calibri" w:cs="Calibri"/>
          <w:color w:val="000000"/>
        </w:rPr>
        <w:fldChar w:fldCharType="end"/>
      </w:r>
      <w:r>
        <w:rPr>
          <w:rFonts w:eastAsia="Calibri" w:cs="Calibri"/>
          <w:color w:val="000000"/>
        </w:rPr>
        <w:t xml:space="preserve">. Examining the everyday is done through focusing on a </w:t>
      </w:r>
      <w:r>
        <w:rPr>
          <w:rFonts w:eastAsia="Calibri" w:cs="Calibri"/>
          <w:i/>
          <w:color w:val="000000"/>
        </w:rPr>
        <w:t xml:space="preserve">standpoint, </w:t>
      </w:r>
      <w:r>
        <w:rPr>
          <w:rFonts w:eastAsia="Calibri" w:cs="Calibri"/>
          <w:color w:val="000000"/>
        </w:rPr>
        <w:t xml:space="preserve">which is where the researcher focuses on one particular person or group and examines their everyday activities, known in the literature </w:t>
      </w:r>
      <w:r>
        <w:rPr>
          <w:rFonts w:eastAsia="Calibri" w:cs="Calibri"/>
          <w:i/>
          <w:iCs/>
          <w:color w:val="000000"/>
        </w:rPr>
        <w:t>as lived experiences</w:t>
      </w:r>
      <w:r>
        <w:rPr>
          <w:rFonts w:eastAsia="Calibri" w:cs="Calibri"/>
          <w:color w:val="000000"/>
        </w:rPr>
        <w:t xml:space="preserve"> </w:t>
      </w:r>
      <w:r>
        <w:fldChar w:fldCharType="begin" w:fldLock="1"/>
      </w:r>
      <w:r>
        <w:rPr>
          <w:rFonts w:eastAsia="Calibri" w:cs="Calibri"/>
          <w:color w:val="000000"/>
        </w:rPr>
        <w:instrText>ADDIN CSL_CITATION {"citationItems":[{"id":"ITEM-1","itemData":{"DOI":"10.5204/ijcjsd.v8i1.1051.This","abstract":"Institutional ethnography (IE) is a method of inquiry created by Canadian feminist sociologist Dorothy E. Smith to examine how sequences of texts coordinate forms of organisation. Here we explain how to use IE, and why scholars in criminal justice and socio-legal studies should use it in their research. We focus on IE’s analysis of texts and intertextual hierarchy, as well as Smith’s understanding of mapping as a methodological technique; the latter entails explaining how IE’s approach to mapping differs from other social science approaches. We also argue that IE’s terms and techniques can help examine the textual work undertaken in criminal justice and legal organisations, and reveal how people are governed and ruled by these organisational processes. In the discussion, we summarise how IE can productively contribute to criminal justice and socio-legal studies in the twenty-first century.","author":[{"dropping-particle":"","family":"Doll","given":"Agnieszka","non-dropping-particle":"","parse-names":false,"suffix":""},{"dropping-particle":"","family":"Walby","given":"Kevin","non-dropping-particle":"","parse-names":false,"suffix":""}],"container-title":"International Journal for Crime, Justice and Social Democracy","id":"ITEM-1","issue":"1","issued":{"date-parts":[["2019"]]},"page":"147-160","title":"Institutional Ethnography as a Method of Inquiry for Criminal Justice and Socio-Legal Studies","type":"article-journal","volume":"8"},"uris":["http://www.mendeley.com/documents/?uuid=eea21ff2-ea4d-4e5b-9072-2b82fd697a75"]},{"id":"ITEM-2","itemData":{"DOI":"10.1057/s41285-018-0077-2","ISBN":"1477-822X","ISSN":"1477822X","author":[{"dropping-particle":"","family":"Kearney","given":"Grainne P.","non-dropping-particle":"","parse-names":false,"suffix":""},{"dropping-particle":"","family":"Corman","given":"Michael K.","non-dropping-particle":"","parse-names":false,"suffix":""},{"dropping-particle":"","family":"Gormley","given":"Gerard J.","non-dropping-particle":"","parse-names":false,"suffix":""},{"dropping-particle":"","family":"Hart","given":"Nigel D.","non-dropping-particle":"","parse-names":false,"suffix":""},{"dropping-particle":"","family":"Johnston","given":"Jennifer L.","non-dropping-particle":"","parse-names":false,"suffix":""},{"dropping-particle":"","family":"Smith","given":"Dorothy E.","non-dropping-particle":"","parse-names":false,"suffix":""}],"container-title":"Social Theory and Health","id":"ITEM-2","issue":"3","issued":{"date-parts":[["2018"]]},"page":"292-306","title":"Institutional ethnography: A sociology of discovery - In conversation with Dorothy Smith","type":"article-journal","volume":"16"},"uris":["http://www.mendeley.com/documents/?uuid=35cac7ab-04e1-454f-a50a-4370a20dc3d3"]},{"id":"ITEM-3","itemData":{"DOI":"10.1177/0896920516658941","ISSN":"15691632","abstract":"Using the alternative sociological approach, institutional ethnography, this article reveals how experiences growing up in social housing (re)produce conditions of oppression that exacerbate housing precariousness and other forms of exclusion. Data were generated through participant observation, textual analysis and in-depth qualitative interviews with Young People of Colour living in vulnerable urban neighbourhoods, designated as Neighbourhood Improvement Areas in Toronto, Canada. Findings reveal how discourse, policy and practice related to community safety comprise an institutional nexus, connecting policing with social housing. These intersectional institutional relations create conditions of continuous housing precarity; youth street involvement and homelessness; increased involvement in the youth criminal justice system; and a belief among economically marginalized Young People of Colour that the state does not care about their safety and inclusion","author":[{"dropping-particle":"","family":"Nichols","given":"Naomi","non-dropping-particle":"","parse-names":false,"suffix":""},{"dropping-particle":"","family":"Braimoh","given":"Jessica","non-dropping-particle":"","parse-names":false,"suffix":""}],"container-title":"Critical Sociology","id":"ITEM-3","issue":"1","issued":{"date-parts":[["2018"]]},"page":"157-172","title":"Community Safety, Housing Precariousness and Processes of Exclusion: An Institutional Ethnography from the Standpoints of Youth in an ‘Unsafe’ Urban Neighbourhood","type":"article-journal","volume":"44"},"uris":["http://www.mendeley.com/documents/?uuid=a375d2e0-1383-4048-80f8-650c72277e98"]},{"id":"ITEM-4","itemData":{"DOI":"10.1177/1609406917734472","ISSN":"16094069","abstract":"Institutional ethnography (IE) is being taken up by researchers across diverse disciplines, many who do not have a background in sociology and the antecedents and influences that underpin Dorothy Smith's distinctive IE method. Novice IEers, who often work with advisors who have not studied or conducted an IE, are at risk of straying from IE's core epistemology and ontology. This second of a two-volume set provides a broad overview to approaching analysis once the IE design and fieldwork are well under way. The purpose of two-volume series is to offer practical guidance and cautions that have been generated from my experiences of supervising graduate students and my involvement in reviewing and examining IE work that has gone \" off track. \" With a particular focus on the practicalities of conducting analysis, the paper includes examples of the application of IE's theoretical framework with techniques for approaching and managing data: mapping, indexing, and building preliminary accounts/ \" analytic chunks. \" I suggest these techniques are useful tactics to work with data and to refine the formulation of the research problematic(s) to be explicated.","author":[{"dropping-particle":"","family":"Rankin","given":"Janet","non-dropping-particle":"","parse-names":false,"suffix":""}],"container-title":"International Journal of Qualitative Methods","id":"ITEM-4","issue":"1","issued":{"date-parts":[["2017"]]},"page":"1-11","title":"Conducting Analysis in Institutional Ethnography: Guidance and Cautions","type":"article-journal","volume":"16"},"uris":["http://www.mendeley.com/documents/?uuid=1f512de7-2804-4501-b9d4-819790d77516"]},{"id":"ITEM-5","itemData":{"DOI":"10.1177/1049732315619893","ISSN":"15527557","abstract":"Person-centered care is heavily dependent on effective information exchange among health care team members. We explored the organizational systems that influence resident care attendants' (RCAs) access to care information in long-term care (LTC) settings. We conducted an institutional ethnography in three LTC facilities. Investigative methods included naturalistic observations, in-depth interviews, and textual analysis. Practical access to texts containing individualized care-related information (e.g., care plans) was dependent on job classification. Regulated health care professionals accessed these texts daily. RCAs lacked practical access to these texts and primarily received and shared information orally. Microsystems of care, based on information exchange formats, emerged. Organizational systems mandated written exchange of information and did not formally support an oral exchange. Thus, oral information exchanges were largely dependent on the quality of workplace relationships. Formal systems are needed to support structured oral information exchange within and between the microsystems of care found in LTC.","author":[{"dropping-particle":"","family":"Caspar","given":"Sienna","non-dropping-particle":"","parse-names":false,"suffix":""},{"dropping-particle":"","family":"Ratner","given":"Pamela A.","non-dropping-particle":"","parse-names":false,"suffix":""},{"dropping-particle":"","family":"Phinney","given":"Alison","non-dropping-particle":"","parse-names":false,"suffix":""},{"dropping-particle":"","family":"MacKinnon","given":"Karen","non-dropping-particle":"","parse-names":false,"suffix":""}],"container-title":"Qualitative Health Research","id":"ITEM-5","issue":"7","issued":{"date-parts":[["2016"]]},"page":"951-965","title":"The Influence of Organizational Systems on Information Exchange in Long-Term Care Facilities: An Institutional Ethnography","type":"article-journal","volume":"26"},"uris":["http://www.mendeley.com/documents/?uuid=e586a46e-53ba-43a4-97c2-5ec73a39937f"]},{"id":"ITEM-6","itemData":{"DOI":"10.1177/1609406916637088","ISSN":"16094069","abstract":"Within institutional ethnography (IE), texts--reproducible written and graphic materials--are understood to play a central role in coordinating social relationships. This is the case because of their ubiquity and because texts allow proceedings in one place to influence actions in another. This article considers the role of texts in settings that are less text-saturated than the Western societies whose organization Dorothy Smith first sought to understand through IE. Drawing from insights of a study examining the social organization of maternity care in rural northern Uganda, I discuss the differences in the role of texts in Global South research including the role of illiteracy, the need to read for absences or silences, and the prominent role of international texts. Identifying texts and observing their role in sequences of action are nevertheless essential for institutional ethnographers working to understand social organization in the Global South. This article seeks to contribute to IE methodology in Global South research settings. [ABSTRACT FROM AUTHOR]","author":[{"dropping-particle":"","family":"Rudrum","given":"Sarah","non-dropping-particle":"","parse-names":false,"suffix":""}],"container-title":"International Journal of Qualitative Methods","id":"ITEM-6","issue":"1","issued":{"date-parts":[["2016"]]},"page":"1-8","title":"Institutional ethnography research in Global South settings: The role of texts","type":"article-journal","volume":"15"},"uris":["http://www.mendeley.com/documents/?uuid=89bdedf2-0afd-4dae-9924-4f5f60757fbb"]},{"id":"ITEM-7","itemData":{"DOI":"10.1080/19460171.2015.1050426","ISSN":"1946018X","abstract":"In this article I present a comparative consideration of two conceptual frameworks that have informed critical research by policy-interested scholars: institutional ethnography and governmentality. I argue that these two approaches to research are similar in important respects: both focus on the analysis of linkages between everyday practices and the ruling/governing programs and strategies that aspire to shape these; both accord a central place to the operation and effects of discourse/discursive practices– particularly texts– in their accounts of how these linkages are forged. I also discuss several differences that distinguish them, including their diverse assessment of the value and effects of mobilizing research for social justice oriented ends. In closing, I consider the possibilities for analysis and action that may be opened up or, alternatively, narrowed or closed down by research conducted using each of these frameworks, and suggest the value of ongoing reflexive dialogue between them.","author":[{"dropping-particle":"","family":"Teghtsoonian","given":"Katherine","non-dropping-particle":"","parse-names":false,"suffix":""}],"container-title":"Critical Policy Studies","id":"ITEM-7","issue":"3","issued":{"date-parts":[["2016"]]},"page":"330-347","title":"Methods, discourse, activism: comparing institutional ethnography and governmentality","type":"article-journal","volume":"10"},"uris":["http://www.mendeley.com/documents/?uuid=aa1ff054-a1a8-47a7-8949-5925777b0099"]},{"id":"ITEM-8","itemData":{"author":[{"dropping-particle":"","family":"Lund","given":"Rebecca","non-dropping-particle":"","parse-names":false,"suffix":""},{"dropping-particle":"","family":"Tienari","given":"Janne","non-dropping-particle":"","parse-names":false,"suffix":""}],"chapter-number":"14","container-title":"The Routledge Companion to Mergers and Acquisitions","editor":[{"dropping-particle":"","family":"Risberg","given":"Annette","non-dropping-particle":"","parse-names":false,"suffix":""},{"dropping-particle":"","family":"King","given":"David R.","non-dropping-particle":"","parse-names":false,"suffix":""},{"dropping-particle":"","family":"Meglio","given":"Olimpia","non-dropping-particle":"","parse-names":false,"suffix":""}],"id":"ITEM-8","issued":{"date-parts":[["2015"]]},"page":"242 - 258","publisher":"Routledge","publisher-place":"Abingdon","title":"Institutional ethnography: An alternative way to study M&amp;As","type":"chapter"},"uris":["http://www.mendeley.com/documents/?uuid=612397d1-f714-4f37-91b2-b8e1e7c20264"]},{"id":"ITEM-9","itemData":{"DOI":"10.1080/14427591.2013.813429","ISSN":"21581576","abstract":"Institutional ethnographers and occupational scientists share a common interest in studying what people do in their daily lives. Institutional ethnographers start inquiry at the standpoint of people as they are situated in the actualities of everyday life and then turn their gaze from the individual to the social. We aim to outline in this paper some key tenets of institutional ethnography to argue its relevance for studying human occupation. More specifically, we posit that institutional ethnography provides a promising social theory and method to further understandings of the situated nature of human occupation.","author":[{"dropping-particle":"","family":"Prodinger","given":"Birgit","non-dropping-particle":"","parse-names":false,"suffix":""},{"dropping-particle":"","family":"Rudman","given":"Debbie Laliberte","non-dropping-particle":"","parse-names":false,"suffix":""},{"dropping-particle":"","family":"Shaw","given":"Lynn","non-dropping-particle":"","parse-names":false,"suffix":""}],"container-title":"Journal of Occupational Science","id":"ITEM-9","issue":"1","issued":{"date-parts":[["2015"]]},"page":"71-81","title":"Institutional ethnography: Studying the situated nature of human occupation","type":"article-journal","volume":"22"},"uris":["http://www.mendeley.com/documents/?uuid=4a2e25d1-86b8-4e2f-ac63-5b712ec2fb6b"]},{"id":"ITEM-10","itemData":{"DOI":"10.1016/j.scaman.2012.05.003","ISSN":"09565221","abstract":"In this paper I offer an Institutional Ethnography, from the standpoint of female academics, of the construction of the \"ideal academic\" and quality journal publications as a central feature in this construct. I draw on interview transcripts, field notes, texts and artefacts produced and collected over a two-year period in a recently merged Finnish university. I focus specifically on how a translocal discourse of competitive performance measurement and standards of academic excellence are accomplished in the local construction of the \"ideal academic\" as a person who publishes articles in A level journals. While the construct is hard for anyone to live up to, it would seem to be more difficult for some people than for others. The current obsession with getting published in top journals place those women, who are heavily engaged in teaching activities and with responsibilities besides academic work, in a systematically disadvantaged relation to the currently dominating discourse of the \"ideal academic\" © 2012 Elsevier Ltd.","author":[{"dropping-particle":"","family":"Lund","given":"Rebecca","non-dropping-particle":"","parse-names":false,"suffix":""}],"container-title":"Scandinavian Journal of Management","id":"ITEM-10","issue":"3","issued":{"date-parts":[["2012"]]},"page":"218-228","title":"Publishing to become an \"ideal academic\": An Institutional Ethnography and a Feminist Critique","type":"article-journal","volume":"28"},"uris":["http://www.mendeley.com/documents/?uuid=087ea2c4-bd2b-4344-bfd6-393e9d928eb2"]},{"id":"ITEM-11","itemData":{"author":[{"dropping-particle":"","family":"Campbell L","given":"Marie","non-dropping-particle":"","parse-names":false,"suffix":""}],"container-title":"Qualitative Sociology","id":"ITEM-11","issue":"1","issued":{"date-parts":[["1998"]]},"page":"55-73","title":"Institutional Ethnography and Experience as Data","type":"article-journal","volume":"21"},"uris":["http://www.mendeley.com/documents/?uuid=d76bf4ff-ab87-4019-ae15-67fd679a02e7"]},{"id":"ITEM-12","itemData":{"DOI":"10.1080/09654313.2022.2057186","author":[{"dropping-particle":"","family":"Mosseray","given":"Jeanne","non-dropping-particle":"","parse-names":false,"suffix":""},{"dropping-particle":"","family":"Aernouts","given":"Nele","non-dropping-particle":"","parse-names":false,"suffix":""},{"dropping-particle":"","family":"Ryckewaert","given":"Michael","non-dropping-particle":"","parse-names":false,"suffix":""}],"container-title":"European Planning Studies","id":"ITEM-12","issue":"2","issued":{"date-parts":[["2023"]]},"page":"392 - 408","title":"Institutional ethnography: a transformative mode of inquiry in the renovation of a Brussels high-rise housing estate","type":"article-journal","volume":"31"},"uris":["http://www.mendeley.com/documents/?uuid=b93076c3-fc74-4cb3-bfb0-b3195b8d1cf4"]}],"mendeley":{"formattedCitation":"(Mosseray, Aernouts, &amp; Ryckewaert, 2023; Doll &amp; Walby, 2019; Kearney et al., 2018; Nichols &amp; Braimoh, 2018; Rankin, 2017; Caspar et al., 2016; Rudrum, 2016; Teghtsoonian, 2016; Lund &amp; Tienari, 2015; Prodinger, Rudman, &amp; Shaw, 2015; Lund, 2012; Campbell L, 1998)","plainTextFormattedCitation":"(Mosseray, Aernouts, &amp; Ryckewaert, 2023; Doll &amp; Walby, 2019; Kearney et al., 2018; Nichols &amp; Braimoh, 2018; Rankin, 2017; Caspar et al., 2016; Rudrum, 2016; Teghtsoonian, 2016; Lund &amp; Tienari, 2015; Prodinger, Rudman, &amp; Shaw, 2015; Lund, 2012; Campbell L, 1998)","previouslyFormattedCitation":"(Mosseray, Aernouts, &amp; Ryckewaert, 2023; Doll &amp; Walby, 2019; Kearney et al., 2018; Nichols &amp; Braimoh, 2018; Rankin, 2017; Caspar et al., 2016; Rudrum, 2016; Teghtsoonian, 2016; Lund &amp; Tienari, 2015; Prodinger, Rudman, &amp; Shaw, 2015; Lund, 2012; Campbell L, 1998)"},"properties":{"noteIndex":0},"schema":"https://github.com/citation-style-language/schema/raw/master/csl-citation.json"}</w:instrText>
      </w:r>
      <w:r>
        <w:rPr>
          <w:rFonts w:eastAsia="Calibri" w:cs="Calibri"/>
          <w:color w:val="000000"/>
        </w:rPr>
        <w:fldChar w:fldCharType="separate"/>
      </w:r>
      <w:r>
        <w:rPr>
          <w:rFonts w:eastAsia="Calibri" w:cs="Calibri"/>
          <w:noProof/>
          <w:color w:val="000000"/>
        </w:rPr>
        <w:t>(Mosseray, Aernouts, &amp; Ryckewaert, 2023; Doll &amp; Walby, 2019; Kearney et al., 2018; Nichols &amp; Braimoh, 2018; Rankin, 2017; Caspar et al., 2016; Rudrum, 2016; Teghtsoonian, 2016; Lund &amp; Tienari, 2015; Prodinger, Rudman, &amp; Shaw, 2015; Lund, 2012; Campbell L, 1998)</w:t>
      </w:r>
      <w:r>
        <w:rPr>
          <w:rFonts w:eastAsia="Calibri" w:cs="Calibri"/>
          <w:color w:val="000000"/>
        </w:rPr>
        <w:fldChar w:fldCharType="end"/>
      </w:r>
      <w:r>
        <w:rPr>
          <w:rFonts w:eastAsia="Calibri" w:cs="Calibri"/>
          <w:color w:val="000000"/>
        </w:rPr>
        <w:t>. Within this research, the standpoint adopted is that of the SYFR Communications team.</w:t>
      </w:r>
    </w:p>
    <w:p w14:paraId="34577BFC" w14:textId="77777777" w:rsidR="00787F73" w:rsidRDefault="00787F73" w:rsidP="00866155">
      <w:pPr>
        <w:rPr>
          <w:rFonts w:cs="Calibri"/>
        </w:rPr>
      </w:pPr>
    </w:p>
    <w:p w14:paraId="1B3C5501" w14:textId="43209EF4" w:rsidR="00787F73" w:rsidRDefault="00742FB7" w:rsidP="00866155">
      <w:r>
        <w:rPr>
          <w:rFonts w:cs="Calibri"/>
        </w:rPr>
        <w:t xml:space="preserve">Once the researcher has chosen the standpoint (the SYFR Communications team), IE divides into three different data collection methods: observations, semi-structured interviews, and texts. These methods are employed to satisfy the aim of </w:t>
      </w:r>
      <w:r>
        <w:rPr>
          <w:rFonts w:eastAsia="Calibri" w:cs="Calibri"/>
          <w:color w:val="000000"/>
        </w:rPr>
        <w:t>examining how institutions impact the standpoint’s lived experience</w:t>
      </w:r>
      <w:r w:rsidR="00C7430A">
        <w:rPr>
          <w:rFonts w:eastAsia="Calibri" w:cs="Calibri"/>
          <w:color w:val="000000"/>
        </w:rPr>
        <w:t>,</w:t>
      </w:r>
      <w:r>
        <w:rPr>
          <w:rFonts w:eastAsia="Calibri" w:cs="Calibri"/>
          <w:color w:val="000000"/>
        </w:rPr>
        <w:t xml:space="preserve"> </w:t>
      </w:r>
      <w:r w:rsidR="00C7430A">
        <w:rPr>
          <w:rFonts w:eastAsia="Calibri" w:cs="Calibri"/>
          <w:color w:val="000000"/>
        </w:rPr>
        <w:t>U</w:t>
      </w:r>
      <w:r>
        <w:rPr>
          <w:rFonts w:eastAsia="Calibri" w:cs="Calibri"/>
          <w:color w:val="000000"/>
        </w:rPr>
        <w:t xml:space="preserve">sing three different methods enables triangulation to examine how power is organised through the institutional order, also known as the </w:t>
      </w:r>
      <w:r>
        <w:rPr>
          <w:rFonts w:eastAsia="Calibri" w:cs="Calibri"/>
          <w:i/>
          <w:iCs/>
          <w:color w:val="000000"/>
        </w:rPr>
        <w:t>r</w:t>
      </w:r>
      <w:r>
        <w:rPr>
          <w:rFonts w:eastAsia="Calibri" w:cs="Calibri"/>
          <w:i/>
          <w:color w:val="000000"/>
        </w:rPr>
        <w:t xml:space="preserve">uling relations </w:t>
      </w:r>
      <w:r>
        <w:fldChar w:fldCharType="begin" w:fldLock="1"/>
      </w:r>
      <w:r>
        <w:rPr>
          <w:rFonts w:eastAsia="Calibri" w:cs="Calibri"/>
          <w:i/>
          <w:color w:val="000000"/>
        </w:rPr>
        <w:instrText>ADDIN CSL_CITATION {"citationItems":[{"id":"ITEM-1","itemData":{"DOI":"10.1177/0896920516658941","ISSN":"15691632","abstract":"Using the alternative sociological approach, institutional ethnography, this article reveals how experiences growing up in social housing (re)produce conditions of oppression that exacerbate housing precariousness and other forms of exclusion. Data were generated through participant observation, textual analysis and in-depth qualitative interviews with Young People of Colour living in vulnerable urban neighbourhoods, designated as Neighbourhood Improvement Areas in Toronto, Canada. Findings reveal how discourse, policy and practice related to community safety comprise an institutional nexus, connecting policing with social housing. These intersectional institutional relations create conditions of continuous housing precarity; youth street involvement and homelessness; increased involvement in the youth criminal justice system; and a belief among economically marginalized Young People of Colour that the state does not care about their safety and inclusion","author":[{"dropping-particle":"","family":"Nichols","given":"Naomi","non-dropping-particle":"","parse-names":false,"suffix":""},{"dropping-particle":"","family":"Braimoh","given":"Jessica","non-dropping-particle":"","parse-names":false,"suffix":""}],"container-title":"Critical Sociology","id":"ITEM-1","issue":"1","issued":{"date-parts":[["2018"]]},"page":"157-172","title":"Community Safety, Housing Precariousness and Processes of Exclusion: An Institutional Ethnography from the Standpoints of Youth in an ‘Unsafe’ Urban Neighbourhood","type":"article-journal","volume":"44"},"uris":["http://www.mendeley.com/documents/?uuid=a375d2e0-1383-4048-80f8-650c72277e98"]},{"id":"ITEM-2","itemData":{"DOI":"10.1177/153944929601600303","ISSN":"02761599","abstract":"The article illustrates the sociological theory and method of institutional ethnography by describing a study of occupational therapy's mental health practice. Over almost 6 months, the author collected data through observation, interviews, and review of documents. Data describe the practice of occupational therapy in seven adult mental health day programs with at least one site in each of the four provinces of Atlantic Canada. The question asked was, What are the possibilities and constraints for occupational therapists to enable the empowerment of adults who attend mental health day programs? Although developed as a feminist methodology for displaying the social organization of patriarchy, institutional ethnography is used in this study to show how the organizational context invisibly shapes occupational therapy practice. Through this method, occupational therapy ideas about occupation can be seen to be organizationally subordinated. Occupational therapists' work in enabling empowerment through occupations such as 'chores' is relegated to the background to make practice fit prevailing medical and psychologic ideas about health.","author":[{"dropping-particle":"","family":"Townsend","given":"Elizabeth","non-dropping-particle":"","parse-names":false,"suffix":""}],"container-title":"Occupational Therapy Journal of Research","id":"ITEM-2","issue":"3","issued":{"date-parts":[["1996"]]},"page":"179-199","title":"Institutional ethnography: A method for showing how the context shapes practice","type":"article-journal","volume":"16"},"uris":["http://www.mendeley.com/documents/?uuid=96af6df0-28f8-46b2-8574-a6b68df5125b"]}],"mendeley":{"formattedCitation":"(Nichols &amp; Braimoh, 2018; Townsend, 1996)","plainTextFormattedCitation":"(Nichols &amp; Braimoh, 2018; Townsend, 1996)","previouslyFormattedCitation":"(Nichols &amp; Braimoh, 2018; Townsend, 1996)"},"properties":{"noteIndex":0},"schema":"https://github.com/citation-style-language/schema/raw/master/csl-citation.json"}</w:instrText>
      </w:r>
      <w:r>
        <w:rPr>
          <w:rFonts w:eastAsia="Calibri" w:cs="Calibri"/>
          <w:i/>
          <w:color w:val="000000"/>
        </w:rPr>
        <w:fldChar w:fldCharType="separate"/>
      </w:r>
      <w:r>
        <w:rPr>
          <w:rFonts w:eastAsia="Calibri" w:cs="Calibri"/>
          <w:noProof/>
          <w:color w:val="000000"/>
        </w:rPr>
        <w:t>(Nichols &amp; Braimoh, 2018; Townsend, 1996)</w:t>
      </w:r>
      <w:r>
        <w:rPr>
          <w:rFonts w:eastAsia="Calibri" w:cs="Calibri"/>
          <w:i/>
          <w:color w:val="000000"/>
        </w:rPr>
        <w:fldChar w:fldCharType="end"/>
      </w:r>
      <w:r>
        <w:rPr>
          <w:rFonts w:eastAsia="Calibri" w:cs="Calibri"/>
          <w:i/>
          <w:color w:val="000000"/>
        </w:rPr>
        <w:t>.</w:t>
      </w:r>
      <w:r>
        <w:rPr>
          <w:rFonts w:eastAsia="Calibri" w:cs="Calibri"/>
          <w:iCs/>
          <w:color w:val="000000"/>
        </w:rPr>
        <w:t xml:space="preserve"> Ruling relations are how the institution influences their everyday experiences, such as the institutional logics </w:t>
      </w:r>
      <w:r>
        <w:fldChar w:fldCharType="begin" w:fldLock="1"/>
      </w:r>
      <w:r w:rsidR="00974B75">
        <w:rPr>
          <w:rFonts w:eastAsia="Calibri" w:cs="Calibri"/>
          <w:iCs/>
          <w:color w:val="000000"/>
        </w:rPr>
        <w:instrText>ADDIN CSL_CITATION {"citationItems":[{"id":"ITEM-1","itemData":{"DOI":"10.1080/09581596.2018.1541228","ISSN":"14693682","author":[{"dropping-particle":"","family":"Ninomiya","given":"Melody E. Morton","non-dropping-particle":"","parse-names":false,"suffix":""},{"dropping-particle":"","family":"Hurley","given":"Natasha","non-dropping-particle":"","parse-names":false,"suffix":""},{"dropping-particle":"","family":"Penashue","given":"Jack","non-dropping-particle":"","parse-names":false,"suffix":""}],"container-title":"Critical Public Health","id":"ITEM-1","issue":"2","issued":{"date-parts":[["2018"]]},"page":"1- 12","title":"A decolonizing method of inquiry: using institutional ethnography to facilitate community-based research and knowledge translation","type":"article-journal","volume":"30"},"uris":["http://www.mendeley.com/documents/?uuid=4e9de7f6-4653-4f61-8a7b-6262d5be6284"]},{"id":"ITEM-2","itemData":{"DOI":"10.1186/s13012-018-0730-0","ISSN":"17485908","abstract":"BACKGROUND Numerous studies emphasize the importance of context in implementation. Successful implementation across the health care system depends on conditions and requirements that are often presented to health professionals through text-based materials and might present contradictory expectations to the work of health professionals. In this study, we operationalize institutional context as the text-based material, which from the perspective of health professionals, influence health care work. Via the case of a readmission prevention program for elderly patients, we examine the experiences of health professionals that work with implementation, concerning the contradictions that arise between the demands imposed by program implementation and their everyday work routines, and the role of text-based materials in these contradictions. METHOD We conducted five focus group interviews among health professionals working at different locations in a single administrative region of Denmark. The 24 health professionals in our study included hospital physicians, hospital nurses, medical secretaries, municipal care managers, registered municipal nurses, and general practitioners. All focus group interviews were transcribed verbatim. Inspired by institutional ethnography, we look into text-based materials, such as written guidelines, if health professionals indicate they are important. RESULTS The health professionals experience that specific demands of the readmission prevention program come into conflict with the existing demands and daily work routines. Professional resistance to control and the existing digital communication tools create tensions with a program requirement for standardized enrollment of patients to the program. In addition, the striving for autonomy among health professionals and the high level of mono-professional working routines create tension with the program requirements for an additional amount of interdisciplinary work. The different demands are widely mediated by text-based materials such as the existing digital communication tools and the instructions on how to use them, and the official agreement of the role and assignment for Danish GPs. CONCLUSION Successful implementation of the prevention program is affected by various tensions between the program demands and the existing health care work. Text-based materials mediate the different demands of the institutional context in to health care work and influence the process of implementation.","author":[{"dropping-particle":"","family":"Lehn","given":"Sara Fokdal","non-dropping-particle":"","parse-names":false,"suffix":""},{"dropping-particle":"","family":"Thuesen","given":"Jette","non-dropping-particle":"","parse-names":false,"suffix":""},{"dropping-particle":"","family":"Bunkenborg","given":"Gitte","non-dropping-particle":"","parse-names":false,"suffix":""},{"dropping-particle":"","family":"Zwisler","given":"Ann Dorthe","non-dropping-particle":"","parse-names":false,"suffix":""},{"dropping-particle":"","family":"Rod","given":"Morten Hulvej","non-dropping-particle":"","parse-names":false,"suffix":""}],"container-title":"Implementation Science","id":"ITEM-2","issue":"38","issued":{"date-parts":[["2018"]]},"page":"1-12","title":"Implementation between text and work-a qualitative study of a readmission prevention program targeting elderly patients","type":"article-journal","volume":"13"},"uris":["http://www.mendeley.com/documents/?uuid=32c82e58-b672-4d4c-9750-3abf1b2a989c"]},{"id":"ITEM-3","itemData":{"DOI":"10.1016/j.scaman.2012.05.003","ISSN":"09565221","abstract":"In this paper I offer an Institutional Ethnography, from the standpoint of female academics, of the construction of the \"ideal academic\" and quality journal publications as a central feature in this construct. I draw on interview transcripts, field notes, texts and artefacts produced and collected over a two-year period in a recently merged Finnish university. I focus specifically on how a translocal discourse of competitive performance measurement and standards of academic excellence are accomplished in the local construction of the \"ideal academic\" as a person who publishes articles in A level journals. While the construct is hard for anyone to live up to, it would seem to be more difficult for some people than for others. The current obsession with getting published in top journals place those women, who are heavily engaged in teaching activities and with responsibilities besides academic work, in a systematically disadvantaged relation to the currently dominating discourse of the \"ideal academic\" © 2012 Elsevier Ltd.","author":[{"dropping-particle":"","family":"Lund","given":"Rebecca","non-dropping-particle":"","parse-names":false,"suffix":""}],"container-title":"Scandinavian Journal of Management","id":"ITEM-3","issue":"3","issued":{"date-parts":[["2012"]]},"page":"218-228","title":"Publishing to become an \"ideal academic\": An Institutional Ethnography and a Feminist Critique","type":"article-journal","volume":"28"},"uris":["http://www.mendeley.com/documents/?uuid=087ea2c4-bd2b-4344-bfd6-393e9d928eb2"]},{"id":"ITEM-4","itemData":{"ISBN":"1-55553-794-4","abstract":"In this collection of essays, sociologist Dorothy E. Smith develops a method for analyzing how women (and men) view contemporary society from specific gendered points of view","author":[{"dropping-particle":"","family":"Smith","given":"Dorothy E","non-dropping-particle":"","parse-names":false,"suffix":""}],"chapter-number":"4","container-title":"The Everyday World as Problematic: a Feminist Sociology","id":"ITEM-4","issued":{"date-parts":[["1987"]]},"note":"Includes bibliographical references and index.","page":"151 - 180","publisher":"Boston, Massachusetts : Northeastern University Press, 1987","publisher-place":"Boston, [Massachusetts]","title":"Institutional Ethnography: A Feminist Research Strategy","type":"chapter"},"uris":["http://www.mendeley.com/documents/?uuid=13003926-0113-4417-a0a3-b30af5ebd81a"]},{"id":"ITEM-5","itemData":{"DOI":"10.4018/ijavet.2016070103","ISBN":"9781522539094","ISSN":"1947-8607","abstract":"This paper introduces institutional ethnography (IE) as a useful and systematic process for examining organizations and work data through the lens of stakeholders, at different levels, and considering the different forces at play. Drawing from ethnomethodology, IE focuses on how everyday experience is socially organized. Ideological shifts have changed the view of research as purely technical and rational to one of social practice embedded in particular cultural, political, and historical contexts. Research has translated into partially unsuccessful practice because it negates individuals' unique experiences based on race, ethnicity, class, and gender, allowing for a monolithic view to become the given reality for all those who live in today's society. Because adult vocational education is practiced in a highly charged political context, amongst a nexus of interconnected and interdependent social processes such as federal and state legislation, program funding and planning, literacy work, and employment training, discourse sets the parameters for a person's ability or inability to navigate the structural and political subsystems that impact learning, teaching, and work. Power is critically important as an analytic focus which crosses boundaries providing researchers a view of social organization that illuminates practices that marginalize.","author":[{"dropping-particle":"","family":"Wright","given":"Ursula T.","non-dropping-particle":"","parse-names":false,"suffix":""},{"dropping-particle":"","family":"Rocco","given":"Tonette S.","non-dropping-particle":"","parse-names":false,"suffix":""}],"chapter-number":"75","container-title":"Operations and Service Management: Concepts, Methodologies, Tools, and Applications","editor":[{"dropping-particle":"","family":"Management Association Information Resources","given":"","non-dropping-particle":"","parse-names":false,"suffix":""}],"id":"ITEM-5","issued":{"date-parts":[["2018"]]},"page":"1657-1672","publisher":"IGI Global","title":"Institutional Ethnography: A Holistic Approach to Understanding Systems","type":"chapter"},"uris":["http://www.mendeley.com/documents/?uuid=4cbfcf7e-0784-46c9-a0d6-54bfa09d61c8"]}],"mendeley":{"formattedCitation":"(Lehn et al., 2018; Ninomiya, Hurley, &amp; Penashue, 2018; Wright &amp; Rocco, 2018; Lund, 2012; Smith, 1987)","plainTextFormattedCitation":"(Lehn et al., 2018; Ninomiya, Hurley, &amp; Penashue, 2018; Wright &amp; Rocco, 2018; Lund, 2012; Smith, 1987)","previouslyFormattedCitation":"(Lehn et al., 2018; Ninomiya, Hurley, &amp; Penashue, 2018; Wright &amp; Rocco, 2018; Lund, 2012; Smith, 1987)"},"properties":{"noteIndex":0},"schema":"https://github.com/citation-style-language/schema/raw/master/csl-citation.json"}</w:instrText>
      </w:r>
      <w:r>
        <w:rPr>
          <w:rFonts w:eastAsia="Calibri" w:cs="Calibri"/>
          <w:iCs/>
          <w:color w:val="000000"/>
        </w:rPr>
        <w:fldChar w:fldCharType="separate"/>
      </w:r>
      <w:r w:rsidR="00974B75" w:rsidRPr="00974B75">
        <w:rPr>
          <w:rFonts w:eastAsia="Calibri" w:cs="Calibri"/>
          <w:iCs/>
          <w:noProof/>
          <w:color w:val="000000"/>
        </w:rPr>
        <w:t>(Lehn et al., 2018; Ninomiya, Hurley, &amp; Penashue, 2018; Wright &amp; Rocco, 2018; Lund, 2012; Smith, 1987)</w:t>
      </w:r>
      <w:r>
        <w:rPr>
          <w:rFonts w:eastAsia="Calibri" w:cs="Calibri"/>
          <w:iCs/>
          <w:color w:val="000000"/>
        </w:rPr>
        <w:fldChar w:fldCharType="end"/>
      </w:r>
      <w:r>
        <w:rPr>
          <w:rFonts w:eastAsia="Calibri" w:cs="Calibri"/>
          <w:iCs/>
          <w:color w:val="000000"/>
        </w:rPr>
        <w:t xml:space="preserve">. IE is an iterative process, so </w:t>
      </w:r>
      <w:r w:rsidR="00C84401">
        <w:rPr>
          <w:rFonts w:eastAsia="Calibri" w:cs="Calibri"/>
          <w:iCs/>
          <w:color w:val="000000"/>
        </w:rPr>
        <w:t xml:space="preserve">while </w:t>
      </w:r>
      <w:r>
        <w:rPr>
          <w:rFonts w:eastAsia="Calibri" w:cs="Calibri"/>
          <w:iCs/>
          <w:color w:val="000000"/>
        </w:rPr>
        <w:t xml:space="preserve">the literature suggests starting with the semi-structured interviews and observations, and then progressing to text, it is not a linear </w:t>
      </w:r>
      <w:r>
        <w:rPr>
          <w:rFonts w:eastAsia="Calibri" w:cs="Calibri"/>
          <w:iCs/>
          <w:color w:val="000000"/>
        </w:rPr>
        <w:lastRenderedPageBreak/>
        <w:t>method, and can be adapted to suit the needs to the context</w:t>
      </w:r>
      <w:r w:rsidR="00C7430A">
        <w:rPr>
          <w:rFonts w:eastAsia="Calibri" w:cs="Calibri"/>
          <w:iCs/>
          <w:color w:val="000000"/>
        </w:rPr>
        <w:t>.</w:t>
      </w:r>
      <w:r>
        <w:rPr>
          <w:rFonts w:eastAsia="Calibri" w:cs="Calibri"/>
          <w:iCs/>
          <w:color w:val="000000"/>
        </w:rPr>
        <w:t xml:space="preserve"> </w:t>
      </w:r>
      <w:r w:rsidR="00C7430A">
        <w:rPr>
          <w:rFonts w:eastAsia="Calibri" w:cs="Calibri"/>
          <w:iCs/>
          <w:color w:val="000000"/>
        </w:rPr>
        <w:t>The</w:t>
      </w:r>
      <w:r>
        <w:rPr>
          <w:rFonts w:eastAsia="Calibri" w:cs="Calibri"/>
          <w:iCs/>
          <w:color w:val="000000"/>
        </w:rPr>
        <w:t xml:space="preserve"> researcher </w:t>
      </w:r>
      <w:r w:rsidR="00C7430A">
        <w:rPr>
          <w:rFonts w:eastAsia="Calibri" w:cs="Calibri"/>
          <w:iCs/>
          <w:color w:val="000000"/>
        </w:rPr>
        <w:t xml:space="preserve">conducts </w:t>
      </w:r>
      <w:r>
        <w:rPr>
          <w:rFonts w:eastAsia="Calibri" w:cs="Calibri"/>
          <w:iCs/>
          <w:color w:val="000000"/>
        </w:rPr>
        <w:t xml:space="preserve">these methods at the same time or </w:t>
      </w:r>
      <w:r w:rsidR="00C7430A">
        <w:rPr>
          <w:rFonts w:eastAsia="Calibri" w:cs="Calibri"/>
          <w:iCs/>
          <w:color w:val="000000"/>
        </w:rPr>
        <w:t xml:space="preserve">weaves </w:t>
      </w:r>
      <w:r>
        <w:rPr>
          <w:rFonts w:eastAsia="Calibri" w:cs="Calibri"/>
          <w:iCs/>
          <w:color w:val="000000"/>
        </w:rPr>
        <w:t>between the</w:t>
      </w:r>
      <w:r w:rsidR="00C7430A">
        <w:rPr>
          <w:rFonts w:eastAsia="Calibri" w:cs="Calibri"/>
          <w:iCs/>
          <w:color w:val="000000"/>
        </w:rPr>
        <w:t>m.</w:t>
      </w:r>
      <w:r>
        <w:fldChar w:fldCharType="begin" w:fldLock="1"/>
      </w:r>
      <w:r w:rsidR="00974B75">
        <w:rPr>
          <w:rFonts w:eastAsia="Calibri" w:cs="Calibri"/>
          <w:iCs/>
          <w:color w:val="000000"/>
        </w:rPr>
        <w:instrText>ADDIN CSL_CITATION {"citationItems":[{"id":"ITEM-1","itemData":{"DOI":"10.4018/ijavet.2016070103","ISBN":"9781522539094","ISSN":"1947-8607","abstract":"This paper introduces institutional ethnography (IE) as a useful and systematic process for examining organizations and work data through the lens of stakeholders, at different levels, and considering the different forces at play. Drawing from ethnomethodology, IE focuses on how everyday experience is socially organized. Ideological shifts have changed the view of research as purely technical and rational to one of social practice embedded in particular cultural, political, and historical contexts. Research has translated into partially unsuccessful practice because it negates individuals' unique experiences based on race, ethnicity, class, and gender, allowing for a monolithic view to become the given reality for all those who live in today's society. Because adult vocational education is practiced in a highly charged political context, amongst a nexus of interconnected and interdependent social processes such as federal and state legislation, program funding and planning, literacy work, and employment training, discourse sets the parameters for a person's ability or inability to navigate the structural and political subsystems that impact learning, teaching, and work. Power is critically important as an analytic focus which crosses boundaries providing researchers a view of social organization that illuminates practices that marginalize.","author":[{"dropping-particle":"","family":"Wright","given":"Ursula T.","non-dropping-particle":"","parse-names":false,"suffix":""},{"dropping-particle":"","family":"Rocco","given":"Tonette S.","non-dropping-particle":"","parse-names":false,"suffix":""}],"chapter-number":"75","container-title":"Operations and Service Management: Concepts, Methodologies, Tools, and Applications","editor":[{"dropping-particle":"","family":"Management Association Information Resources","given":"","non-dropping-particle":"","parse-names":false,"suffix":""}],"id":"ITEM-1","issued":{"date-parts":[["2018"]]},"page":"1657-1672","publisher":"IGI Global","title":"Institutional Ethnography: A Holistic Approach to Understanding Systems","type":"chapter"},"uris":["http://www.mendeley.com/documents/?uuid=4cbfcf7e-0784-46c9-a0d6-54bfa09d61c8"]},{"id":"ITEM-2","itemData":{"DOI":"10.1177/1609406917734472","ISSN":"16094069","abstract":"Institutional ethnography (IE) is being taken up by researchers across diverse disciplines, many who do not have a background in sociology and the antecedents and influences that underpin Dorothy Smith's distinctive IE method. Novice IEers, who often work with advisors who have not studied or conducted an IE, are at risk of straying from IE's core epistemology and ontology. This second of a two-volume set provides a broad overview to approaching analysis once the IE design and fieldwork are well under way. The purpose of two-volume series is to offer practical guidance and cautions that have been generated from my experiences of supervising graduate students and my involvement in reviewing and examining IE work that has gone \" off track. \" With a particular focus on the practicalities of conducting analysis, the paper includes examples of the application of IE's theoretical framework with techniques for approaching and managing data: mapping, indexing, and building preliminary accounts/ \" analytic chunks. \" I suggest these techniques are useful tactics to work with data and to refine the formulation of the research problematic(s) to be explicated.","author":[{"dropping-particle":"","family":"Rankin","given":"Janet","non-dropping-particle":"","parse-names":false,"suffix":""}],"container-title":"International Journal of Qualitative Methods","id":"ITEM-2","issue":"1","issued":{"date-parts":[["2017"]]},"page":"1-11","title":"Conducting Analysis in Institutional Ethnography: Guidance and Cautions","type":"article-journal","volume":"16"},"uris":["http://www.mendeley.com/documents/?uuid=1f512de7-2804-4501-b9d4-819790d77516"]}],"mendeley":{"formattedCitation":"(Wright &amp; Rocco, 2018; Rankin, 2017)","plainTextFormattedCitation":"(Wright &amp; Rocco, 2018; Rankin, 2017)","previouslyFormattedCitation":"(Wright &amp; Rocco, 2018; Rankin, 2017)"},"properties":{"noteIndex":0},"schema":"https://github.com/citation-style-language/schema/raw/master/csl-citation.json"}</w:instrText>
      </w:r>
      <w:r>
        <w:rPr>
          <w:rFonts w:eastAsia="Calibri" w:cs="Calibri"/>
          <w:iCs/>
          <w:color w:val="000000"/>
        </w:rPr>
        <w:fldChar w:fldCharType="separate"/>
      </w:r>
      <w:r w:rsidR="00974B75" w:rsidRPr="00974B75">
        <w:rPr>
          <w:rFonts w:eastAsia="Calibri" w:cs="Calibri"/>
          <w:iCs/>
          <w:noProof/>
          <w:color w:val="000000"/>
        </w:rPr>
        <w:t>(Wright &amp; Rocco, 2018; Rankin, 2017)</w:t>
      </w:r>
      <w:r>
        <w:rPr>
          <w:rFonts w:eastAsia="Calibri" w:cs="Calibri"/>
          <w:iCs/>
          <w:color w:val="000000"/>
        </w:rPr>
        <w:fldChar w:fldCharType="end"/>
      </w:r>
      <w:r>
        <w:rPr>
          <w:rFonts w:eastAsia="Calibri" w:cs="Calibri"/>
          <w:iCs/>
          <w:color w:val="000000"/>
        </w:rPr>
        <w:t xml:space="preserve">. </w:t>
      </w:r>
    </w:p>
    <w:p w14:paraId="7495D4C3" w14:textId="77777777" w:rsidR="00787F73" w:rsidRDefault="00787F73" w:rsidP="00866155">
      <w:pPr>
        <w:rPr>
          <w:rFonts w:eastAsia="Calibri" w:cs="Calibri"/>
          <w:iCs/>
          <w:color w:val="000000"/>
        </w:rPr>
      </w:pPr>
    </w:p>
    <w:p w14:paraId="33102F08" w14:textId="77777777" w:rsidR="00E52006" w:rsidRDefault="00742FB7" w:rsidP="00866155">
      <w:pPr>
        <w:rPr>
          <w:rFonts w:eastAsia="Calibri" w:cs="Calibri"/>
          <w:color w:val="000000"/>
        </w:rPr>
      </w:pPr>
      <w:r>
        <w:rPr>
          <w:rFonts w:eastAsia="Calibri" w:cs="Calibri"/>
          <w:color w:val="000000"/>
        </w:rPr>
        <w:t xml:space="preserve">To understand the Communications team’s standpoint, I conducted an internship (see Appendix 1) at SYFR’s Headquarters, which enabled me to build relationships with the team and to better understand the actualities of the team’s experiences. Not only was I able to collect rich data (observations, semi-structured interviews, and examining texts), but it also helped to create and maintain the collaborative nature of the project. </w:t>
      </w:r>
    </w:p>
    <w:p w14:paraId="0EE918DB" w14:textId="77777777" w:rsidR="006A0F18" w:rsidRPr="00AE7E37" w:rsidRDefault="006A0F18" w:rsidP="00866155">
      <w:pPr>
        <w:rPr>
          <w:rFonts w:eastAsia="Calibri" w:cs="Calibri"/>
          <w:color w:val="000000"/>
        </w:rPr>
      </w:pPr>
    </w:p>
    <w:p w14:paraId="1F6B3FF5" w14:textId="0B3EF305" w:rsidR="00976B46" w:rsidRPr="00A0151B" w:rsidRDefault="006A0F18">
      <w:pPr>
        <w:suppressAutoHyphens w:val="0"/>
        <w:overflowPunct/>
        <w:rPr>
          <w:rFonts w:cs="Calibri"/>
          <w:color w:val="000000"/>
          <w:lang w:eastAsia="zh-CN"/>
        </w:rPr>
      </w:pPr>
      <w:r w:rsidRPr="00A0151B">
        <w:rPr>
          <w:rFonts w:cs="Calibri"/>
          <w:color w:val="000000"/>
          <w:lang w:eastAsia="zh-CN"/>
        </w:rPr>
        <w:t>With all research methodologies</w:t>
      </w:r>
      <w:r w:rsidR="004E4FE5" w:rsidRPr="00A0151B">
        <w:rPr>
          <w:rFonts w:cs="Calibri"/>
          <w:color w:val="000000"/>
          <w:lang w:eastAsia="zh-CN"/>
        </w:rPr>
        <w:t>,</w:t>
      </w:r>
      <w:r w:rsidRPr="00A0151B">
        <w:rPr>
          <w:rFonts w:cs="Calibri"/>
          <w:color w:val="000000"/>
          <w:lang w:eastAsia="zh-CN"/>
        </w:rPr>
        <w:t xml:space="preserve"> it's important to examine the strengths as well as the challenges associated with the method. In the case of institutional ethnography and</w:t>
      </w:r>
      <w:r w:rsidR="004E4FE5" w:rsidRPr="00A0151B">
        <w:rPr>
          <w:rFonts w:cs="Calibri"/>
          <w:color w:val="000000"/>
          <w:lang w:eastAsia="zh-CN"/>
        </w:rPr>
        <w:t>,</w:t>
      </w:r>
      <w:r w:rsidRPr="00A0151B">
        <w:rPr>
          <w:rFonts w:cs="Calibri"/>
          <w:color w:val="000000"/>
          <w:lang w:eastAsia="zh-CN"/>
        </w:rPr>
        <w:t xml:space="preserve"> more widely</w:t>
      </w:r>
      <w:r w:rsidR="004E4FE5" w:rsidRPr="00A0151B">
        <w:rPr>
          <w:rFonts w:cs="Calibri"/>
          <w:color w:val="000000"/>
          <w:lang w:eastAsia="zh-CN"/>
        </w:rPr>
        <w:t>,</w:t>
      </w:r>
      <w:r w:rsidRPr="00A0151B">
        <w:rPr>
          <w:rFonts w:cs="Calibri"/>
          <w:color w:val="000000"/>
          <w:lang w:eastAsia="zh-CN"/>
        </w:rPr>
        <w:t xml:space="preserve"> transdisciplinary research</w:t>
      </w:r>
      <w:r w:rsidR="004E4FE5" w:rsidRPr="00A0151B">
        <w:rPr>
          <w:rFonts w:cs="Calibri"/>
          <w:color w:val="000000"/>
          <w:lang w:eastAsia="zh-CN"/>
        </w:rPr>
        <w:t>,</w:t>
      </w:r>
      <w:r w:rsidRPr="00A0151B">
        <w:rPr>
          <w:rFonts w:cs="Calibri"/>
          <w:color w:val="000000"/>
          <w:lang w:eastAsia="zh-CN"/>
        </w:rPr>
        <w:t xml:space="preserve"> there are authors who believe that due to the close partnership between the researcher and the researched, it may affect objectivity</w:t>
      </w:r>
      <w:r w:rsidR="004E4FE5" w:rsidRPr="00A0151B">
        <w:rPr>
          <w:rFonts w:cs="Calibri"/>
          <w:color w:val="000000"/>
          <w:lang w:eastAsia="zh-CN"/>
        </w:rPr>
        <w:t>. This</w:t>
      </w:r>
      <w:r w:rsidRPr="00A0151B">
        <w:rPr>
          <w:rFonts w:cs="Calibri"/>
          <w:color w:val="000000"/>
          <w:lang w:eastAsia="zh-CN"/>
        </w:rPr>
        <w:t xml:space="preserve"> comes with concerns of data reliability and credibility </w:t>
      </w:r>
      <w:r w:rsidRPr="00A0151B">
        <w:rPr>
          <w:rFonts w:cs="Calibri"/>
          <w:color w:val="000000"/>
          <w:lang w:eastAsia="zh-CN"/>
        </w:rPr>
        <w:fldChar w:fldCharType="begin" w:fldLock="1"/>
      </w:r>
      <w:r w:rsidRPr="00A0151B">
        <w:rPr>
          <w:rFonts w:cs="Calibri"/>
          <w:color w:val="000000"/>
          <w:lang w:eastAsia="zh-CN"/>
        </w:rPr>
        <w:instrText>ADDIN CSL_CITATION {"citationItems":[{"id":"ITEM-1","itemData":{"DOI":"10.1177/0894439313519733","ISSN":"15528286","abstract":"This study offers an examination of data richness (i.e., topic-related data, topic unrelated data, researcher ratings of data richness, word count, and linguistic characteristics of data richness) trade-offs between face-to-face (FTF), online text-only and online audiovisual focus group mediums. Two focus group sessions were held for each type of medium. Data were analyzed using systematic content analysis and Linguistic Inquiry and Word Count. Findings showed that although online audiovisual focus groups show potential for producing data similar in richness to FTF focus groups, researchers should carefully consider the potential distractions that manifested in this study as a result of the medium itself, likely due to its novelty as a group communication medium. Online text-only groups did not facilitate rich data, as operationalized in this study, and also had a lower amount of data related to the topic of the groups due to more socializing and off-topic discussion. As the first study to empirically examine the potential of data from focus groups facilitated via webcam (online audiovisual), it concludes, the technology offers similar data richness to FTF focus groups.","author":[{"dropping-particle":"","family":"Abrams","given":"Katie M.","non-dropping-particle":"","parse-names":false,"suffix":""},{"dropping-particle":"","family":"Wang","given":"Zongyuan","non-dropping-particle":"","parse-names":false,"suffix":""},{"dropping-particle":"","family":"Song","given":"Yoo Jin","non-dropping-particle":"","parse-names":false,"suffix":""},{"dropping-particle":"","family":"Galindo-Gonzalez","given":"Sebastian","non-dropping-particle":"","parse-names":false,"suffix":""}],"container-title":"Social Science Computer Review","id":"ITEM-1","issue":"1","issued":{"date-parts":[["2015"]]},"page":"80-96","title":"Data Richness Trade-Offs Between Face-to-Face, Online Audiovisual, and Online Text-Only Focus Groups","type":"article-journal","volume":"33"},"uris":["http://www.mendeley.com/documents/?uuid=eb472dd4-ee22-4866-96fc-d6a2e0dde812"]},{"id":"ITEM-2","itemData":{"DOI":"10.3868/s050-004-015-0003-8","ISBN":"1120617163123","ISSN":"02729490","PMID":"21675331","abstract":"Increasing concern has been expressed over the way sponsorship of research by various governmental agencies and private foundations has influenced the “objectivity” of scientific investigations. Actual manifestations of the social control of research can be studied through an analysis of the role of the “gatekeeper.” Gatekeeping influences the research endeavor in a number of ways: by limiting conditions of entry, by defining the problem area of study, by limiting access to data and respondents, by restricting the scope of analysis, and by retaining prerogatives with respect to publication. Strategies are not well developed for managing pressures of gatekeeping. Furthermore, the location of researchers within university settings mitigates against confrontation with gatekeepers, particularly if the research effort is directed toward elites or powerful institutions. Where institutions such as universities agree with gatekeepers that proposed sensitive and critical research would be “inappropriate,” researchers must create autonomous positions from which to conduct their research.","author":[{"dropping-particle":"","family":"Broadhead","given":"Robert S","non-dropping-particle":"","parse-names":false,"suffix":""},{"dropping-particle":"","family":"Rist","given":"Ray C","non-dropping-particle":"","parse-names":false,"suffix":""}],"container-title":"Social Problems","id":"ITEM-2","issue":"3","issued":{"date-parts":[["1976"]]},"page":"325 - 336","title":"Gatekeepers and the Social Control of Social Research","type":"article-journal","volume":"23"},"uris":["http://www.mendeley.com/documents/?uuid=a93ca750-fc20-47e9-99b5-8fb75c4dc12c"]},{"id":"ITEM-3","itemData":{"DOI":"10.1002/sd.2281","author":[{"dropping-particle":"","family":"Kruijf","given":"Joanne Vinke-de","non-dropping-particle":"","parse-names":false,"suffix":""},{"dropping-particle":"","family":"Verbrugge","given":"Laura","non-dropping-particle":"","parse-names":false,"suffix":""},{"dropping-particle":"","family":"Schröter","given":"Barbara","non-dropping-particle":"","parse-names":false,"suffix":""},{"dropping-particle":"","family":"Fliervoet","given":"Jan","non-dropping-particle":"","parse-names":false,"suffix":""},{"dropping-particle":"","family":"Henze","given":"Jennifer","non-dropping-particle":"","parse-names":false,"suffix":""},{"dropping-particle":"","family":"Albert","given":"Christian","non-dropping-particle":"","parse-names":false,"suffix":""}],"container-title":"Sustainable Development","id":"ITEM-3","issue":"2","issued":{"date-parts":[["2022"]]},"page":"393-405","title":"Knowledge co-production and researcher roles in transdisciplinary environmental management projects","type":"article-journal","volume":"30"},"uris":["http://www.mendeley.com/documents/?uuid=1176cab8-7afa-49d2-b49e-808c2ad5ad43"]}],"mendeley":{"formattedCitation":"(Kruijf et al., 2022; Abrams et al., 2015; Broadhead &amp; Rist, 1976)","plainTextFormattedCitation":"(Kruijf et al., 2022; Abrams et al., 2015; Broadhead &amp; Rist, 1976)","previouslyFormattedCitation":"(Kruijf et al., 2022; Abrams et al., 2015; Broadhead &amp; Rist, 1976)"},"properties":{"noteIndex":0},"schema":"https://github.com/citation-style-language/schema/raw/master/csl-citation.json"}</w:instrText>
      </w:r>
      <w:r w:rsidRPr="00A0151B">
        <w:rPr>
          <w:rFonts w:cs="Calibri"/>
          <w:color w:val="000000"/>
          <w:lang w:eastAsia="zh-CN"/>
        </w:rPr>
        <w:fldChar w:fldCharType="separate"/>
      </w:r>
      <w:r w:rsidRPr="00A0151B">
        <w:rPr>
          <w:rFonts w:cs="Calibri"/>
          <w:noProof/>
          <w:color w:val="000000"/>
          <w:lang w:eastAsia="zh-CN"/>
        </w:rPr>
        <w:t>(Kruijf et al., 2022; Abrams et al., 2015; Broadhead &amp; Rist, 1976)</w:t>
      </w:r>
      <w:r w:rsidRPr="00A0151B">
        <w:rPr>
          <w:rFonts w:cs="Calibri"/>
          <w:color w:val="000000"/>
          <w:lang w:eastAsia="zh-CN"/>
        </w:rPr>
        <w:fldChar w:fldCharType="end"/>
      </w:r>
      <w:r w:rsidRPr="00A0151B">
        <w:rPr>
          <w:rFonts w:cs="Calibri"/>
          <w:color w:val="000000"/>
          <w:lang w:eastAsia="zh-CN"/>
        </w:rPr>
        <w:t xml:space="preserve">. However, this critique is bounded within an objectivist philosophical approach, namely that phenomena exist independently of the views of individuals </w:t>
      </w:r>
      <w:r w:rsidRPr="00A0151B">
        <w:rPr>
          <w:rFonts w:cs="Calibri"/>
          <w:color w:val="000000"/>
          <w:lang w:eastAsia="zh-CN"/>
        </w:rPr>
        <w:fldChar w:fldCharType="begin" w:fldLock="1"/>
      </w:r>
      <w:r w:rsidRPr="00A0151B">
        <w:rPr>
          <w:rFonts w:cs="Calibri"/>
          <w:color w:val="000000"/>
          <w:lang w:eastAsia="zh-CN"/>
        </w:rPr>
        <w:instrText>ADDIN CSL_CITATION {"citationItems":[{"id":"ITEM-1","itemData":{"DOI":"10.1080/09523367.2012.743996","ISBN":"9780273716860","ISSN":"09523367","abstract":"A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students","edition":"Eighth","id":"ITEM-1","issued":{"date-parts":[["2019"]]},"page":"128 - 170","publisher":"Pearson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2019)","plainTextFormattedCitation":"(Saunders, Lewis, &amp; Thornhill, 2019)","previouslyFormattedCitation":"(Saunders, Lewis, &amp; Thornhill, 2019)"},"properties":{"noteIndex":0},"schema":"https://github.com/citation-style-language/schema/raw/master/csl-citation.json"}</w:instrText>
      </w:r>
      <w:r w:rsidRPr="00A0151B">
        <w:rPr>
          <w:rFonts w:cs="Calibri"/>
          <w:color w:val="000000"/>
          <w:lang w:eastAsia="zh-CN"/>
        </w:rPr>
        <w:fldChar w:fldCharType="separate"/>
      </w:r>
      <w:r w:rsidRPr="00A0151B">
        <w:rPr>
          <w:rFonts w:cs="Calibri"/>
          <w:noProof/>
          <w:color w:val="000000"/>
          <w:lang w:eastAsia="zh-CN"/>
        </w:rPr>
        <w:t>(Saunders, Lewis, &amp; Thornhill, 2019)</w:t>
      </w:r>
      <w:r w:rsidRPr="00A0151B">
        <w:rPr>
          <w:rFonts w:cs="Calibri"/>
          <w:color w:val="000000"/>
          <w:lang w:eastAsia="zh-CN"/>
        </w:rPr>
        <w:fldChar w:fldCharType="end"/>
      </w:r>
      <w:r w:rsidRPr="00A0151B">
        <w:rPr>
          <w:rFonts w:cs="Calibri"/>
          <w:color w:val="000000"/>
          <w:lang w:eastAsia="zh-CN"/>
        </w:rPr>
        <w:t xml:space="preserve">. </w:t>
      </w:r>
      <w:r w:rsidR="008242F9" w:rsidRPr="00A0151B">
        <w:rPr>
          <w:rFonts w:cs="Calibri"/>
          <w:color w:val="000000"/>
          <w:lang w:eastAsia="zh-CN"/>
        </w:rPr>
        <w:t>T</w:t>
      </w:r>
      <w:r w:rsidRPr="00A0151B">
        <w:rPr>
          <w:rFonts w:cs="Calibri"/>
          <w:color w:val="000000"/>
          <w:lang w:eastAsia="zh-CN"/>
        </w:rPr>
        <w:t>his research is using an interpretivist philosophical approach and as such is grounded within subjectivism. This approach views reality as created from the actions and perceptions of individual</w:t>
      </w:r>
      <w:r w:rsidR="00A7510A">
        <w:rPr>
          <w:rFonts w:cs="Calibri"/>
          <w:color w:val="000000"/>
          <w:lang w:eastAsia="zh-CN"/>
        </w:rPr>
        <w:t>s</w:t>
      </w:r>
      <w:r w:rsidRPr="00A0151B">
        <w:rPr>
          <w:rFonts w:cs="Calibri"/>
          <w:color w:val="000000"/>
          <w:lang w:eastAsia="zh-CN"/>
        </w:rPr>
        <w:t xml:space="preserve"> </w:t>
      </w:r>
      <w:r w:rsidRPr="00A0151B">
        <w:rPr>
          <w:rFonts w:cs="Calibri"/>
          <w:color w:val="000000"/>
          <w:lang w:eastAsia="zh-CN"/>
        </w:rPr>
        <w:fldChar w:fldCharType="begin" w:fldLock="1"/>
      </w:r>
      <w:r w:rsidRPr="00A0151B">
        <w:rPr>
          <w:rFonts w:cs="Calibri"/>
          <w:color w:val="000000"/>
          <w:lang w:eastAsia="zh-CN"/>
        </w:rPr>
        <w:instrText>ADDIN CSL_CITATION {"citationItems":[{"id":"ITEM-1","itemData":{"DOI":"10.1080/09523367.2012.743996","ISBN":"9780273716860","ISSN":"09523367","abstract":"A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students","edition":"Eighth","id":"ITEM-1","issued":{"date-parts":[["2019"]]},"page":"128 - 170","publisher":"Pearson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2019)","plainTextFormattedCitation":"(Saunders, Lewis, &amp; Thornhill, 2019)","previouslyFormattedCitation":"(Saunders, Lewis, &amp; Thornhill, 2019)"},"properties":{"noteIndex":0},"schema":"https://github.com/citation-style-language/schema/raw/master/csl-citation.json"}</w:instrText>
      </w:r>
      <w:r w:rsidRPr="00A0151B">
        <w:rPr>
          <w:rFonts w:cs="Calibri"/>
          <w:color w:val="000000"/>
          <w:lang w:eastAsia="zh-CN"/>
        </w:rPr>
        <w:fldChar w:fldCharType="separate"/>
      </w:r>
      <w:r w:rsidRPr="00A0151B">
        <w:rPr>
          <w:rFonts w:cs="Calibri"/>
          <w:noProof/>
          <w:color w:val="000000"/>
          <w:lang w:eastAsia="zh-CN"/>
        </w:rPr>
        <w:t>(Saunders, Lewis, &amp; Thornhill, 2019)</w:t>
      </w:r>
      <w:r w:rsidRPr="00A0151B">
        <w:rPr>
          <w:rFonts w:cs="Calibri"/>
          <w:color w:val="000000"/>
          <w:lang w:eastAsia="zh-CN"/>
        </w:rPr>
        <w:fldChar w:fldCharType="end"/>
      </w:r>
      <w:r w:rsidRPr="00A0151B">
        <w:rPr>
          <w:rFonts w:cs="Calibri"/>
          <w:color w:val="000000"/>
          <w:lang w:eastAsia="zh-CN"/>
        </w:rPr>
        <w:t xml:space="preserve"> and therefore the researcher and their perceptions are embedded within the research. There must be academic and scientific rigour within this approach; the researcher needs to be reflective on the process and outcomes of the research </w:t>
      </w:r>
      <w:r w:rsidRPr="00A0151B">
        <w:rPr>
          <w:rFonts w:cs="Calibri"/>
          <w:color w:val="000000"/>
          <w:lang w:eastAsia="zh-CN"/>
        </w:rPr>
        <w:fldChar w:fldCharType="begin" w:fldLock="1"/>
      </w:r>
      <w:r w:rsidR="008F4D75" w:rsidRPr="00A0151B">
        <w:rPr>
          <w:rFonts w:cs="Calibri"/>
          <w:color w:val="000000"/>
          <w:lang w:eastAsia="zh-CN"/>
        </w:rPr>
        <w:instrText>ADDIN CSL_CITATION {"citationItems":[{"id":"ITEM-1","itemData":{"DOI":"10.5204/ijcjsd.v8i1.1051.This","abstract":"Institutional ethnography (IE) is a method of inquiry created by Canadian feminist sociologist Dorothy E. Smith to examine how sequences of texts coordinate forms of organisation. Here we explain how to use IE, and why scholars in criminal justice and socio-legal studies should use it in their research. We focus on IE’s analysis of texts and intertextual hierarchy, as well as Smith’s understanding of mapping as a methodological technique; the latter entails explaining how IE’s approach to mapping differs from other social science approaches. We also argue that IE’s terms and techniques can help examine the textual work undertaken in criminal justice and legal organisations, and reveal how people are governed and ruled by these organisational processes. In the discussion, we summarise how IE can productively contribute to criminal justice and socio-legal studies in the twenty-first century.","author":[{"dropping-particle":"","family":"Doll","given":"Agnieszka","non-dropping-particle":"","parse-names":false,"suffix":""},{"dropping-particle":"","family":"Walby","given":"Kevin","non-dropping-particle":"","parse-names":false,"suffix":""}],"container-title":"International Journal for Crime, Justice and Social Democracy","id":"ITEM-1","issue":"1","issued":{"date-parts":[["2019"]]},"page":"147-160","title":"Institutional Ethnography as a Method of Inquiry for Criminal Justice and Socio-Legal Studies","type":"article-journal","volume":"8"},"uris":["http://www.mendeley.com/documents/?uuid=eea21ff2-ea4d-4e5b-9072-2b82fd697a75"]},{"id":"ITEM-2","itemData":{"DOI":"10.1002/sd.2281","author":[{"dropping-particle":"","family":"Kruijf","given":"Joanne Vinke-de","non-dropping-particle":"","parse-names":false,"suffix":""},{"dropping-particle":"","family":"Verbrugge","given":"Laura","non-dropping-particle":"","parse-names":false,"suffix":""},{"dropping-particle":"","family":"Schröter","given":"Barbara","non-dropping-particle":"","parse-names":false,"suffix":""},{"dropping-particle":"","family":"Fliervoet","given":"Jan","non-dropping-particle":"","parse-names":false,"suffix":""},{"dropping-particle":"","family":"Henze","given":"Jennifer","non-dropping-particle":"","parse-names":false,"suffix":""},{"dropping-particle":"","family":"Albert","given":"Christian","non-dropping-particle":"","parse-names":false,"suffix":""}],"container-title":"Sustainable Development","id":"ITEM-2","issue":"2","issued":{"date-parts":[["2022"]]},"page":"393-405","title":"Knowledge co-production and researcher roles in transdisciplinary environmental management projects","type":"article-journal","volume":"30"},"uris":["http://www.mendeley.com/documents/?uuid=1176cab8-7afa-49d2-b49e-808c2ad5ad43"]}],"mendeley":{"formattedCitation":"(Kruijf et al., 2022; Doll &amp; Walby, 2019)","plainTextFormattedCitation":"(Kruijf et al., 2022; Doll &amp; Walby, 2019)","previouslyFormattedCitation":"(Kruijf et al., 2022; Doll &amp; Walby, 2019)"},"properties":{"noteIndex":0},"schema":"https://github.com/citation-style-language/schema/raw/master/csl-citation.json"}</w:instrText>
      </w:r>
      <w:r w:rsidRPr="00A0151B">
        <w:rPr>
          <w:rFonts w:cs="Calibri"/>
          <w:color w:val="000000"/>
          <w:lang w:eastAsia="zh-CN"/>
        </w:rPr>
        <w:fldChar w:fldCharType="separate"/>
      </w:r>
      <w:r w:rsidRPr="00A0151B">
        <w:rPr>
          <w:rFonts w:cs="Calibri"/>
          <w:noProof/>
          <w:color w:val="000000"/>
          <w:lang w:eastAsia="zh-CN"/>
        </w:rPr>
        <w:t>(Kruijf et al., 2022; Doll &amp; Walby, 2019)</w:t>
      </w:r>
      <w:r w:rsidRPr="00A0151B">
        <w:rPr>
          <w:rFonts w:cs="Calibri"/>
          <w:color w:val="000000"/>
          <w:lang w:eastAsia="zh-CN"/>
        </w:rPr>
        <w:fldChar w:fldCharType="end"/>
      </w:r>
      <w:r w:rsidRPr="00A0151B">
        <w:rPr>
          <w:rFonts w:cs="Calibri"/>
          <w:color w:val="000000"/>
          <w:lang w:eastAsia="zh-CN"/>
        </w:rPr>
        <w:t xml:space="preserve">. Within this project, this reflection was done using a researcher diary. </w:t>
      </w:r>
    </w:p>
    <w:p w14:paraId="70816EE5" w14:textId="77777777" w:rsidR="00976B46" w:rsidRPr="00A0151B" w:rsidRDefault="00976B46">
      <w:pPr>
        <w:suppressAutoHyphens w:val="0"/>
        <w:overflowPunct/>
        <w:rPr>
          <w:rFonts w:cs="Calibri"/>
          <w:color w:val="000000"/>
          <w:lang w:eastAsia="zh-CN"/>
        </w:rPr>
      </w:pPr>
    </w:p>
    <w:p w14:paraId="30883FAD" w14:textId="17D09924" w:rsidR="006A0F18" w:rsidRPr="00A0151B" w:rsidRDefault="006A0F18" w:rsidP="00A0151B">
      <w:pPr>
        <w:suppressAutoHyphens w:val="0"/>
        <w:overflowPunct/>
        <w:rPr>
          <w:rFonts w:cs="Calibri"/>
          <w:lang w:eastAsia="zh-CN"/>
        </w:rPr>
      </w:pPr>
      <w:r w:rsidRPr="00A0151B">
        <w:rPr>
          <w:rFonts w:cs="Calibri"/>
          <w:color w:val="000000"/>
          <w:lang w:eastAsia="zh-CN"/>
        </w:rPr>
        <w:t>I wrote a detailed researcher diary during my internship with SYFR</w:t>
      </w:r>
      <w:r w:rsidR="00A7510A">
        <w:rPr>
          <w:rFonts w:cs="Calibri"/>
          <w:color w:val="000000"/>
          <w:lang w:eastAsia="zh-CN"/>
        </w:rPr>
        <w:t>,</w:t>
      </w:r>
      <w:r w:rsidRPr="00A0151B">
        <w:rPr>
          <w:rFonts w:cs="Calibri"/>
          <w:color w:val="000000"/>
          <w:lang w:eastAsia="zh-CN"/>
        </w:rPr>
        <w:t xml:space="preserve"> and continued to update my diary throughout the data collection period. The use of a researcher diary enabled me to reflect on my interactions and conversations to ensure I was maintaining academic rigour throughout the data collection process. </w:t>
      </w:r>
      <w:r w:rsidR="00976B46" w:rsidRPr="00A0151B">
        <w:rPr>
          <w:rFonts w:cs="Calibri"/>
          <w:color w:val="000000"/>
          <w:lang w:eastAsia="zh-CN"/>
        </w:rPr>
        <w:t>I utilised the researcher diary throughout the process but found it particularly helpful during the write-up phase of the project, especially when reflecting on COVID-19. During the initial months of COVID-19</w:t>
      </w:r>
      <w:r w:rsidR="00A7510A">
        <w:rPr>
          <w:rFonts w:cs="Calibri"/>
          <w:color w:val="000000"/>
          <w:lang w:eastAsia="zh-CN"/>
        </w:rPr>
        <w:t>,</w:t>
      </w:r>
      <w:r w:rsidR="00976B46" w:rsidRPr="00A0151B">
        <w:rPr>
          <w:rFonts w:cs="Calibri"/>
          <w:color w:val="000000"/>
          <w:lang w:eastAsia="zh-CN"/>
        </w:rPr>
        <w:t xml:space="preserve"> I used my researcher </w:t>
      </w:r>
      <w:r w:rsidR="00976B46" w:rsidRPr="00A0151B">
        <w:rPr>
          <w:rFonts w:cs="Calibri"/>
          <w:color w:val="000000"/>
          <w:lang w:eastAsia="zh-CN"/>
        </w:rPr>
        <w:lastRenderedPageBreak/>
        <w:t>diary to help me process the changes required for the research, but also the challenges COVID-19 was causing in my personal life, namely being separated from friends and family. Throughout the write-up phase</w:t>
      </w:r>
      <w:r w:rsidR="00A7510A">
        <w:rPr>
          <w:rFonts w:cs="Calibri"/>
          <w:color w:val="000000"/>
          <w:lang w:eastAsia="zh-CN"/>
        </w:rPr>
        <w:t>,</w:t>
      </w:r>
      <w:r w:rsidR="00976B46" w:rsidRPr="00A0151B">
        <w:rPr>
          <w:rFonts w:cs="Calibri"/>
          <w:color w:val="000000"/>
          <w:lang w:eastAsia="zh-CN"/>
        </w:rPr>
        <w:t xml:space="preserve"> I was able to revisit my feelings and understanding at that time. As with all experiences, hindsight can change our perception of events. </w:t>
      </w:r>
      <w:r w:rsidR="00761E2A" w:rsidRPr="00A0151B">
        <w:rPr>
          <w:rFonts w:cs="Calibri"/>
          <w:color w:val="000000"/>
          <w:lang w:eastAsia="zh-CN"/>
        </w:rPr>
        <w:t>Therefore,</w:t>
      </w:r>
      <w:r w:rsidR="00976B46" w:rsidRPr="00A0151B">
        <w:rPr>
          <w:rFonts w:cs="Calibri"/>
          <w:color w:val="000000"/>
          <w:lang w:eastAsia="zh-CN"/>
        </w:rPr>
        <w:t xml:space="preserve"> having a researcher diary which showed my feelings and thoughts at the time it was happening was invaluable. </w:t>
      </w:r>
    </w:p>
    <w:p w14:paraId="75FFACAE" w14:textId="77777777" w:rsidR="006A0F18" w:rsidRPr="00AE7E37" w:rsidRDefault="006A0F18" w:rsidP="00866155">
      <w:pPr>
        <w:rPr>
          <w:rFonts w:eastAsia="Calibri" w:cs="Calibri"/>
          <w:color w:val="000000"/>
        </w:rPr>
      </w:pPr>
    </w:p>
    <w:p w14:paraId="6C90916F" w14:textId="77777777" w:rsidR="00787F73" w:rsidRDefault="00742FB7" w:rsidP="00866155">
      <w:r>
        <w:rPr>
          <w:rFonts w:eastAsia="Calibri" w:cs="Calibri"/>
          <w:color w:val="000000"/>
        </w:rPr>
        <w:t>This methodological approach is a contribution to the methodology literature, not only for the use of IE, but also for its use with an FRS in the UK. The internship was cut short due to the national lockdown for COVID-19; however, I quickly adapted the project so that it could be conducted remotely, and due to the relationships already created in-person, I was able to continue collecting data via telephone interviews. This is also a contribution to the methodology literature, exploring how IE can be used remotely.</w:t>
      </w:r>
    </w:p>
    <w:p w14:paraId="012843D8" w14:textId="77777777" w:rsidR="00787F73" w:rsidRDefault="00787F73" w:rsidP="00866155">
      <w:pPr>
        <w:rPr>
          <w:rFonts w:eastAsia="Calibri" w:cs="Calibri"/>
          <w:iCs/>
          <w:color w:val="000000"/>
        </w:rPr>
      </w:pPr>
    </w:p>
    <w:p w14:paraId="00BF53F8" w14:textId="77777777" w:rsidR="00787F73" w:rsidRDefault="00742FB7" w:rsidP="00866155">
      <w:r>
        <w:rPr>
          <w:rFonts w:eastAsia="Calibri" w:cs="Calibri"/>
          <w:iCs/>
          <w:color w:val="000000"/>
        </w:rPr>
        <w:t>The following sections will explore the three different methods within IE: observations; semi-structured interviews; and texts. It will look at how they were utilised and conducted, and the benefits and challenges associated with each method.</w:t>
      </w:r>
    </w:p>
    <w:p w14:paraId="470501CC" w14:textId="77777777" w:rsidR="00787F73" w:rsidRDefault="00787F73" w:rsidP="00866155">
      <w:pPr>
        <w:rPr>
          <w:rFonts w:eastAsia="Calibri" w:cs="Calibri"/>
          <w:iCs/>
          <w:color w:val="000000"/>
        </w:rPr>
      </w:pPr>
    </w:p>
    <w:p w14:paraId="2622D6FF" w14:textId="77777777" w:rsidR="00787F73" w:rsidRDefault="00742FB7" w:rsidP="00866155">
      <w:pPr>
        <w:pStyle w:val="Heading5"/>
        <w:spacing w:line="360" w:lineRule="auto"/>
      </w:pPr>
      <w:bookmarkStart w:id="587" w:name="_Toc145281036"/>
      <w:bookmarkStart w:id="588" w:name="_Toc98148391"/>
      <w:bookmarkStart w:id="589" w:name="_Toc147765749"/>
      <w:bookmarkStart w:id="590" w:name="_Toc141888848"/>
      <w:r>
        <w:rPr>
          <w:rFonts w:ascii="Calibri" w:hAnsi="Calibri" w:cs="Calibri"/>
        </w:rPr>
        <w:t>SYFR Observations</w:t>
      </w:r>
      <w:bookmarkEnd w:id="587"/>
      <w:bookmarkEnd w:id="588"/>
      <w:bookmarkEnd w:id="589"/>
      <w:bookmarkEnd w:id="590"/>
    </w:p>
    <w:p w14:paraId="219EC4BD" w14:textId="7B67637E" w:rsidR="00787F73" w:rsidRDefault="00742FB7" w:rsidP="00866155">
      <w:r>
        <w:rPr>
          <w:rFonts w:cs="Calibri"/>
          <w:lang w:eastAsia="en-US"/>
        </w:rPr>
        <w:t xml:space="preserve">The observations were collected while conducting the internship at SYFR’s Headquarters and attending events and conferences with the SYFR Communications team. </w:t>
      </w:r>
      <w:r>
        <w:rPr>
          <w:rFonts w:cs="Calibri"/>
        </w:rPr>
        <w:t>This element of IE was most difficult to complete due to the logistical challenges of data collection. In SYFR HQ, the Communications team all sat together on 4 desks with other teams surrounding them</w:t>
      </w:r>
      <w:r w:rsidR="004E4FE5">
        <w:rPr>
          <w:rFonts w:cs="Calibri"/>
        </w:rPr>
        <w:t>.</w:t>
      </w:r>
      <w:r>
        <w:rPr>
          <w:rFonts w:cs="Calibri"/>
        </w:rPr>
        <w:t xml:space="preserve"> </w:t>
      </w:r>
      <w:r w:rsidR="004E4FE5">
        <w:rPr>
          <w:rFonts w:cs="Calibri"/>
        </w:rPr>
        <w:t>T</w:t>
      </w:r>
      <w:r>
        <w:rPr>
          <w:rFonts w:cs="Calibri"/>
        </w:rPr>
        <w:t xml:space="preserve">his meant that when the full team was in, I was unable to sit with them, so I could only come into the office when a member of the team was away. This became even more challenging after the COVID-19 restrictions came into force, as I was unable to attend the SYFR HQ in person. This meant that the collection of observations was only possible on 12 days. These observations included working within the HQ offices as well as attending events with SYFR (see Appendix 1), such as the FirePro conference and the Asian Fire Service Association conference. This enabled me to observe the Communications team interacting with different departments within SYFR, but also within broader institutional contexts such </w:t>
      </w:r>
      <w:r>
        <w:rPr>
          <w:rFonts w:cs="Calibri"/>
        </w:rPr>
        <w:lastRenderedPageBreak/>
        <w:t>as the FirePro event (a conference organised by and for FRS communications teams across England to get together and discuss communication strategies) or the AFSA event (a conference focusing on inclusion and diversity within the FRS) which was attended by members of FRS across the UK.</w:t>
      </w:r>
    </w:p>
    <w:p w14:paraId="62EE40CD" w14:textId="77777777" w:rsidR="00787F73" w:rsidRDefault="00787F73" w:rsidP="00866155">
      <w:pPr>
        <w:rPr>
          <w:rFonts w:cs="Calibri"/>
        </w:rPr>
      </w:pPr>
    </w:p>
    <w:p w14:paraId="6938F6E0" w14:textId="77777777" w:rsidR="00787F73" w:rsidRDefault="00742FB7" w:rsidP="00866155">
      <w:r>
        <w:rPr>
          <w:rFonts w:cs="Calibri"/>
        </w:rPr>
        <w:t xml:space="preserve">The observations were collected using a researcher diary which can be described as scaffolding the construction of knowledge or the interpretation of interpretation </w:t>
      </w:r>
      <w:r>
        <w:fldChar w:fldCharType="begin" w:fldLock="1"/>
      </w:r>
      <w:r>
        <w:rPr>
          <w:rFonts w:cs="Calibri"/>
        </w:rPr>
        <w:instrText>ADDIN CSL_CITATION {"citationItems":[{"id":"ITEM-1","itemData":{"DOI":"10.1108/11766090610705407","ISBN":"0368492081090","ISSN":"11766093","abstract":"Purpose – To provide a practical example of how a research diary can be used to aid reflexivity in the research process. Whilst there have been increasing calls for reflexivity in management research, little has been written about how to “do” reflexivity in practice. Design/methodology/approach – Qualitative data from the first author's research diary which relate to three distinctive experiences are used as analytical examples. Findings – The research diary was a valuable tool, prompting insights which informed a variety of methodological and theoretical decisions in relation to the research. Practical implications – Suggests that all researchers should systematically use a research diary, regardless of epistemological position. However, what is needed first and foremost is a commitment to the pursuit of reflexivity and awareness on ones' own epistemological assumptions. Originality/value – The paper gives a practical example of how to practice reflexivity, something which is lacking in the current literature. It is intended to be of use to those management researchers interested in pursuing reflexive research.","author":[{"dropping-particle":"","family":"Nadin","given":"Sara","non-dropping-particle":"","parse-names":false,"suffix":""},{"dropping-particle":"","family":"Cassell","given":"Catherine","non-dropping-particle":"","parse-names":false,"suffix":""}],"container-title":"Qualitative Research in Accounting &amp; Management","id":"ITEM-1","issue":"3","issued":{"date-parts":[["2006"]]},"page":"208-217","title":"The use of a research diary as a tool for reflexive practice: Some reflections from management research","type":"article-journal","volume":"3"},"uris":["http://www.mendeley.com/documents/?uuid=b837b27e-3408-4766-bcc0-658cf64b25f7"]},{"id":"ITEM-2","itemData":{"DOI":"10.1177/160940691101000308","ISBN":"1609-4069","ISSN":"1609-4069","abstract":"Diaries have long been seen as tools for reflection in learning languages, and learning about teaching. Despite this recognition of the importance of narratives in diary writing, little attention has been paid to the role of research diaries in the process of learning about research, and learning how to be a researcher. During the author’s own research into the construction of teaching knowledge by pre-service trainees, she became aware that her research diary was scaffolding her own construction of research knowledge. In this article the author discusses the role of a research diary based on a socio-cultural theory of learning. The diary acts as the expert other in the scaffolding of research knowledge by the novice researcher. The discussion of the nature of the scaffolding and the role of diary writing draws on examples from the author’s research diary written during her doctoral studies.","author":[{"dropping-particle":"","family":"Engin","given":"Marion","non-dropping-particle":"","parse-names":false,"suffix":""}],"container-title":"International Journal of Qualitative Methods","id":"ITEM-2","issue":"3","issued":{"date-parts":[["2011"]]},"page":"296-306","title":"Research Diary: A Tool for Scaffolding","type":"article-journal","volume":"10"},"uris":["http://www.mendeley.com/documents/?uuid=8c4d4ff1-b629-4cfa-be55-926710231b60"]}],"mendeley":{"formattedCitation":"(Engin, 2011; Nadin &amp; Cassell, 2006)","plainTextFormattedCitation":"(Engin, 2011; Nadin &amp; Cassell, 2006)","previouslyFormattedCitation":"(Engin, 2011; Nadin &amp; Cassell, 2006)"},"properties":{"noteIndex":0},"schema":"https://github.com/citation-style-language/schema/raw/master/csl-citation.json"}</w:instrText>
      </w:r>
      <w:r>
        <w:rPr>
          <w:rFonts w:cs="Calibri"/>
        </w:rPr>
        <w:fldChar w:fldCharType="separate"/>
      </w:r>
      <w:r>
        <w:rPr>
          <w:rFonts w:cs="Calibri"/>
          <w:noProof/>
        </w:rPr>
        <w:t>(Engin, 2011; Nadin &amp; Cassell, 2006)</w:t>
      </w:r>
      <w:r>
        <w:rPr>
          <w:rFonts w:cs="Calibri"/>
        </w:rPr>
        <w:fldChar w:fldCharType="end"/>
      </w:r>
      <w:r>
        <w:rPr>
          <w:rFonts w:cs="Calibri"/>
        </w:rPr>
        <w:t xml:space="preserve">. Researcher diaries can provide many functions including the collation of observations during data collection, the ability to explore methodological issues, justifications of decisions made, supplementing the content of interviews, helping keep track of the research process, exploring ideas and hunches, observing myself as a researcher, </w:t>
      </w:r>
      <w:r>
        <w:rPr>
          <w:rFonts w:cs="Calibri"/>
          <w:color w:val="000000"/>
        </w:rPr>
        <w:t>practising</w:t>
      </w:r>
      <w:r>
        <w:rPr>
          <w:rFonts w:cs="Calibri"/>
        </w:rPr>
        <w:t xml:space="preserve"> reflexivity, and helping the researcher explore their epistemological understanding </w:t>
      </w:r>
      <w:r>
        <w:fldChar w:fldCharType="begin" w:fldLock="1"/>
      </w:r>
      <w:r>
        <w:rPr>
          <w:rFonts w:cs="Calibri"/>
        </w:rPr>
        <w:instrText>ADDIN CSL_CITATION {"citationItems":[{"id":"ITEM-1","itemData":{"DOI":"10.1108/11766090610705407","ISBN":"0368492081090","ISSN":"11766093","abstract":"Purpose – To provide a practical example of how a research diary can be used to aid reflexivity in the research process. Whilst there have been increasing calls for reflexivity in management research, little has been written about how to “do” reflexivity in practice. Design/methodology/approach – Qualitative data from the first author's research diary which relate to three distinctive experiences are used as analytical examples. Findings – The research diary was a valuable tool, prompting insights which informed a variety of methodological and theoretical decisions in relation to the research. Practical implications – Suggests that all researchers should systematically use a research diary, regardless of epistemological position. However, what is needed first and foremost is a commitment to the pursuit of reflexivity and awareness on ones' own epistemological assumptions. Originality/value – The paper gives a practical example of how to practice reflexivity, something which is lacking in the current literature. It is intended to be of use to those management researchers interested in pursuing reflexive research.","author":[{"dropping-particle":"","family":"Nadin","given":"Sara","non-dropping-particle":"","parse-names":false,"suffix":""},{"dropping-particle":"","family":"Cassell","given":"Catherine","non-dropping-particle":"","parse-names":false,"suffix":""}],"container-title":"Qualitative Research in Accounting &amp; Management","id":"ITEM-1","issue":"3","issued":{"date-parts":[["2006"]]},"page":"208-217","title":"The use of a research diary as a tool for reflexive practice: Some reflections from management research","type":"article-journal","volume":"3"},"uris":["http://www.mendeley.com/documents/?uuid=b837b27e-3408-4766-bcc0-658cf64b25f7"]},{"id":"ITEM-2","itemData":{"DOI":"10.1177/160940691101000308","ISBN":"1609-4069","ISSN":"1609-4069","abstract":"Diaries have long been seen as tools for reflection in learning languages, and learning about teaching. Despite this recognition of the importance of narratives in diary writing, little attention has been paid to the role of research diaries in the process of learning about research, and learning how to be a researcher. During the author’s own research into the construction of teaching knowledge by pre-service trainees, she became aware that her research diary was scaffolding her own construction of research knowledge. In this article the author discusses the role of a research diary based on a socio-cultural theory of learning. The diary acts as the expert other in the scaffolding of research knowledge by the novice researcher. The discussion of the nature of the scaffolding and the role of diary writing draws on examples from the author’s research diary written during her doctoral studies.","author":[{"dropping-particle":"","family":"Engin","given":"Marion","non-dropping-particle":"","parse-names":false,"suffix":""}],"container-title":"International Journal of Qualitative Methods","id":"ITEM-2","issue":"3","issued":{"date-parts":[["2011"]]},"page":"296-306","title":"Research Diary: A Tool for Scaffolding","type":"article-journal","volume":"10"},"uris":["http://www.mendeley.com/documents/?uuid=8c4d4ff1-b629-4cfa-be55-926710231b60"]},{"id":"ITEM-3","itemData":{"DOI":"10.1080/0305764810110106","ISBN":"0305764810","ISSN":"14693577","PMID":"3601","abstract":"wiederabgedruckt in Bryman &amp; Burgess (1999: 256–262)","author":[{"dropping-particle":"","family":"Burgess","given":"Robert G.","non-dropping-particle":"","parse-names":false,"suffix":""}],"container-title":"Cambridge Journal of Education","id":"ITEM-3","issue":"1","issued":{"date-parts":[["1981"]]},"page":"75-83","title":"Keeping a research diary","type":"article-journal","volume":"11"},"uris":["http://www.mendeley.com/documents/?uuid=66eca143-d6ac-4377-8551-682342afc045"]}],"mendeley":{"formattedCitation":"(Engin, 2011; Nadin &amp; Cassell, 2006; Burgess, 1981)","plainTextFormattedCitation":"(Engin, 2011; Nadin &amp; Cassell, 2006; Burgess, 1981)","previouslyFormattedCitation":"(Engin, 2011; Nadin &amp; Cassell, 2006; Burgess, 1981)"},"properties":{"noteIndex":0},"schema":"https://github.com/citation-style-language/schema/raw/master/csl-citation.json"}</w:instrText>
      </w:r>
      <w:r>
        <w:rPr>
          <w:rFonts w:cs="Calibri"/>
        </w:rPr>
        <w:fldChar w:fldCharType="separate"/>
      </w:r>
      <w:r>
        <w:rPr>
          <w:rFonts w:cs="Calibri"/>
          <w:noProof/>
        </w:rPr>
        <w:t>(Engin, 2011; Nadin &amp; Cassell, 2006; Burgess, 1981)</w:t>
      </w:r>
      <w:r>
        <w:rPr>
          <w:rFonts w:cs="Calibri"/>
        </w:rPr>
        <w:fldChar w:fldCharType="end"/>
      </w:r>
      <w:r>
        <w:rPr>
          <w:rFonts w:cs="Calibri"/>
        </w:rPr>
        <w:t>. The diary was also used to reflect on data collected, including the texts, such as the SYFR external communication strategy, and the semi-structured interviews.</w:t>
      </w:r>
    </w:p>
    <w:p w14:paraId="4963D9A0" w14:textId="77777777" w:rsidR="00787F73" w:rsidRDefault="00787F73" w:rsidP="00866155">
      <w:pPr>
        <w:rPr>
          <w:rFonts w:cs="Calibri"/>
        </w:rPr>
      </w:pPr>
    </w:p>
    <w:p w14:paraId="16A09855" w14:textId="77777777" w:rsidR="00787F73" w:rsidRDefault="00742FB7" w:rsidP="00866155">
      <w:pPr>
        <w:pStyle w:val="Heading5"/>
        <w:spacing w:line="360" w:lineRule="auto"/>
      </w:pPr>
      <w:bookmarkStart w:id="591" w:name="_heading=h.3j2qqm3"/>
      <w:bookmarkStart w:id="592" w:name="_Toc98148389"/>
      <w:bookmarkStart w:id="593" w:name="_Toc145281035"/>
      <w:bookmarkStart w:id="594" w:name="_Toc147765750"/>
      <w:bookmarkStart w:id="595" w:name="_Toc141888846"/>
      <w:bookmarkEnd w:id="591"/>
      <w:r>
        <w:rPr>
          <w:rFonts w:ascii="Calibri" w:hAnsi="Calibri" w:cs="Calibri"/>
        </w:rPr>
        <w:t>Semi-Structured interviews</w:t>
      </w:r>
      <w:bookmarkEnd w:id="592"/>
      <w:bookmarkEnd w:id="593"/>
      <w:bookmarkEnd w:id="594"/>
      <w:bookmarkEnd w:id="595"/>
    </w:p>
    <w:p w14:paraId="2A00BA1D" w14:textId="77777777" w:rsidR="00787F73" w:rsidRDefault="00742FB7" w:rsidP="00B52275">
      <w:pPr>
        <w:rPr>
          <w:rFonts w:cs="Calibri"/>
        </w:rPr>
      </w:pPr>
      <w:r>
        <w:rPr>
          <w:rFonts w:cs="Calibri"/>
        </w:rPr>
        <w:t xml:space="preserve">As part of the IE approach, semi-structured interviews were conducted with members of SYFR from January 2019 to September 2021. Prior to March 2020, interviews were conducted in person at SYFR’s HQ; due to COVID-19 restrictions all interviews after March 2020 were either conducted via telephone or video call. </w:t>
      </w:r>
      <w:r w:rsidR="008C0D41">
        <w:rPr>
          <w:rFonts w:cs="Calibri"/>
        </w:rPr>
        <w:t xml:space="preserve"> This project is focusing on communication, and as such predominantly worked with SYFR</w:t>
      </w:r>
      <w:r w:rsidR="00605521">
        <w:rPr>
          <w:rFonts w:cs="Calibri"/>
        </w:rPr>
        <w:t>’</w:t>
      </w:r>
      <w:r w:rsidR="008C0D41">
        <w:rPr>
          <w:rFonts w:cs="Calibri"/>
        </w:rPr>
        <w:t xml:space="preserve">s </w:t>
      </w:r>
      <w:r w:rsidR="00605521">
        <w:rPr>
          <w:rFonts w:cs="Calibri"/>
        </w:rPr>
        <w:t>C</w:t>
      </w:r>
      <w:r w:rsidR="008C0D41">
        <w:rPr>
          <w:rFonts w:cs="Calibri"/>
        </w:rPr>
        <w:t xml:space="preserve">ommunications team. The </w:t>
      </w:r>
      <w:r w:rsidR="00605521">
        <w:rPr>
          <w:rFonts w:cs="Calibri"/>
        </w:rPr>
        <w:t>C</w:t>
      </w:r>
      <w:r w:rsidR="008C0D41">
        <w:rPr>
          <w:rFonts w:cs="Calibri"/>
        </w:rPr>
        <w:t>ommunications team had four team members: a Strategic Manager (SM); a Campaigns Manager (CM); and two additional team members. I also conducted interviews with a team member from the Emergency Planning, and Community Safety teams.</w:t>
      </w:r>
      <w:r w:rsidR="0067686A">
        <w:rPr>
          <w:rFonts w:cs="Calibri"/>
        </w:rPr>
        <w:t xml:space="preserve"> </w:t>
      </w:r>
      <w:r w:rsidR="00B52275">
        <w:rPr>
          <w:rFonts w:cs="Calibri"/>
        </w:rPr>
        <w:t xml:space="preserve"> </w:t>
      </w:r>
      <w:r>
        <w:rPr>
          <w:rFonts w:cs="Calibri"/>
        </w:rPr>
        <w:t>Appendix 1 details the dates of the data collection and notes the COVID-19 legal restrictions in place at the time.</w:t>
      </w:r>
    </w:p>
    <w:p w14:paraId="78F0BE14" w14:textId="77777777" w:rsidR="00B52275" w:rsidRDefault="00B52275" w:rsidP="00B52275">
      <w:pPr>
        <w:rPr>
          <w:rFonts w:cs="Calibri"/>
        </w:rPr>
      </w:pPr>
    </w:p>
    <w:p w14:paraId="587BD813" w14:textId="38BAB289" w:rsidR="00174010" w:rsidRDefault="00B52275" w:rsidP="00E34B1E">
      <w:pPr>
        <w:rPr>
          <w:rFonts w:cs="Calibri"/>
        </w:rPr>
      </w:pPr>
      <w:r>
        <w:rPr>
          <w:rFonts w:cs="Calibri"/>
        </w:rPr>
        <w:t>Within research</w:t>
      </w:r>
      <w:r w:rsidR="00174010">
        <w:rPr>
          <w:rFonts w:cs="Calibri"/>
        </w:rPr>
        <w:t>,</w:t>
      </w:r>
      <w:r>
        <w:rPr>
          <w:rFonts w:cs="Calibri"/>
        </w:rPr>
        <w:t xml:space="preserve"> there is often a focus on data saturation, or </w:t>
      </w:r>
      <w:r w:rsidRPr="00A84256">
        <w:rPr>
          <w:rFonts w:cs="Calibri"/>
          <w:i/>
          <w:iCs/>
        </w:rPr>
        <w:t xml:space="preserve">information </w:t>
      </w:r>
      <w:r w:rsidRPr="0067686A">
        <w:rPr>
          <w:rFonts w:cs="Calibri"/>
          <w:i/>
          <w:iCs/>
        </w:rPr>
        <w:t>redundancy</w:t>
      </w:r>
      <w:r>
        <w:rPr>
          <w:rFonts w:cs="Calibri"/>
        </w:rPr>
        <w:t xml:space="preserve">, referring to when you have gained a ‘complete’ data set and can finish data collection </w:t>
      </w:r>
      <w:r>
        <w:rPr>
          <w:rFonts w:cs="Calibri"/>
        </w:rPr>
        <w:fldChar w:fldCharType="begin" w:fldLock="1"/>
      </w:r>
      <w:r>
        <w:rPr>
          <w:rFonts w:cs="Calibri"/>
        </w:rPr>
        <w:instrText>ADDIN CSL_CITATION {"citationItems":[{"id":"ITEM-1","itemData":{"DOI":"10.1080/2159676X.2019.1704846","ISSN":"1939845X","abstract":"The concept of data saturation, defined as ‘information redundancy’ or the point at which no new themes or codes ‘emerge’ from data, is widely referenced in thematic analysis (TA) research in sport and exercise, and beyond. Several researchers have sought to ‘operationalise’ data saturation and provide concrete guidance on how many interviews, or focus groups, are enough to achieve some degree of data saturation in TA research. Our disagreement with such attempts to ‘capture’ data saturation for TA led us to this commentary. Here, we contribute to critical discussions of the saturation concept in qualitative research by interrogating the assumptions around the practice and procedures of TA that inform these data saturation ‘experiments’, and the conceptualisation of saturation as information redundancy. We argue that although the concepts of data-, thematic- or code-saturation, and even meaning-saturation, are coherent with the neo-positivist, discovery-oriented, meaning excavation project of coding reliability types of TA, they are not consistent with the values and assumptions of reflexive TA. We encourage sport and exercise and other researchers using reflexive TA to dwell with uncertainty and recognise that meaning is generated through interpretation of, not excavated from, data, and therefore judgements about ‘how many’ data items, and when to stop data collection, are inescapably situated and subjective, and cannot be determined (wholly) in advance of analysis.","author":[{"dropping-particle":"","family":"Braun","given":"Virginia","non-dropping-particle":"","parse-names":false,"suffix":""},{"dropping-particle":"","family":"Clarke","given":"Victoria","non-dropping-particle":"","parse-names":false,"suffix":""}],"container-title":"Qualitative Research in Sport, Exercise and Health","id":"ITEM-1","issue":"2","issued":{"date-parts":[["2021"]]},"page":"201-216","title":"To saturate or not to saturate? Questioning data saturation as a useful concept for thematic analysis and sample-size rationales","type":"article-journal","volume":"13"},"uris":["http://www.mendeley.com/documents/?uuid=d3b18f66-0948-43b9-9806-30832464ef3c"]}],"mendeley":{"formattedCitation":"(Braun &amp; Clarke, 2021a)","plainTextFormattedCitation":"(Braun &amp; Clarke, 2021a)","previouslyFormattedCitation":"(Braun &amp; Clarke, 2021a)"},"properties":{"noteIndex":0},"schema":"https://github.com/citation-style-language/schema/raw/master/csl-citation.json"}</w:instrText>
      </w:r>
      <w:r>
        <w:rPr>
          <w:rFonts w:cs="Calibri"/>
        </w:rPr>
        <w:fldChar w:fldCharType="separate"/>
      </w:r>
      <w:r w:rsidRPr="0067686A">
        <w:rPr>
          <w:rFonts w:cs="Calibri"/>
          <w:noProof/>
        </w:rPr>
        <w:t>(Braun &amp; Clarke, 2021a)</w:t>
      </w:r>
      <w:r>
        <w:rPr>
          <w:rFonts w:cs="Calibri"/>
        </w:rPr>
        <w:fldChar w:fldCharType="end"/>
      </w:r>
      <w:r>
        <w:rPr>
          <w:rFonts w:cs="Calibri"/>
        </w:rPr>
        <w:t xml:space="preserve">. The use of saturation for sample sizes can be viewed as following a </w:t>
      </w:r>
      <w:r>
        <w:rPr>
          <w:rFonts w:cs="Calibri"/>
        </w:rPr>
        <w:lastRenderedPageBreak/>
        <w:t>positivist approach to research, namely subscribing a quantitative measure to the data, however</w:t>
      </w:r>
      <w:r w:rsidR="00174010">
        <w:rPr>
          <w:rFonts w:cs="Calibri"/>
        </w:rPr>
        <w:t>,</w:t>
      </w:r>
      <w:r>
        <w:rPr>
          <w:rFonts w:cs="Calibri"/>
        </w:rPr>
        <w:t xml:space="preserve"> this research is following an interpretivist approach. For the data collected with SYFR, I interviewed everyone within the </w:t>
      </w:r>
      <w:r w:rsidR="00605521">
        <w:rPr>
          <w:rFonts w:cs="Calibri"/>
        </w:rPr>
        <w:t>C</w:t>
      </w:r>
      <w:r>
        <w:rPr>
          <w:rFonts w:cs="Calibri"/>
        </w:rPr>
        <w:t>ommunications team who worked on external communication</w:t>
      </w:r>
      <w:r w:rsidR="00D9078C">
        <w:rPr>
          <w:rFonts w:cs="Calibri"/>
        </w:rPr>
        <w:t>s</w:t>
      </w:r>
      <w:r>
        <w:rPr>
          <w:rFonts w:cs="Calibri"/>
        </w:rPr>
        <w:t>.</w:t>
      </w:r>
      <w:r w:rsidR="007F0A76">
        <w:rPr>
          <w:rFonts w:cs="Calibri"/>
        </w:rPr>
        <w:t xml:space="preserve"> Throughout the data collection </w:t>
      </w:r>
      <w:r w:rsidR="00E34B1E">
        <w:rPr>
          <w:rFonts w:cs="Calibri"/>
        </w:rPr>
        <w:t>process,</w:t>
      </w:r>
      <w:r w:rsidR="007F0A76">
        <w:rPr>
          <w:rFonts w:cs="Calibri"/>
        </w:rPr>
        <w:t xml:space="preserve"> I worked closely with the communications team, not only conducting a series of interviews, but also spending time with them </w:t>
      </w:r>
      <w:r w:rsidR="00E34B1E">
        <w:rPr>
          <w:rFonts w:cs="Calibri"/>
        </w:rPr>
        <w:t>during my internship. Whil</w:t>
      </w:r>
      <w:r w:rsidR="00174010">
        <w:rPr>
          <w:rFonts w:cs="Calibri"/>
        </w:rPr>
        <w:t xml:space="preserve">e </w:t>
      </w:r>
      <w:r w:rsidR="00E34B1E">
        <w:rPr>
          <w:rFonts w:cs="Calibri"/>
        </w:rPr>
        <w:t>conducting the internship</w:t>
      </w:r>
      <w:r w:rsidR="00174010">
        <w:rPr>
          <w:rFonts w:cs="Calibri"/>
        </w:rPr>
        <w:t>,</w:t>
      </w:r>
      <w:r w:rsidR="00E34B1E">
        <w:rPr>
          <w:rFonts w:cs="Calibri"/>
        </w:rPr>
        <w:t xml:space="preserve"> I work</w:t>
      </w:r>
      <w:r w:rsidR="00D9078C">
        <w:rPr>
          <w:rFonts w:cs="Calibri"/>
        </w:rPr>
        <w:t>ed</w:t>
      </w:r>
      <w:r w:rsidR="00E34B1E">
        <w:rPr>
          <w:rFonts w:cs="Calibri"/>
        </w:rPr>
        <w:t xml:space="preserve"> </w:t>
      </w:r>
      <w:r w:rsidR="00174010">
        <w:rPr>
          <w:rFonts w:cs="Calibri"/>
        </w:rPr>
        <w:t>alongside</w:t>
      </w:r>
      <w:r w:rsidR="00E34B1E">
        <w:rPr>
          <w:rFonts w:cs="Calibri"/>
        </w:rPr>
        <w:t xml:space="preserve"> </w:t>
      </w:r>
      <w:r w:rsidR="00174010">
        <w:rPr>
          <w:rFonts w:cs="Calibri"/>
        </w:rPr>
        <w:t xml:space="preserve">them, and </w:t>
      </w:r>
      <w:r w:rsidR="00E34B1E">
        <w:rPr>
          <w:rFonts w:cs="Calibri"/>
        </w:rPr>
        <w:t xml:space="preserve">had lunch and coffee breaks with them. When the COVID-19 lockdowns happened, </w:t>
      </w:r>
      <w:r w:rsidR="00174010">
        <w:rPr>
          <w:rFonts w:cs="Calibri"/>
        </w:rPr>
        <w:t>we were</w:t>
      </w:r>
      <w:r w:rsidR="00E34B1E">
        <w:rPr>
          <w:rFonts w:cs="Calibri"/>
        </w:rPr>
        <w:t xml:space="preserve"> in regular contac</w:t>
      </w:r>
      <w:r w:rsidR="00174010">
        <w:rPr>
          <w:rFonts w:cs="Calibri"/>
        </w:rPr>
        <w:t>t</w:t>
      </w:r>
      <w:r w:rsidR="00E34B1E">
        <w:rPr>
          <w:rFonts w:cs="Calibri"/>
        </w:rPr>
        <w:t>. This enabled me to not only develop a strong working relationshi</w:t>
      </w:r>
      <w:r w:rsidR="00174010">
        <w:rPr>
          <w:rFonts w:cs="Calibri"/>
        </w:rPr>
        <w:t>p</w:t>
      </w:r>
      <w:r w:rsidR="00E34B1E">
        <w:rPr>
          <w:rFonts w:cs="Calibri"/>
        </w:rPr>
        <w:t>, but also to gain a</w:t>
      </w:r>
      <w:r w:rsidR="00D9078C">
        <w:rPr>
          <w:rFonts w:cs="Calibri"/>
        </w:rPr>
        <w:t xml:space="preserve">n insight into their lives. This </w:t>
      </w:r>
      <w:r w:rsidR="00174010">
        <w:rPr>
          <w:rFonts w:cs="Calibri"/>
        </w:rPr>
        <w:t>helped</w:t>
      </w:r>
      <w:r w:rsidR="00D9078C">
        <w:rPr>
          <w:rFonts w:cs="Calibri"/>
        </w:rPr>
        <w:t xml:space="preserve"> me build a picture of the context behind their actions and of</w:t>
      </w:r>
      <w:r w:rsidR="00E34B1E">
        <w:rPr>
          <w:rFonts w:cs="Calibri"/>
        </w:rPr>
        <w:t xml:space="preserve"> the work they conducted. </w:t>
      </w:r>
    </w:p>
    <w:p w14:paraId="394254B3" w14:textId="77777777" w:rsidR="00174010" w:rsidRDefault="00174010" w:rsidP="00E34B1E">
      <w:pPr>
        <w:rPr>
          <w:rFonts w:cs="Calibri"/>
        </w:rPr>
      </w:pPr>
    </w:p>
    <w:p w14:paraId="12678030" w14:textId="269F069D" w:rsidR="00787F73" w:rsidRDefault="00E34B1E" w:rsidP="00866155">
      <w:r>
        <w:rPr>
          <w:rFonts w:cs="Calibri"/>
        </w:rPr>
        <w:t xml:space="preserve">During my internship, I also met a range of people from different departments and was able to build a wider picture of the work being conducted by SYFR. For instance, the SYFR data team sat next to the </w:t>
      </w:r>
      <w:r w:rsidR="00174010">
        <w:rPr>
          <w:rFonts w:cs="Calibri"/>
        </w:rPr>
        <w:t>C</w:t>
      </w:r>
      <w:r>
        <w:rPr>
          <w:rFonts w:cs="Calibri"/>
        </w:rPr>
        <w:t xml:space="preserve">ommunications team, so I was able to have informal conversations with them to build a </w:t>
      </w:r>
      <w:r w:rsidR="00D9078C">
        <w:rPr>
          <w:rFonts w:cs="Calibri"/>
        </w:rPr>
        <w:t>context</w:t>
      </w:r>
      <w:r>
        <w:rPr>
          <w:rFonts w:cs="Calibri"/>
        </w:rPr>
        <w:t xml:space="preserve"> of their work</w:t>
      </w:r>
      <w:r w:rsidR="00D9078C">
        <w:rPr>
          <w:rFonts w:cs="Calibri"/>
        </w:rPr>
        <w:t xml:space="preserve"> and their relationship to the </w:t>
      </w:r>
      <w:r w:rsidR="00174010">
        <w:rPr>
          <w:rFonts w:cs="Calibri"/>
        </w:rPr>
        <w:t>C</w:t>
      </w:r>
      <w:r w:rsidR="00D9078C">
        <w:rPr>
          <w:rFonts w:cs="Calibri"/>
        </w:rPr>
        <w:t>ommunication</w:t>
      </w:r>
      <w:r w:rsidR="00174010">
        <w:rPr>
          <w:rFonts w:cs="Calibri"/>
        </w:rPr>
        <w:t>s</w:t>
      </w:r>
      <w:r w:rsidR="00D9078C">
        <w:rPr>
          <w:rFonts w:cs="Calibri"/>
        </w:rPr>
        <w:t xml:space="preserve"> team</w:t>
      </w:r>
      <w:r>
        <w:rPr>
          <w:rFonts w:cs="Calibri"/>
        </w:rPr>
        <w:t xml:space="preserve">. It was through this networking that I was able to interview additional SYFR departments for the research, such as the </w:t>
      </w:r>
      <w:r w:rsidR="00174010">
        <w:rPr>
          <w:rFonts w:cs="Calibri"/>
        </w:rPr>
        <w:t>C</w:t>
      </w:r>
      <w:r>
        <w:rPr>
          <w:rFonts w:cs="Calibri"/>
        </w:rPr>
        <w:t xml:space="preserve">ommunity </w:t>
      </w:r>
      <w:r w:rsidR="00174010">
        <w:rPr>
          <w:rFonts w:cs="Calibri"/>
        </w:rPr>
        <w:t>S</w:t>
      </w:r>
      <w:r>
        <w:rPr>
          <w:rFonts w:cs="Calibri"/>
        </w:rPr>
        <w:t xml:space="preserve">afety and </w:t>
      </w:r>
      <w:r w:rsidR="00174010">
        <w:rPr>
          <w:rFonts w:cs="Calibri"/>
        </w:rPr>
        <w:t>E</w:t>
      </w:r>
      <w:r>
        <w:rPr>
          <w:rFonts w:cs="Calibri"/>
        </w:rPr>
        <w:t xml:space="preserve">mergency </w:t>
      </w:r>
      <w:r w:rsidR="00174010">
        <w:rPr>
          <w:rFonts w:cs="Calibri"/>
        </w:rPr>
        <w:t>P</w:t>
      </w:r>
      <w:r>
        <w:rPr>
          <w:rFonts w:cs="Calibri"/>
        </w:rPr>
        <w:t>lanning team</w:t>
      </w:r>
      <w:r w:rsidR="00174010">
        <w:rPr>
          <w:rFonts w:cs="Calibri"/>
        </w:rPr>
        <w:t>s</w:t>
      </w:r>
      <w:r>
        <w:rPr>
          <w:rFonts w:cs="Calibri"/>
        </w:rPr>
        <w:t xml:space="preserve">. </w:t>
      </w:r>
      <w:r w:rsidR="00D9078C">
        <w:rPr>
          <w:rFonts w:cs="Calibri"/>
        </w:rPr>
        <w:t xml:space="preserve">Through </w:t>
      </w:r>
      <w:r w:rsidR="00174010">
        <w:rPr>
          <w:rFonts w:cs="Calibri"/>
        </w:rPr>
        <w:t>the use of</w:t>
      </w:r>
      <w:r>
        <w:rPr>
          <w:rFonts w:cs="Calibri"/>
        </w:rPr>
        <w:t xml:space="preserve"> my researcher </w:t>
      </w:r>
      <w:r w:rsidR="00D9078C">
        <w:rPr>
          <w:rFonts w:cs="Calibri"/>
        </w:rPr>
        <w:t>diary,</w:t>
      </w:r>
      <w:r>
        <w:rPr>
          <w:rFonts w:cs="Calibri"/>
        </w:rPr>
        <w:t xml:space="preserve"> I was then able to examine the data I was collecting and was able to acknowledge when I had reached a level of data saturation. While I was able to embed within the SYFR team and collect</w:t>
      </w:r>
      <w:r w:rsidR="00D9078C">
        <w:rPr>
          <w:rFonts w:cs="Calibri"/>
        </w:rPr>
        <w:t xml:space="preserve"> this</w:t>
      </w:r>
      <w:r>
        <w:rPr>
          <w:rFonts w:cs="Calibri"/>
        </w:rPr>
        <w:t xml:space="preserve"> rich empirical data, I was not able to do this for the community data, which will be discussed in the following section. </w:t>
      </w:r>
      <w:r w:rsidR="00742FB7">
        <w:rPr>
          <w:rFonts w:cs="Calibri"/>
        </w:rPr>
        <w:t xml:space="preserve">Semi-structured interviews are interviews which have a data collection focus, but also enable the researcher autonomy to explore the topic and conduct a more dialogic exchange between the researcher and participant </w:t>
      </w:r>
      <w:r w:rsidR="00742FB7">
        <w:fldChar w:fldCharType="begin" w:fldLock="1"/>
      </w:r>
      <w:r w:rsidR="00974B75">
        <w:rPr>
          <w:rFonts w:cs="Calibri"/>
        </w:rPr>
        <w:instrText>ADDIN CSL_CITATION {"citationItems":[{"id":"ITEM-1","itemData":{"DOI":"10.3390/educsci10080206","ISSN":"22277102","abstract":"This article explores the complex relationship between researcher and respondent through shared experience and interaction in the interview processes. Ethical considerations related to the balance of power and potential for change in respondents’ professional actions and decisions post-interview are discussed whilst problematizing the concept of truly informed consent. Informed by critical incident analysis, the article draws on the researcher’s experience of undertaking a qualitative-based study founded in the principles of phenomenological hermeneutics. Concluded in 2016, the research investigates the impact of pedagogical training programs on respondents’ teaching practice and engagement with professional learning. Respondents, experienced lecturers working in the adult education sectors in Scotland and Wales, contacted the researcher to share their post-interview experiences. The research was not designed to elicit change in respondents, nor influence professional choice or practice. However, each communication received attributed participating in the research as the source for renewed interest and engagement in professional learning. Although research interviews becoming an enriching experience for respondents is a recorded phenomenon the ascribed effects were profound, potentially life-changing, and not fully anticipated. Ethical considerations for researchers designing and undertaking interview-based research are considered alongside the potential for engagement in research interviews as a catalyst for professional learning in practice.","author":[{"dropping-particle":"","family":"Husband","given":"Gary","non-dropping-particle":"","parse-names":false,"suffix":""}],"container-title":"Education Sciences","id":"ITEM-1","issue":"8","issued":{"date-parts":[["2020"]]},"page":"1-12","title":"Ethical data collection and recognizing the impact of semi-structured interviews on research respondents","type":"article-journal","volume":"10"},"uris":["http://www.mendeley.com/documents/?uuid=7de3cfa4-286f-475b-9693-8293034806f6"]},{"id":"ITEM-2","itemData":{"DOI":"10.1002/jac5.1441","ISBN":"9781506374680","ISSN":"25749870","abstract":"The popularity and value of qualitative research has increasingly been recognized in health and pharmacy services research. Although there is certainly an appropriate place in qualitative research for other data collection methods, a primary benefit of the semi-structured interview is that it permits interviews to be focused while still giving the investigator the autonomy to explore pertinent ideas that may come up in the course of the interview, which can further enhance understanding of the pharmacy service being assessed. The purpose of this narrative review is to summarize methodological considerations and procedures for conducting semi-structured interviews in pharmacy services research. In this article, we propose the Seven Steps to Conducting, Analyzing, and Reporting Semi-Structured Interview Data (7S CARS-SID) for Pharmacy Services Research. While many of the proposed steps can be applied to various qualitative methods and types of research, this narrative review intentionally focuses discussion on semi-structured interviews and pharmacy services research. These seven steps along with the cited resources and applicable examples provide novice qualitative researchers with a step-by-step introductory guide to conducting qualitative pharmacy services research using semi-structured interview methods. Finally, the 7S CARS-SID for Pharmacy Services Research is intended to be a tool for assisting readers, reviewers, and editors of the Journal of the American College of Clinical Pharmacy to better understand the methodology behind qualitative research papers using semi-structured interview methods.","author":[{"dropping-particle":"","family":"Adeoye-Olatunde","given":"Omolola A.","non-dropping-particle":"","parse-names":false,"suffix":""},{"dropping-particle":"","family":"Olenik","given":"Nicole L.","non-dropping-particle":"","parse-names":false,"suffix":""}],"container-title":"Journal of the American College of Clinical Pharmacy","id":"ITEM-2","issue":"10","issued":{"date-parts":[["2021"]]},"page":"1358-1367","title":"Research and scholarly methods: Semi-structured interviews","type":"article-journal","volume":"4"},"uris":["http://www.mendeley.com/documents/?uuid=4386a9d7-a03d-46b3-885a-e8f586c47670"]}],"mendeley":{"formattedCitation":"(Adeoye-Olatunde &amp; Olenik, 2021; Husband, 2020)","plainTextFormattedCitation":"(Adeoye-Olatunde &amp; Olenik, 2021; Husband, 2020)","previouslyFormattedCitation":"(Adeoye-Olatunde &amp; Olenik, 2021; Husband, 2020)"},"properties":{"noteIndex":0},"schema":"https://github.com/citation-style-language/schema/raw/master/csl-citation.json"}</w:instrText>
      </w:r>
      <w:r w:rsidR="00742FB7">
        <w:rPr>
          <w:rFonts w:cs="Calibri"/>
        </w:rPr>
        <w:fldChar w:fldCharType="separate"/>
      </w:r>
      <w:r w:rsidR="00742FB7">
        <w:rPr>
          <w:rFonts w:cs="Calibri"/>
          <w:noProof/>
        </w:rPr>
        <w:t>(Adeoye-Olatunde &amp; Olenik, 2021; Husband, 2020)</w:t>
      </w:r>
      <w:r w:rsidR="00742FB7">
        <w:rPr>
          <w:rFonts w:cs="Calibri"/>
        </w:rPr>
        <w:fldChar w:fldCharType="end"/>
      </w:r>
      <w:r w:rsidR="00742FB7">
        <w:rPr>
          <w:rFonts w:cs="Calibri"/>
        </w:rPr>
        <w:t xml:space="preserve">. This approach enables the collection of rich data as it goes to the source of the phenomena and the lived experience of the communication teams </w:t>
      </w:r>
      <w:r w:rsidR="00742FB7">
        <w:fldChar w:fldCharType="begin" w:fldLock="1"/>
      </w:r>
      <w:r w:rsidR="00742FB7">
        <w:rPr>
          <w:rFonts w:cs="Calibri"/>
        </w:rPr>
        <w:instrText>ADDIN CSL_CITATION {"citationItems":[{"id":"ITEM-1","itemData":{"ISBN":"00014273","ISSN":"00014273","PMID":"24160637","author":[{"dropping-particle":"","family":"Weick","given":"Karl E","non-dropping-particle":"","parse-names":false,"suffix":""}],"container-title":"The Academy of Managment Journal","id":"ITEM-1","issue":"1","issued":{"date-parts":[["2007"]]},"page":"14-19","title":"The Generative Properties of Richness","type":"article-journal","volume":"50"},"uris":["http://www.mendeley.com/documents/?uuid=df5068b6-6544-483b-b918-c374ab75cae1"]}],"mendeley":{"formattedCitation":"(Weick, 2007)","plainTextFormattedCitation":"(Weick, 2007)","previouslyFormattedCitation":"(Weick, 2007)"},"properties":{"noteIndex":0},"schema":"https://github.com/citation-style-language/schema/raw/master/csl-citation.json"}</w:instrText>
      </w:r>
      <w:r w:rsidR="00742FB7">
        <w:rPr>
          <w:rFonts w:cs="Calibri"/>
        </w:rPr>
        <w:fldChar w:fldCharType="separate"/>
      </w:r>
      <w:r w:rsidR="00742FB7">
        <w:rPr>
          <w:rFonts w:cs="Calibri"/>
          <w:noProof/>
        </w:rPr>
        <w:t>(Weick, 2007)</w:t>
      </w:r>
      <w:r w:rsidR="00742FB7">
        <w:rPr>
          <w:rFonts w:cs="Calibri"/>
        </w:rPr>
        <w:fldChar w:fldCharType="end"/>
      </w:r>
      <w:r w:rsidR="00742FB7">
        <w:rPr>
          <w:rFonts w:cs="Calibri"/>
        </w:rPr>
        <w:t xml:space="preserve">. This approach fits well with the philosophical paradigm of interpretivism because it enables the researcher to explore the participants unique perspective </w:t>
      </w:r>
      <w:r w:rsidR="00742FB7">
        <w:fldChar w:fldCharType="begin" w:fldLock="1"/>
      </w:r>
      <w:r w:rsidR="00974B75">
        <w:rPr>
          <w:rFonts w:cs="Calibri"/>
        </w:rPr>
        <w:instrText>ADDIN CSL_CITATION {"citationItems":[{"id":"ITEM-1","itemData":{"DOI":"10.1002/jac5.1441","ISBN":"9781506374680","ISSN":"25749870","abstract":"The popularity and value of qualitative research has increasingly been recognized in health and pharmacy services research. Although there is certainly an appropriate place in qualitative research for other data collection methods, a primary benefit of the semi-structured interview is that it permits interviews to be focused while still giving the investigator the autonomy to explore pertinent ideas that may come up in the course of the interview, which can further enhance understanding of the pharmacy service being assessed. The purpose of this narrative review is to summarize methodological considerations and procedures for conducting semi-structured interviews in pharmacy services research. In this article, we propose the Seven Steps to Conducting, Analyzing, and Reporting Semi-Structured Interview Data (7S CARS-SID) for Pharmacy Services Research. While many of the proposed steps can be applied to various qualitative methods and types of research, this narrative review intentionally focuses discussion on semi-structured interviews and pharmacy services research. These seven steps along with the cited resources and applicable examples provide novice qualitative researchers with a step-by-step introductory guide to conducting qualitative pharmacy services research using semi-structured interview methods. Finally, the 7S CARS-SID for Pharmacy Services Research is intended to be a tool for assisting readers, reviewers, and editors of the Journal of the American College of Clinical Pharmacy to better understand the methodology behind qualitative research papers using semi-structured interview methods.","author":[{"dropping-particle":"","family":"Adeoye-Olatunde","given":"Omolola A.","non-dropping-particle":"","parse-names":false,"suffix":""},{"dropping-particle":"","family":"Olenik","given":"Nicole L.","non-dropping-particle":"","parse-names":false,"suffix":""}],"container-title":"Journal of the American College of Clinical Pharmacy","id":"ITEM-1","issue":"10","issued":{"date-parts":[["2021"]]},"page":"1358-1367","title":"Research and scholarly methods: Semi-structured interviews","type":"article-journal","volume":"4"},"uris":["http://www.mendeley.com/documents/?uuid=4386a9d7-a03d-46b3-885a-e8f586c47670"]}],"mendeley":{"formattedCitation":"(Adeoye-Olatunde &amp; Olenik, 2021)","plainTextFormattedCitation":"(Adeoye-Olatunde &amp; Olenik, 2021)","previouslyFormattedCitation":"(Adeoye-Olatunde &amp; Olenik, 2021)"},"properties":{"noteIndex":0},"schema":"https://github.com/citation-style-language/schema/raw/master/csl-citation.json"}</w:instrText>
      </w:r>
      <w:r w:rsidR="00742FB7">
        <w:rPr>
          <w:rFonts w:cs="Calibri"/>
        </w:rPr>
        <w:fldChar w:fldCharType="separate"/>
      </w:r>
      <w:r w:rsidR="00742FB7">
        <w:rPr>
          <w:rFonts w:cs="Calibri"/>
          <w:noProof/>
        </w:rPr>
        <w:t>(Adeoye-Olatunde &amp; Olenik, 2021)</w:t>
      </w:r>
      <w:r w:rsidR="00742FB7">
        <w:rPr>
          <w:rFonts w:cs="Calibri"/>
        </w:rPr>
        <w:fldChar w:fldCharType="end"/>
      </w:r>
      <w:r w:rsidR="00742FB7">
        <w:rPr>
          <w:rFonts w:cs="Calibri"/>
        </w:rPr>
        <w:t xml:space="preserve">. </w:t>
      </w:r>
      <w:r w:rsidR="00C84401">
        <w:rPr>
          <w:rFonts w:cs="Calibri"/>
        </w:rPr>
        <w:t>While</w:t>
      </w:r>
      <w:r w:rsidR="00742FB7">
        <w:rPr>
          <w:rFonts w:cs="Calibri"/>
        </w:rPr>
        <w:t xml:space="preserve"> semi-structured interviews conducted via different methods (face-to-face, telephone, video) have some core similarities, there are also differences which need to be examined. </w:t>
      </w:r>
    </w:p>
    <w:p w14:paraId="27AD69DC" w14:textId="77777777" w:rsidR="00787F73" w:rsidRDefault="00787F73" w:rsidP="00866155">
      <w:pPr>
        <w:rPr>
          <w:rFonts w:cs="Calibri"/>
        </w:rPr>
      </w:pPr>
    </w:p>
    <w:p w14:paraId="42C2EE25" w14:textId="77777777" w:rsidR="00787F73" w:rsidRDefault="00742FB7" w:rsidP="00866155">
      <w:pPr>
        <w:pStyle w:val="Heading6"/>
        <w:spacing w:line="360" w:lineRule="auto"/>
      </w:pPr>
      <w:bookmarkStart w:id="596" w:name="_Toc147765751"/>
      <w:r>
        <w:rPr>
          <w:rFonts w:ascii="Calibri" w:hAnsi="Calibri" w:cs="Calibri"/>
        </w:rPr>
        <w:lastRenderedPageBreak/>
        <w:t>Remote interviews</w:t>
      </w:r>
      <w:bookmarkEnd w:id="596"/>
    </w:p>
    <w:p w14:paraId="4B36D762" w14:textId="77777777" w:rsidR="00787F73" w:rsidRDefault="00742FB7" w:rsidP="00866155">
      <w:r>
        <w:rPr>
          <w:rFonts w:cs="Calibri"/>
        </w:rPr>
        <w:t xml:space="preserve">Due to COVID-19 and strict social distancing rules and guidelines, the semi-structured interviews needed to move to a remote setting, such as telephone calls or video calls. With telephone and video interviews, the benefit was that it enabled the data collection process to continue when many researchers were unable to access participants to continue data collection during COVID-19 social restrictions. Conducting data collection remotely also meant that the project saved resources, both of time and finances, due to not having to travel to the location </w:t>
      </w:r>
      <w:r>
        <w:fldChar w:fldCharType="begin" w:fldLock="1"/>
      </w:r>
      <w:r>
        <w:rPr>
          <w:rFonts w:cs="Calibri"/>
        </w:rPr>
        <w:instrText>ADDIN CSL_CITATION {"citationItems":[{"id":"ITEM-1","itemData":{"DOI":"10.1177/160940691101000302","ISSN":"1609-4069","abstract":"Traditionally, methodological textbooks have advised that the telephone mode is not well suited to the task of qualitative interviewing. At the same time, there are well-rehearsed arguments as to why telephone interviews may be a useful option in some circumstances. Despite this debate, there remains very limited systematic empirical exploration of differences in the process and outcomes of qualitative telephone vs. face-to-face interviews. Based on a recent ‘mode comparison’ study that sought to contribute to this gap in methodological knowledge, analysis of the overall duration, dominance and depth of talk between researcher and participant in a small set of telephone and face-to-face interviews revealed the following findings. (i) Despite much variation in individual interview length, telephone interviews were typically, and on average, shorter than those conducted face-to-face. (ii) The shorter duration of telephone interviews was a result of the participant speaking for less time, rather than a proportional reduction in talk from both parties. Additionally, in telephone interviews, participants generally held the floor for shorter stretches at a time. (iii) The researcher did slightly more talking during telephone interviews than in face-to-face interactions. Combined with the reduced amount of participant talk, this meant that the researcher tended to hold the floor for a greater proportion of the time in telephone interviews. (iv) To a moderate degree, the shorter length of telephone interviews could be accounted for by a reduction in coverage of themes. However, the principal explanation appeared to lie in a tendency for telephone interview participants to provide relatively less detail or elaboration. In this article, we consider why these differences may occur, if and how they might matter to the research, and how we might wish to modify interview practices in response.","author":[{"dropping-particle":"","family":"Irvine","given":"Annie","non-dropping-particle":"","parse-names":false,"suffix":""}],"container-title":"International Journal of Qualitative Methods","id":"ITEM-1","issue":"3","issued":{"date-parts":[["2011"]]},"page":"202-220","title":"Duration, Dominance and Depth in Telephone and Face-to-Face Interviews: A Comparative Exploration","type":"article-journal","volume":"10"},"uris":["http://www.mendeley.com/documents/?uuid=91b93792-aafd-42d0-be74-61b3b23b35b8"]}],"mendeley":{"formattedCitation":"(Irvine, 2011)","plainTextFormattedCitation":"(Irvine, 2011)","previouslyFormattedCitation":"(Irvine, 2011)"},"properties":{"noteIndex":0},"schema":"https://github.com/citation-style-language/schema/raw/master/csl-citation.json"}</w:instrText>
      </w:r>
      <w:r>
        <w:rPr>
          <w:rFonts w:cs="Calibri"/>
        </w:rPr>
        <w:fldChar w:fldCharType="separate"/>
      </w:r>
      <w:r>
        <w:rPr>
          <w:rFonts w:cs="Calibri"/>
          <w:noProof/>
        </w:rPr>
        <w:t>(Irvine, 2011)</w:t>
      </w:r>
      <w:r>
        <w:rPr>
          <w:rFonts w:cs="Calibri"/>
        </w:rPr>
        <w:fldChar w:fldCharType="end"/>
      </w:r>
      <w:r>
        <w:rPr>
          <w:rFonts w:cs="Calibri"/>
        </w:rPr>
        <w:t>. However, there are some challenges with these remote methods.</w:t>
      </w:r>
    </w:p>
    <w:p w14:paraId="11F1B18E" w14:textId="77777777" w:rsidR="00787F73" w:rsidRDefault="00787F73" w:rsidP="00866155">
      <w:pPr>
        <w:rPr>
          <w:rFonts w:cs="Calibri"/>
        </w:rPr>
      </w:pPr>
    </w:p>
    <w:p w14:paraId="00355E18" w14:textId="336E7C80" w:rsidR="00787F73" w:rsidRDefault="00742FB7" w:rsidP="00866155">
      <w:r>
        <w:rPr>
          <w:rFonts w:cs="Calibri"/>
        </w:rPr>
        <w:t xml:space="preserve">Telephone interviews can be harder to sustain concentration than face-to-face interviews, which means participants often speak less or do not elaborate on points, and are therefore often shorter in duration </w:t>
      </w:r>
      <w:r>
        <w:fldChar w:fldCharType="begin" w:fldLock="1"/>
      </w:r>
      <w:r>
        <w:rPr>
          <w:rFonts w:cs="Calibri"/>
        </w:rPr>
        <w:instrText>ADDIN CSL_CITATION {"citationItems":[{"id":"ITEM-1","itemData":{"DOI":"10.1177/160940691101000302","ISSN":"1609-4069","abstract":"Traditionally, methodological textbooks have advised that the telephone mode is not well suited to the task of qualitative interviewing. At the same time, there are well-rehearsed arguments as to why telephone interviews may be a useful option in some circumstances. Despite this debate, there remains very limited systematic empirical exploration of differences in the process and outcomes of qualitative telephone vs. face-to-face interviews. Based on a recent ‘mode comparison’ study that sought to contribute to this gap in methodological knowledge, analysis of the overall duration, dominance and depth of talk between researcher and participant in a small set of telephone and face-to-face interviews revealed the following findings. (i) Despite much variation in individual interview length, telephone interviews were typically, and on average, shorter than those conducted face-to-face. (ii) The shorter duration of telephone interviews was a result of the participant speaking for less time, rather than a proportional reduction in talk from both parties. Additionally, in telephone interviews, participants generally held the floor for shorter stretches at a time. (iii) The researcher did slightly more talking during telephone interviews than in face-to-face interactions. Combined with the reduced amount of participant talk, this meant that the researcher tended to hold the floor for a greater proportion of the time in telephone interviews. (iv) To a moderate degree, the shorter length of telephone interviews could be accounted for by a reduction in coverage of themes. However, the principal explanation appeared to lie in a tendency for telephone interview participants to provide relatively less detail or elaboration. In this article, we consider why these differences may occur, if and how they might matter to the research, and how we might wish to modify interview practices in response.","author":[{"dropping-particle":"","family":"Irvine","given":"Annie","non-dropping-particle":"","parse-names":false,"suffix":""}],"container-title":"International Journal of Qualitative Methods","id":"ITEM-1","issue":"3","issued":{"date-parts":[["2011"]]},"page":"202-220","title":"Duration, Dominance and Depth in Telephone and Face-to-Face Interviews: A Comparative Exploration","type":"article-journal","volume":"10"},"uris":["http://www.mendeley.com/documents/?uuid=91b93792-aafd-42d0-be74-61b3b23b35b8"]}],"mendeley":{"formattedCitation":"(Irvine, 2011)","plainTextFormattedCitation":"(Irvine, 2011)","previouslyFormattedCitation":"(Irvine, 2011)"},"properties":{"noteIndex":0},"schema":"https://github.com/citation-style-language/schema/raw/master/csl-citation.json"}</w:instrText>
      </w:r>
      <w:r>
        <w:rPr>
          <w:rFonts w:cs="Calibri"/>
        </w:rPr>
        <w:fldChar w:fldCharType="separate"/>
      </w:r>
      <w:r>
        <w:rPr>
          <w:rFonts w:cs="Calibri"/>
          <w:noProof/>
        </w:rPr>
        <w:t>(Irvine, 2011)</w:t>
      </w:r>
      <w:r>
        <w:rPr>
          <w:rFonts w:cs="Calibri"/>
        </w:rPr>
        <w:fldChar w:fldCharType="end"/>
      </w:r>
      <w:r>
        <w:rPr>
          <w:rFonts w:cs="Calibri"/>
        </w:rPr>
        <w:t xml:space="preserve">. Prior to the telephone interviews, I had been conducting interviews of an average of 46 minutes (n=8), however, the telephone interviews were lasting on average </w:t>
      </w:r>
      <w:r w:rsidR="00274D5D">
        <w:rPr>
          <w:rFonts w:cs="Calibri"/>
        </w:rPr>
        <w:t xml:space="preserve">31 </w:t>
      </w:r>
      <w:r>
        <w:rPr>
          <w:rFonts w:cs="Calibri"/>
        </w:rPr>
        <w:t>minutes (n=1</w:t>
      </w:r>
      <w:r w:rsidR="00274D5D">
        <w:rPr>
          <w:rFonts w:cs="Calibri"/>
        </w:rPr>
        <w:t>7</w:t>
      </w:r>
      <w:r>
        <w:rPr>
          <w:rFonts w:cs="Calibri"/>
        </w:rPr>
        <w:t xml:space="preserve">). </w:t>
      </w:r>
      <w:r w:rsidR="00C84401">
        <w:rPr>
          <w:rFonts w:cs="Calibri"/>
        </w:rPr>
        <w:t>While</w:t>
      </w:r>
      <w:r>
        <w:rPr>
          <w:rFonts w:cs="Calibri"/>
        </w:rPr>
        <w:t xml:space="preserve"> this limited the </w:t>
      </w:r>
      <w:r w:rsidR="007E4014">
        <w:rPr>
          <w:rFonts w:cs="Calibri"/>
        </w:rPr>
        <w:t xml:space="preserve">time </w:t>
      </w:r>
      <w:r>
        <w:rPr>
          <w:rFonts w:cs="Calibri"/>
        </w:rPr>
        <w:t>I had to explore the topic, it was important for the calls to be brief as the SYFR team are frontline workers and were dealing with COVID-19 both on a personal and professional level, so I was grateful for any amount of time they could give.</w:t>
      </w:r>
    </w:p>
    <w:p w14:paraId="1A677977" w14:textId="77777777" w:rsidR="00787F73" w:rsidRDefault="00787F73" w:rsidP="00866155">
      <w:pPr>
        <w:rPr>
          <w:rFonts w:cs="Calibri"/>
        </w:rPr>
      </w:pPr>
    </w:p>
    <w:p w14:paraId="0EAB8D4C" w14:textId="77777777" w:rsidR="00787F73" w:rsidRDefault="00742FB7" w:rsidP="00866155">
      <w:r>
        <w:rPr>
          <w:rFonts w:cs="Calibri"/>
        </w:rPr>
        <w:t xml:space="preserve">It can also be challenging conducting interviews without the visual context. Interviews not only collect the words said, they also collect the context around those words, such as facial expressions and body language, and also the setting of the interview </w:t>
      </w:r>
      <w:r>
        <w:fldChar w:fldCharType="begin" w:fldLock="1"/>
      </w:r>
      <w:r>
        <w:rPr>
          <w:rFonts w:cs="Calibri"/>
        </w:rPr>
        <w:instrText>ADDIN CSL_CITATION {"citationItems":[{"id":"ITEM-1","itemData":{"DOI":"10.1108/MEDAR-03-2021-1252","ISSN":"20493738","abstract":"Purpose: This study aims to examine the methodological and method-related challenges and opportunities arising from the use of video interviews in qualitative accounting research, focussed on collecting contextual data and visual cues, enriching communication quality and building and maintaining rapport with interviewees. Design/methodology/approach: Prior literature and the authors’ experiences using video technologies for research, including conducting interviews, inform this research. This study uses a transactional conceptual refinement of information richness theory and channel expansion theory to critically analyse the challenges and opportunities of using video technology to conduct qualitative research interviews. Findings: The ability, need for and significance of collecting contextual data depend on the researchers’ ontological and epistemological assumptions, and are, therefore, influenced by their research design choices. Video technology enables researchers to view research settings by video. In addition, whilst group/panel interviews have their advantages, it is often difficult to get everyone together in person, something video technology can potentially overcome. The feasibility and the quality of video interviews can be improved if both interview participants are experienced with using video technology, as well as with judicious investment in good quality video technology and through testing and practice. We also discuss how rapport building with interviewees can be facilitated by overcoming the video’s sense of disconnect and enhancing interviewees’ willingness to engage. Originality/value: The study builds on the limited prior literature and considers the challenges and opportunities related to methodology and method when conducting video-based qualitative interviews in accounting research. Broadly, qualitative researchers will find the paper useful in considering the use of video interviews and in making research design choices appropriate for video interviews.","author":[{"dropping-particle":"","family":"Villiers","given":"Charl","non-dropping-particle":"de","parse-names":false,"suffix":""},{"dropping-particle":"","family":"Farooq","given":"Muhammad Bilal","non-dropping-particle":"","parse-names":false,"suffix":""},{"dropping-particle":"","family":"Molinari","given":"Matteo","non-dropping-particle":"","parse-names":false,"suffix":""}],"container-title":"Meditari Accountancy Research","id":"ITEM-1","issue":"6","issued":{"date-parts":[["2022"]]},"page":"1764-1782","title":"Qualitative research interviews using online video technology – challenges and opportunities","type":"article-journal","volume":"30"},"uris":["http://www.mendeley.com/documents/?uuid=c4de7261-3bc6-491b-9d45-63f05f250313"]}],"mendeley":{"formattedCitation":"(de Villiers, Farooq, &amp; Molinari, 2022)","plainTextFormattedCitation":"(de Villiers, Farooq, &amp; Molinari, 2022)","previouslyFormattedCitation":"(de Villiers, Farooq, &amp; Molinari, 2022)"},"properties":{"noteIndex":0},"schema":"https://github.com/citation-style-language/schema/raw/master/csl-citation.json"}</w:instrText>
      </w:r>
      <w:r>
        <w:rPr>
          <w:rFonts w:cs="Calibri"/>
        </w:rPr>
        <w:fldChar w:fldCharType="separate"/>
      </w:r>
      <w:r>
        <w:rPr>
          <w:rFonts w:cs="Calibri"/>
          <w:noProof/>
        </w:rPr>
        <w:t>(de Villiers, Farooq, &amp; Molinari, 2022)</w:t>
      </w:r>
      <w:r>
        <w:rPr>
          <w:rFonts w:cs="Calibri"/>
        </w:rPr>
        <w:fldChar w:fldCharType="end"/>
      </w:r>
      <w:r>
        <w:rPr>
          <w:rFonts w:cs="Calibri"/>
        </w:rPr>
        <w:t>. These semi-structured interviews were being conducted with people who work for SYFR and as such the in-person interviews included contextual information about SYFR’s HQ. However, due to COVID-19, the SYFR team were predominantly working from home, so as such the work setting context was not lost, in fact it enabled participants to have a greater level of privacy while still participating in the research. The telephone interviews were also aided because I had met most of the participants prior to the national lockdown, so I had been able to build and develop rapport with them; this was also supported by members of the Communications team acting as a gatekeeper to other SYFR departments.</w:t>
      </w:r>
    </w:p>
    <w:p w14:paraId="64B11972" w14:textId="77777777" w:rsidR="00787F73" w:rsidRDefault="00742FB7" w:rsidP="00866155">
      <w:pPr>
        <w:pStyle w:val="Heading6"/>
        <w:spacing w:line="360" w:lineRule="auto"/>
      </w:pPr>
      <w:bookmarkStart w:id="597" w:name="_Toc147765752"/>
      <w:r>
        <w:rPr>
          <w:rFonts w:ascii="Calibri" w:hAnsi="Calibri" w:cs="Calibri"/>
        </w:rPr>
        <w:lastRenderedPageBreak/>
        <w:t>SYFR Recruitment</w:t>
      </w:r>
      <w:bookmarkEnd w:id="597"/>
      <w:r>
        <w:rPr>
          <w:rFonts w:ascii="Calibri" w:hAnsi="Calibri" w:cs="Calibri"/>
        </w:rPr>
        <w:t xml:space="preserve"> and Gatekeeper relationship</w:t>
      </w:r>
    </w:p>
    <w:p w14:paraId="792A12DC" w14:textId="77777777" w:rsidR="00787F73" w:rsidRDefault="00742FB7" w:rsidP="00866155">
      <w:r>
        <w:rPr>
          <w:rFonts w:cs="Calibri"/>
        </w:rPr>
        <w:t xml:space="preserve">Due to SYFR being a project partner, I was immediately able to start working within the </w:t>
      </w:r>
    </w:p>
    <w:p w14:paraId="5E228A11" w14:textId="678EAB78" w:rsidR="00787F73" w:rsidRDefault="00742FB7" w:rsidP="00866155">
      <w:r>
        <w:rPr>
          <w:rFonts w:cs="Calibri"/>
        </w:rPr>
        <w:t>Communications team, and from there, with the help of the team, developed a snowball method of recruiting participants</w:t>
      </w:r>
      <w:r w:rsidR="00605521">
        <w:rPr>
          <w:rFonts w:cs="Calibri"/>
        </w:rPr>
        <w:t>.</w:t>
      </w:r>
      <w:r>
        <w:rPr>
          <w:rFonts w:cs="Calibri"/>
        </w:rPr>
        <w:t xml:space="preserve"> </w:t>
      </w:r>
      <w:r w:rsidR="00605521">
        <w:rPr>
          <w:rFonts w:cs="Calibri"/>
        </w:rPr>
        <w:t xml:space="preserve">This </w:t>
      </w:r>
      <w:r>
        <w:rPr>
          <w:rFonts w:cs="Calibri"/>
        </w:rPr>
        <w:t xml:space="preserve">included talking to a team member from the Community Safety team and the </w:t>
      </w:r>
      <w:r w:rsidR="005D7392">
        <w:rPr>
          <w:rFonts w:cs="Calibri"/>
        </w:rPr>
        <w:t xml:space="preserve">Business Continuity and Resilience </w:t>
      </w:r>
      <w:r>
        <w:rPr>
          <w:rFonts w:cs="Calibri"/>
        </w:rPr>
        <w:t>team.</w:t>
      </w:r>
      <w:r w:rsidR="005D7392">
        <w:rPr>
          <w:rFonts w:cs="Calibri"/>
        </w:rPr>
        <w:t xml:space="preserve"> </w:t>
      </w:r>
    </w:p>
    <w:p w14:paraId="6E1789A9" w14:textId="77777777" w:rsidR="00787F73" w:rsidRDefault="00787F73" w:rsidP="00866155">
      <w:pPr>
        <w:rPr>
          <w:rFonts w:cs="Calibri"/>
        </w:rPr>
      </w:pPr>
    </w:p>
    <w:p w14:paraId="18091048" w14:textId="67551147" w:rsidR="00787F73" w:rsidRDefault="00742FB7" w:rsidP="00866155">
      <w:r>
        <w:rPr>
          <w:rFonts w:cs="Calibri"/>
        </w:rPr>
        <w:t>This meant that the Communications team acted as a gatekeeper, providing lists of people who would be useful to talk to about the project, and who might be willing to take part in research activities.</w:t>
      </w:r>
      <w:r w:rsidR="00A50C63">
        <w:rPr>
          <w:rFonts w:cs="Calibri"/>
        </w:rPr>
        <w:t xml:space="preserve"> I then approached a selection of the people that they had suggested and interviewed team members from the </w:t>
      </w:r>
      <w:r w:rsidR="00174010">
        <w:rPr>
          <w:rFonts w:cs="Calibri"/>
        </w:rPr>
        <w:t>C</w:t>
      </w:r>
      <w:r w:rsidR="00A50C63">
        <w:rPr>
          <w:rFonts w:cs="Calibri"/>
        </w:rPr>
        <w:t xml:space="preserve">ommunity </w:t>
      </w:r>
      <w:r w:rsidR="00174010">
        <w:rPr>
          <w:rFonts w:cs="Calibri"/>
        </w:rPr>
        <w:t>S</w:t>
      </w:r>
      <w:r w:rsidR="00A50C63">
        <w:rPr>
          <w:rFonts w:cs="Calibri"/>
        </w:rPr>
        <w:t xml:space="preserve">afety and </w:t>
      </w:r>
      <w:r w:rsidR="00174010">
        <w:rPr>
          <w:rFonts w:cs="Calibri"/>
        </w:rPr>
        <w:t>E</w:t>
      </w:r>
      <w:r w:rsidR="00A50C63">
        <w:rPr>
          <w:rFonts w:cs="Calibri"/>
        </w:rPr>
        <w:t xml:space="preserve">mergency </w:t>
      </w:r>
      <w:r w:rsidR="00174010">
        <w:rPr>
          <w:rFonts w:cs="Calibri"/>
        </w:rPr>
        <w:t>P</w:t>
      </w:r>
      <w:r w:rsidR="00A50C63">
        <w:rPr>
          <w:rFonts w:cs="Calibri"/>
        </w:rPr>
        <w:t xml:space="preserve">lanning teams. </w:t>
      </w:r>
      <w:r>
        <w:rPr>
          <w:rFonts w:cs="Calibri"/>
        </w:rPr>
        <w:t xml:space="preserve">The relationship between gatekeeper and researcher is important, as it can facilitate or bar access to participants and required negotiation </w:t>
      </w:r>
      <w:r>
        <w:fldChar w:fldCharType="begin" w:fldLock="1"/>
      </w:r>
      <w:r>
        <w:rPr>
          <w:rFonts w:cs="Calibri"/>
        </w:rPr>
        <w:instrText>ADDIN CSL_CITATION {"citationItems":[{"id":"ITEM-1","itemData":{"DOI":"10.12968/ijpn.2011.17.1.14","ISBN":"13576321","ISSN":"1357-6321","PMID":"21278669","abstract":"Accessing vulnerable populations for research purposes can be difficult, as participants must be sheltered from research that might be insensitive, intrusive, and potentially distressing. People diagnosed with a life-limiting condition may be vulnerable, and involving such people in research samples may be fraught with difficulties. Nevertheless, it is important that these vulnerable populations participate in health and social-care research so that their requirements and opinions can be learnt. This paper describes an experience of proceeding through an ethical approval process for a proposed qualitative research study into the preferred place of death of a group of potentially vulnerable hospice patients. Research of this nature had never been undertaken at the hospice before, and the researchers expected to encounter a degree and variety of gatekeeping when seeking access to this sensitive population.","author":[{"dropping-particle":"","family":"Walker","given":"Susan","non-dropping-particle":"","parse-names":false,"suffix":""},{"dropping-particle":"","family":"Read","given":"Sue","non-dropping-particle":"","parse-names":false,"suffix":""}],"container-title":"International journal of palliative nursing","id":"ITEM-1","issue":"1","issued":{"date-parts":[["2011"]]},"page":"14-18","title":"Accessing vulnerable research populations: an experience with gatekeepers of ethical approval.","type":"article-journal","volume":"17"},"uris":["http://www.mendeley.com/documents/?uuid=7bb41430-46a9-46a3-8925-a53c6a965a21"]},{"id":"ITEM-2","itemData":{"DOI":"10.3868/s050-004-015-0003-8","ISBN":"1120617163123","ISSN":"02729490","PMID":"21675331","abstract":"Increasing concern has been expressed over the way sponsorship of research by various governmental agencies and private foundations has influenced the “objectivity” of scientific investigations. Actual manifestations of the social control of research can be studied through an analysis of the role of the “gatekeeper.” Gatekeeping influences the research endeavor in a number of ways: by limiting conditions of entry, by defining the problem area of study, by limiting access to data and respondents, by restricting the scope of analysis, and by retaining prerogatives with respect to publication. Strategies are not well developed for managing pressures of gatekeeping. Furthermore, the location of researchers within university settings mitigates against confrontation with gatekeepers, particularly if the research effort is directed toward elites or powerful institutions. Where institutions such as universities agree with gatekeepers that proposed sensitive and critical research would be “inappropriate,” researchers must create autonomous positions from which to conduct their research.","author":[{"dropping-particle":"","family":"Broadhead","given":"Robert S","non-dropping-particle":"","parse-names":false,"suffix":""},{"dropping-particle":"","family":"Rist","given":"Ray C","non-dropping-particle":"","parse-names":false,"suffix":""}],"container-title":"Social Problems","id":"ITEM-2","issue":"3","issued":{"date-parts":[["1976"]]},"page":"325 - 336","title":"Gatekeepers and the Social Control of Social Research","type":"article-journal","volume":"23"},"uris":["http://www.mendeley.com/documents/?uuid=a93ca750-fc20-47e9-99b5-8fb75c4dc12c"]},{"id":"ITEM-3","itemData":{"DOI":"10.1080/08856257.2019.1687563","ISSN":"1469591X","abstract":"A growing body of literature addresses why potential research participants decline to take part in research which could improve their and others’ lives. However, a neglected field of study concerns reasons why ‘gatekeepers’–professional or informal supporters through whom access is negotiated–refrain from offering the people they support the chance to consider participation. This paper draws on the author’s recruitment experiences in a project examining the impact of mobile technology on the lives of people with learning disabilities; his previous projects with similar cohorts, and existing literature to explore factors that contribute to gatekeeper non-compliance. A framework-analysis of fieldnotes, interview data and other documents elicited three main interconnected factors: Protection of vulnerable people and of self; Institutional factors such as policies and practices; Research factors, such as a failure to see any beneficial outcomes. Tentative suggestions are made to help improve recruitment, although initial non-responses conspire against most potential measures (such as to liaise frequently with gatekeepers). The paper concludes by opining that the most effective policy is to make sure the research itself aims to improve the lives of participants, their peers, and the wider community–and that this is clearly outlined in any approach to gatekeepers.","author":[{"dropping-particle":"","family":"Williams","given":"Peter","non-dropping-particle":"","parse-names":false,"suffix":""}],"container-title":"European Journal of Special Needs Education","id":"ITEM-3","issue":"1","issued":{"date-parts":[["2020"]]},"page":"1-14","title":"‘It all sounds very interesting, but we’re just too busy!’: exploring why ‘gatekeepers’ decline access to potential research participants with learning disabilities","type":"article-journal","volume":"35"},"uris":["http://www.mendeley.com/documents/?uuid=c2b00247-d773-43c6-b99f-99d8965e51ac"]}],"mendeley":{"formattedCitation":"(Williams, 2020; Walker &amp; Read, 2011; Broadhead &amp; Rist, 1976)","plainTextFormattedCitation":"(Williams, 2020; Walker &amp; Read, 2011; Broadhead &amp; Rist, 1976)","previouslyFormattedCitation":"(Williams, 2020; Walker &amp; Read, 2011; Broadhead &amp; Rist, 1976)"},"properties":{"noteIndex":0},"schema":"https://github.com/citation-style-language/schema/raw/master/csl-citation.json"}</w:instrText>
      </w:r>
      <w:r>
        <w:rPr>
          <w:rFonts w:cs="Calibri"/>
        </w:rPr>
        <w:fldChar w:fldCharType="separate"/>
      </w:r>
      <w:r>
        <w:rPr>
          <w:rFonts w:cs="Calibri"/>
          <w:noProof/>
        </w:rPr>
        <w:t>(Williams, 2020; Walker &amp; Read, 2011; Broadhead &amp; Rist, 1976)</w:t>
      </w:r>
      <w:r>
        <w:rPr>
          <w:rFonts w:cs="Calibri"/>
        </w:rPr>
        <w:fldChar w:fldCharType="end"/>
      </w:r>
      <w:r>
        <w:rPr>
          <w:rFonts w:cs="Calibri"/>
        </w:rPr>
        <w:t xml:space="preserve">, and therefore requires an understanding of the gatekeeper’s motives </w:t>
      </w:r>
      <w:r>
        <w:fldChar w:fldCharType="begin" w:fldLock="1"/>
      </w:r>
      <w:r>
        <w:rPr>
          <w:rFonts w:cs="Calibri"/>
        </w:rPr>
        <w:instrText>ADDIN CSL_CITATION {"citationItems":[{"id":"ITEM-1","itemData":{"DOI":"10.1177/160940691301200102","ISBN":"1609-4069","ISSN":"16094069","abstract":"Research and processes of knowledge production are often based on racialised and imperialistic frameworks that have led to either the exclusion or the pathologisation of minority groups. Researchers address issues of exclusion by adopting recruitment strategies that involve negotiating with gatekeepers to ensure the inclusion of minority or marginalised groups. This often involves in-depth scrutiny of gatekeepers and requires the researchers to negotiate deals and to make personal disclosures. However, there remains relatively little discussion on the pragmatic ethical issues facing researchers in the field as a result of these interactions. This article suggests that interactions with gatekeepers present ethical issues that can be effectively addressed and managed by researchers through the exercise of phronesis. Phronesis allows researchers to make critical ethical decisions based on the specific characteristics of the research sites and subjects, not least of which are those issues that emerge as a consequence of researcher positionality. Such decisions are not necessarily identified or accommodated through bureaucratic processes which govern research ethics. We advance the notion of research ethics as an ongoing process that requires researcher skills and engagement, rather than a one-off bureaucratic exercise.","author":[{"dropping-particle":"","family":"McAreavey","given":"Ruth","non-dropping-particle":"","parse-names":false,"suffix":""},{"dropping-particle":"","family":"Das","given":"Chaitali","non-dropping-particle":"","parse-names":false,"suffix":""}],"container-title":"International Journal of Qualitative Methods","id":"ITEM-1","issue":"1","issued":{"date-parts":[["2013"]]},"page":"113-131","title":"A delicate balancing act: Negotiating with gatekeepers for ethical research when researching minority communities","type":"article-journal","volume":"12"},"uris":["http://www.mendeley.com/documents/?uuid=ac9071f1-1f40-452a-bce0-81d8205cb515"]}],"mendeley":{"formattedCitation":"(McAreavey &amp; Das, 2013)","plainTextFormattedCitation":"(McAreavey &amp; Das, 2013)","previouslyFormattedCitation":"(McAreavey &amp; Das, 2013)"},"properties":{"noteIndex":0},"schema":"https://github.com/citation-style-language/schema/raw/master/csl-citation.json"}</w:instrText>
      </w:r>
      <w:r>
        <w:rPr>
          <w:rFonts w:cs="Calibri"/>
        </w:rPr>
        <w:fldChar w:fldCharType="separate"/>
      </w:r>
      <w:r>
        <w:rPr>
          <w:rFonts w:cs="Calibri"/>
          <w:noProof/>
        </w:rPr>
        <w:t>(McAreavey &amp; Das, 2013)</w:t>
      </w:r>
      <w:r>
        <w:rPr>
          <w:rFonts w:cs="Calibri"/>
        </w:rPr>
        <w:fldChar w:fldCharType="end"/>
      </w:r>
      <w:r>
        <w:rPr>
          <w:rFonts w:cs="Calibri"/>
        </w:rPr>
        <w:t>. Due to the collaborative nature of this project, the SYFR Communications team were supportive in connecting me to people who would aid the project, this was also supported by my presence around HQ during my internship days at SYFR, enabling me to look critically at the connections they were suggesting.</w:t>
      </w:r>
    </w:p>
    <w:p w14:paraId="2EC2659C" w14:textId="77777777" w:rsidR="00787F73" w:rsidRDefault="00787F73" w:rsidP="00866155">
      <w:pPr>
        <w:rPr>
          <w:rFonts w:cs="Calibri"/>
        </w:rPr>
      </w:pPr>
    </w:p>
    <w:p w14:paraId="72C0E823" w14:textId="77777777" w:rsidR="00787F73" w:rsidRDefault="00742FB7" w:rsidP="00866155">
      <w:r>
        <w:rPr>
          <w:rFonts w:cs="Calibri"/>
        </w:rPr>
        <w:t xml:space="preserve">Prior to conducting the interviews, participants were given an information sheet and consent form (see Appendices 2 and 3) to ensure they understood the research and their involvement. Once informed consent was granted, the interviews were recorded and transcribed using a transcription service, and then inputted into NVivo ready for data analysis. During these interviews, participants would discuss texts that they used or had created, which enabled me to collect and analyse the third and final element of IE, texts. </w:t>
      </w:r>
    </w:p>
    <w:p w14:paraId="6D967814" w14:textId="77777777" w:rsidR="00787F73" w:rsidRDefault="00787F73" w:rsidP="00866155">
      <w:pPr>
        <w:rPr>
          <w:rFonts w:cs="Calibri"/>
        </w:rPr>
      </w:pPr>
    </w:p>
    <w:p w14:paraId="408990BA" w14:textId="77777777" w:rsidR="00787F73" w:rsidRDefault="00742FB7" w:rsidP="00866155">
      <w:pPr>
        <w:pStyle w:val="Heading5"/>
        <w:spacing w:line="360" w:lineRule="auto"/>
      </w:pPr>
      <w:bookmarkStart w:id="598" w:name="_Toc141888847"/>
      <w:bookmarkStart w:id="599" w:name="_Toc98148390"/>
      <w:bookmarkStart w:id="600" w:name="_Toc145281037"/>
      <w:bookmarkStart w:id="601" w:name="_Toc147765753"/>
      <w:r>
        <w:rPr>
          <w:rFonts w:ascii="Calibri" w:hAnsi="Calibri" w:cs="Calibri"/>
        </w:rPr>
        <w:t>Textual data</w:t>
      </w:r>
      <w:bookmarkEnd w:id="598"/>
      <w:bookmarkEnd w:id="599"/>
      <w:bookmarkEnd w:id="600"/>
      <w:bookmarkEnd w:id="601"/>
    </w:p>
    <w:p w14:paraId="7881F3FA" w14:textId="77777777" w:rsidR="00787F73" w:rsidRDefault="00742FB7" w:rsidP="00866155">
      <w:r>
        <w:rPr>
          <w:rFonts w:cs="Calibri"/>
          <w:lang w:eastAsia="en-US"/>
        </w:rPr>
        <w:t xml:space="preserve">The third and final data collection method within IE is textual data, which focuses predominantly on the ruling relations. These ruling relations can be examined in texts as the institution is often </w:t>
      </w:r>
      <w:r>
        <w:rPr>
          <w:rFonts w:eastAsia="Calibri" w:cs="Calibri"/>
          <w:color w:val="000000"/>
        </w:rPr>
        <w:t xml:space="preserve">embedded into policies, procedures and official documentation </w:t>
      </w:r>
      <w:r>
        <w:fldChar w:fldCharType="begin" w:fldLock="1"/>
      </w:r>
      <w:r w:rsidR="00974B75">
        <w:rPr>
          <w:rFonts w:eastAsia="Calibri" w:cs="Calibri"/>
          <w:color w:val="000000"/>
        </w:rPr>
        <w:instrText>ADDIN CSL_CITATION {"citationItems":[{"id":"ITEM-1","itemData":{"DOI":"10.1177/1609406917734472","ISSN":"16094069","abstract":"Institutional ethnography (IE) is being taken up by researchers across diverse disciplines, many who do not have a background in sociology and the antecedents and influences that underpin Dorothy Smith's distinctive IE method. Novice IEers, who often work with advisors who have not studied or conducted an IE, are at risk of straying from IE's core epistemology and ontology. This second of a two-volume set provides a broad overview to approaching analysis once the IE design and fieldwork are well under way. The purpose of two-volume series is to offer practical guidance and cautions that have been generated from my experiences of supervising graduate students and my involvement in reviewing and examining IE work that has gone \" off track. \" With a particular focus on the practicalities of conducting analysis, the paper includes examples of the application of IE's theoretical framework with techniques for approaching and managing data: mapping, indexing, and building preliminary accounts/ \" analytic chunks. \" I suggest these techniques are useful tactics to work with data and to refine the formulation of the research problematic(s) to be explicated.","author":[{"dropping-particle":"","family":"Rankin","given":"Janet","non-dropping-particle":"","parse-names":false,"suffix":""}],"container-title":"International Journal of Qualitative Methods","id":"ITEM-1","issue":"1","issued":{"date-parts":[["2017"]]},"page":"1-11","title":"Conducting Analysis in Institutional Ethnography: Guidance and Cautions","type":"article-journal","volume":"16"},"uris":["http://www.mendeley.com/documents/?uuid=1f512de7-2804-4501-b9d4-819790d77516"]},{"id":"ITEM-2","itemData":{"DOI":"10.1080/09581596.2018.1541228","ISSN":"14693682","author":[{"dropping-particle":"","family":"Ninomiya","given":"Melody E. Morton","non-dropping-particle":"","parse-names":false,"suffix":""},{"dropping-particle":"","family":"Hurley","given":"Natasha","non-dropping-particle":"","parse-names":false,"suffix":""},{"dropping-particle":"","family":"Penashue","given":"Jack","non-dropping-particle":"","parse-names":false,"suffix":""}],"container-title":"Critical Public Health","id":"ITEM-2","issue":"2","issued":{"date-parts":[["2018"]]},"page":"1- 12","title":"A decolonizing method of inquiry: using institutional ethnography to facilitate community-based research and knowledge translation","type":"article-journal","volume":"30"},"uris":["http://www.mendeley.com/documents/?uuid=4e9de7f6-4653-4f61-8a7b-6262d5be6284"]},{"id":"ITEM-3","itemData":{"author":[{"dropping-particle":"","family":"Lund","given":"Rebecca","non-dropping-particle":"","parse-names":false,"suffix":""},{"dropping-particle":"","family":"Tienari","given":"Janne","non-dropping-particle":"","parse-names":false,"suffix":""}],"chapter-number":"14","container-title":"The Routledge Companion to Mergers and Acquisitions","editor":[{"dropping-particle":"","family":"Risberg","given":"Annette","non-dropping-particle":"","parse-names":false,"suffix":""},{"dropping-particle":"","family":"King","given":"David R.","non-dropping-particle":"","parse-names":false,"suffix":""},{"dropping-particle":"","family":"Meglio","given":"Olimpia","non-dropping-particle":"","parse-names":false,"suffix":""}],"id":"ITEM-3","issued":{"date-parts":[["2015"]]},"page":"242 - 258","publisher":"Routledge","publisher-place":"Abingdon","title":"Institutional ethnography: An alternative way to study M&amp;As","type":"chapter"},"uris":["http://www.mendeley.com/documents/?uuid=612397d1-f714-4f37-91b2-b8e1e7c20264"]},{"id":"ITEM-4","itemData":{"DOI":"10.1080/14427591.2013.813429","ISSN":"21581576","abstract":"Institutional ethnographers and occupational scientists share a common interest in studying what people do in their daily lives. Institutional ethnographers start inquiry at the standpoint of people as they are situated in the actualities of everyday life and then turn their gaze from the individual to the social. We aim to outline in this paper some key tenets of institutional ethnography to argue its relevance for studying human occupation. More specifically, we posit that institutional ethnography provides a promising social theory and method to further understandings of the situated nature of human occupation.","author":[{"dropping-particle":"","family":"Prodinger","given":"Birgit","non-dropping-particle":"","parse-names":false,"suffix":""},{"dropping-particle":"","family":"Rudman","given":"Debbie Laliberte","non-dropping-particle":"","parse-names":false,"suffix":""},{"dropping-particle":"","family":"Shaw","given":"Lynn","non-dropping-particle":"","parse-names":false,"suffix":""}],"container-title":"Journal of Occupational Science","id":"ITEM-4","issue":"1","issued":{"date-parts":[["2015"]]},"page":"71-81","title":"Institutional ethnography: Studying the situated nature of human occupation","type":"article-journal","volume":"22"},"uris":["http://www.mendeley.com/documents/?uuid=4a2e25d1-86b8-4e2f-ac63-5b712ec2fb6b"]},{"id":"ITEM-5","itemData":{"DOI":"10.1016/j.scaman.2012.05.003","ISSN":"09565221","abstract":"In this paper I offer an Institutional Ethnography, from the standpoint of female academics, of the construction of the \"ideal academic\" and quality journal publications as a central feature in this construct. I draw on interview transcripts, field notes, texts and artefacts produced and collected over a two-year period in a recently merged Finnish university. I focus specifically on how a translocal discourse of competitive performance measurement and standards of academic excellence are accomplished in the local construction of the \"ideal academic\" as a person who publishes articles in A level journals. While the construct is hard for anyone to live up to, it would seem to be more difficult for some people than for others. The current obsession with getting published in top journals place those women, who are heavily engaged in teaching activities and with responsibilities besides academic work, in a systematically disadvantaged relation to the currently dominating discourse of the \"ideal academic\" © 2012 Elsevier Ltd.","author":[{"dropping-particle":"","family":"Lund","given":"Rebecca","non-dropping-particle":"","parse-names":false,"suffix":""}],"container-title":"Scandinavian Journal of Management","id":"ITEM-5","issue":"3","issued":{"date-parts":[["2012"]]},"page":"218-228","title":"Publishing to become an \"ideal academic\": An Institutional Ethnography and a Feminist Critique","type":"article-journal","volume":"28"},"uris":["http://www.mendeley.com/documents/?uuid=087ea2c4-bd2b-4344-bfd6-393e9d928eb2"]}],"mendeley":{"formattedCitation":"(Ninomiya, Hurley, &amp; Penashue, 2018; Rankin, 2017; Lund &amp; Tienari, 2015; Prodinger, Rudman, &amp; Shaw, 2015; Lund, 2012)","plainTextFormattedCitation":"(Ninomiya, Hurley, &amp; Penashue, 2018; Rankin, 2017; Lund &amp; Tienari, 2015; Prodinger, Rudman, &amp; Shaw, 2015; Lund, 2012)","previouslyFormattedCitation":"(Ninomiya, Hurley, &amp; Penashue, 2018; Rankin, 2017; Lund &amp; Tienari, 2015; Prodinger, Rudman, &amp; Shaw, 2015; Lund, 2012)"},"properties":{"noteIndex":0},"schema":"https://github.com/citation-style-language/schema/raw/master/csl-citation.json"}</w:instrText>
      </w:r>
      <w:r>
        <w:rPr>
          <w:rFonts w:eastAsia="Calibri" w:cs="Calibri"/>
          <w:color w:val="000000"/>
        </w:rPr>
        <w:fldChar w:fldCharType="separate"/>
      </w:r>
      <w:r>
        <w:rPr>
          <w:rFonts w:eastAsia="Calibri" w:cs="Calibri"/>
          <w:noProof/>
          <w:color w:val="000000"/>
        </w:rPr>
        <w:t>(Ninomiya, Hurley, &amp; Penashue, 2018; Rankin, 2017; Lund &amp; Tienari, 2015; Prodinger, Rudman, &amp; Shaw, 2015; Lund, 2012)</w:t>
      </w:r>
      <w:r>
        <w:rPr>
          <w:rFonts w:eastAsia="Calibri" w:cs="Calibri"/>
          <w:color w:val="000000"/>
        </w:rPr>
        <w:fldChar w:fldCharType="end"/>
      </w:r>
      <w:r>
        <w:rPr>
          <w:rFonts w:eastAsia="Calibri" w:cs="Calibri"/>
          <w:color w:val="000000"/>
        </w:rPr>
        <w:t xml:space="preserve">. Texts not only show the ruling relations, but are more </w:t>
      </w:r>
      <w:r>
        <w:rPr>
          <w:rFonts w:eastAsia="Calibri" w:cs="Calibri"/>
          <w:color w:val="000000"/>
        </w:rPr>
        <w:lastRenderedPageBreak/>
        <w:t xml:space="preserve">widely symbolic of the social and cultural space in which they were created, and as such dependant on the reader’s interpretations </w:t>
      </w:r>
      <w:r>
        <w:fldChar w:fldCharType="begin" w:fldLock="1"/>
      </w:r>
      <w:r w:rsidR="00974B75">
        <w:rPr>
          <w:rFonts w:eastAsia="Calibri" w:cs="Calibri"/>
          <w:color w:val="000000"/>
        </w:rPr>
        <w:instrText>ADDIN CSL_CITATION {"citationItems":[{"id":"ITEM-1","itemData":{"DOI":"10.4018/ijavet.2016070103","ISBN":"9781522539094","ISSN":"1947-8607","abstract":"This paper introduces institutional ethnography (IE) as a useful and systematic process for examining organizations and work data through the lens of stakeholders, at different levels, and considering the different forces at play. Drawing from ethnomethodology, IE focuses on how everyday experience is socially organized. Ideological shifts have changed the view of research as purely technical and rational to one of social practice embedded in particular cultural, political, and historical contexts. Research has translated into partially unsuccessful practice because it negates individuals' unique experiences based on race, ethnicity, class, and gender, allowing for a monolithic view to become the given reality for all those who live in today's society. Because adult vocational education is practiced in a highly charged political context, amongst a nexus of interconnected and interdependent social processes such as federal and state legislation, program funding and planning, literacy work, and employment training, discourse sets the parameters for a person's ability or inability to navigate the structural and political subsystems that impact learning, teaching, and work. Power is critically important as an analytic focus which crosses boundaries providing researchers a view of social organization that illuminates practices that marginalize.","author":[{"dropping-particle":"","family":"Wright","given":"Ursula T.","non-dropping-particle":"","parse-names":false,"suffix":""},{"dropping-particle":"","family":"Rocco","given":"Tonette S.","non-dropping-particle":"","parse-names":false,"suffix":""}],"chapter-number":"75","container-title":"Operations and Service Management: Concepts, Methodologies, Tools, and Applications","editor":[{"dropping-particle":"","family":"Management Association Information Resources","given":"","non-dropping-particle":"","parse-names":false,"suffix":""}],"id":"ITEM-1","issued":{"date-parts":[["2018"]]},"page":"1657-1672","publisher":"IGI Global","title":"Institutional Ethnography: A Holistic Approach to Understanding Systems","type":"chapter"},"uris":["http://www.mendeley.com/documents/?uuid=4cbfcf7e-0784-46c9-a0d6-54bfa09d61c8"]},{"id":"ITEM-2","itemData":{"DOI":"10.1016/j.scaman.2012.05.003","ISSN":"09565221","abstract":"In this paper I offer an Institutional Ethnography, from the standpoint of female academics, of the construction of the \"ideal academic\" and quality journal publications as a central feature in this construct. I draw on interview transcripts, field notes, texts and artefacts produced and collected over a two-year period in a recently merged Finnish university. I focus specifically on how a translocal discourse of competitive performance measurement and standards of academic excellence are accomplished in the local construction of the \"ideal academic\" as a person who publishes articles in A level journals. While the construct is hard for anyone to live up to, it would seem to be more difficult for some people than for others. The current obsession with getting published in top journals place those women, who are heavily engaged in teaching activities and with responsibilities besides academic work, in a systematically disadvantaged relation to the currently dominating discourse of the \"ideal academic\" © 2012 Elsevier Ltd.","author":[{"dropping-particle":"","family":"Lund","given":"Rebecca","non-dropping-particle":"","parse-names":false,"suffix":""}],"container-title":"Scandinavian Journal of Management","id":"ITEM-2","issue":"3","issued":{"date-parts":[["2012"]]},"page":"218-228","title":"Publishing to become an \"ideal academic\": An Institutional Ethnography and a Feminist Critique","type":"article-journal","volume":"28"},"uris":["http://www.mendeley.com/documents/?uuid=087ea2c4-bd2b-4344-bfd6-393e9d928eb2"]}],"mendeley":{"formattedCitation":"(Wright &amp; Rocco, 2018; Lund, 2012)","plainTextFormattedCitation":"(Wright &amp; Rocco, 2018; Lund, 2012)","previouslyFormattedCitation":"(Wright &amp; Rocco, 2018; Lund, 2012)"},"properties":{"noteIndex":0},"schema":"https://github.com/citation-style-language/schema/raw/master/csl-citation.json"}</w:instrText>
      </w:r>
      <w:r>
        <w:rPr>
          <w:rFonts w:eastAsia="Calibri" w:cs="Calibri"/>
          <w:color w:val="000000"/>
        </w:rPr>
        <w:fldChar w:fldCharType="separate"/>
      </w:r>
      <w:r w:rsidR="00974B75" w:rsidRPr="00974B75">
        <w:rPr>
          <w:rFonts w:eastAsia="Calibri" w:cs="Calibri"/>
          <w:noProof/>
          <w:color w:val="000000"/>
        </w:rPr>
        <w:t>(Wright &amp; Rocco, 2018; Lund, 2012)</w:t>
      </w:r>
      <w:r>
        <w:rPr>
          <w:rFonts w:eastAsia="Calibri" w:cs="Calibri"/>
          <w:color w:val="000000"/>
        </w:rPr>
        <w:fldChar w:fldCharType="end"/>
      </w:r>
      <w:r>
        <w:rPr>
          <w:rFonts w:eastAsia="Calibri" w:cs="Calibri"/>
          <w:color w:val="000000"/>
        </w:rPr>
        <w:t xml:space="preserve">, which fits within the wider interpretivist philosophical approach. </w:t>
      </w:r>
    </w:p>
    <w:p w14:paraId="2C79B7CE" w14:textId="77777777" w:rsidR="00787F73" w:rsidRDefault="00787F73" w:rsidP="00866155">
      <w:pPr>
        <w:rPr>
          <w:rFonts w:cs="Calibri"/>
        </w:rPr>
      </w:pPr>
    </w:p>
    <w:p w14:paraId="548D2896" w14:textId="11B4AAEF" w:rsidR="00787F73" w:rsidRDefault="00742FB7" w:rsidP="00866155">
      <w:r>
        <w:rPr>
          <w:rFonts w:eastAsia="Calibri" w:cs="Calibri"/>
          <w:color w:val="000000"/>
        </w:rPr>
        <w:t xml:space="preserve">Within the texts collected, they all have different purposes or functions; for instance, some texts are boss texts, or mandating texts, which regulate other texts </w:t>
      </w:r>
      <w:r>
        <w:fldChar w:fldCharType="begin" w:fldLock="1"/>
      </w:r>
      <w:r>
        <w:rPr>
          <w:rFonts w:eastAsia="Calibri" w:cs="Calibri"/>
          <w:color w:val="000000"/>
        </w:rPr>
        <w:instrText>ADDIN CSL_CITATION {"citationItems":[{"id":"ITEM-1","itemData":{"DOI":"10.5204/ijcjsd.v8i1.1051.This","abstract":"Institutional ethnography (IE) is a method of inquiry created by Canadian feminist sociologist Dorothy E. Smith to examine how sequences of texts coordinate forms of organisation. Here we explain how to use IE, and why scholars in criminal justice and socio-legal studies should use it in their research. We focus on IE’s analysis of texts and intertextual hierarchy, as well as Smith’s understanding of mapping as a methodological technique; the latter entails explaining how IE’s approach to mapping differs from other social science approaches. We also argue that IE’s terms and techniques can help examine the textual work undertaken in criminal justice and legal organisations, and reveal how people are governed and ruled by these organisational processes. In the discussion, we summarise how IE can productively contribute to criminal justice and socio-legal studies in the twenty-first century.","author":[{"dropping-particle":"","family":"Doll","given":"Agnieszka","non-dropping-particle":"","parse-names":false,"suffix":""},{"dropping-particle":"","family":"Walby","given":"Kevin","non-dropping-particle":"","parse-names":false,"suffix":""}],"container-title":"International Journal for Crime, Justice and Social Democracy","id":"ITEM-1","issue":"1","issued":{"date-parts":[["2019"]]},"page":"147-160","title":"Institutional Ethnography as a Method of Inquiry for Criminal Justice and Socio-Legal Studies","type":"article-journal","volume":"8"},"uris":["http://www.mendeley.com/documents/?uuid=eea21ff2-ea4d-4e5b-9072-2b82fd697a75"]},{"id":"ITEM-2","itemData":{"DOI":"10.1016/j.scaman.2012.05.003","ISSN":"09565221","abstract":"In this paper I offer an Institutional Ethnography, from the standpoint of female academics, of the construction of the \"ideal academic\" and quality journal publications as a central feature in this construct. I draw on interview transcripts, field notes, texts and artefacts produced and collected over a two-year period in a recently merged Finnish university. I focus specifically on how a translocal discourse of competitive performance measurement and standards of academic excellence are accomplished in the local construction of the \"ideal academic\" as a person who publishes articles in A level journals. While the construct is hard for anyone to live up to, it would seem to be more difficult for some people than for others. The current obsession with getting published in top journals place those women, who are heavily engaged in teaching activities and with responsibilities besides academic work, in a systematically disadvantaged relation to the currently dominating discourse of the \"ideal academic\" © 2012 Elsevier Ltd.","author":[{"dropping-particle":"","family":"Lund","given":"Rebecca","non-dropping-particle":"","parse-names":false,"suffix":""}],"container-title":"Scandinavian Journal of Management","id":"ITEM-2","issue":"3","issued":{"date-parts":[["2012"]]},"page":"218-228","title":"Publishing to become an \"ideal academic\": An Institutional Ethnography and a Feminist Critique","type":"article-journal","volume":"28"},"uris":["http://www.mendeley.com/documents/?uuid=087ea2c4-bd2b-4344-bfd6-393e9d928eb2"]}],"mendeley":{"formattedCitation":"(Doll &amp; Walby, 2019; Lund, 2012)","plainTextFormattedCitation":"(Doll &amp; Walby, 2019; Lund, 2012)","previouslyFormattedCitation":"(Doll &amp; Walby, 2019; Lund, 2012)"},"properties":{"noteIndex":0},"schema":"https://github.com/citation-style-language/schema/raw/master/csl-citation.json"}</w:instrText>
      </w:r>
      <w:r>
        <w:rPr>
          <w:rFonts w:eastAsia="Calibri" w:cs="Calibri"/>
          <w:color w:val="000000"/>
        </w:rPr>
        <w:fldChar w:fldCharType="separate"/>
      </w:r>
      <w:r>
        <w:rPr>
          <w:rFonts w:eastAsia="Calibri" w:cs="Calibri"/>
          <w:noProof/>
          <w:color w:val="000000"/>
        </w:rPr>
        <w:t>(Doll &amp; Walby, 2019; Lund, 2012)</w:t>
      </w:r>
      <w:r>
        <w:rPr>
          <w:rFonts w:eastAsia="Calibri" w:cs="Calibri"/>
          <w:color w:val="000000"/>
        </w:rPr>
        <w:fldChar w:fldCharType="end"/>
      </w:r>
      <w:r>
        <w:rPr>
          <w:rFonts w:eastAsia="Calibri" w:cs="Calibri"/>
          <w:color w:val="000000"/>
        </w:rPr>
        <w:t xml:space="preserve">. In the case of this research, this can be external institutions such as governmental legislation, such as the FRS Act (2004) or the CCA Act (2004), or the internal institution of the SYFR communication strategy documents. </w:t>
      </w:r>
      <w:r>
        <w:rPr>
          <w:rFonts w:cs="Calibri"/>
        </w:rPr>
        <w:t xml:space="preserve">This project viewed how institutions influence the lived experiences of the SYFR team members, and how they influence further </w:t>
      </w:r>
      <w:r w:rsidR="00605521">
        <w:rPr>
          <w:rFonts w:cs="Calibri"/>
        </w:rPr>
        <w:t>communications. This</w:t>
      </w:r>
      <w:r>
        <w:rPr>
          <w:rFonts w:cs="Calibri"/>
        </w:rPr>
        <w:t xml:space="preserve">can be seen as a contribution to the IE literature. This phenomenon is examined in RQ1, which explored SYFR’s external communication strategy, and how they developed their campaign materials. </w:t>
      </w:r>
    </w:p>
    <w:p w14:paraId="465AD8A9" w14:textId="77777777" w:rsidR="00787F73" w:rsidRDefault="00787F73" w:rsidP="00866155">
      <w:pPr>
        <w:rPr>
          <w:rFonts w:cs="Calibri"/>
        </w:rPr>
      </w:pPr>
      <w:bookmarkStart w:id="602" w:name="_Toc93336042"/>
      <w:bookmarkStart w:id="603" w:name="_Toc141888859"/>
      <w:bookmarkStart w:id="604" w:name="_Toc98148402"/>
      <w:bookmarkEnd w:id="602"/>
      <w:bookmarkEnd w:id="603"/>
      <w:bookmarkEnd w:id="604"/>
    </w:p>
    <w:p w14:paraId="2636A0E4" w14:textId="77777777" w:rsidR="00787F73" w:rsidRDefault="00742FB7" w:rsidP="00866155">
      <w:r>
        <w:rPr>
          <w:rFonts w:cs="Calibri"/>
        </w:rPr>
        <w:t>The SYFR phase of data collection predominantly focused on members of SYFR, and resulted in 25 interview transcripts, 49 documents (such as the SYFR internal and external communications strategies), and a researcher diary. Th</w:t>
      </w:r>
      <w:r w:rsidR="0040407A">
        <w:rPr>
          <w:rFonts w:cs="Calibri"/>
        </w:rPr>
        <w:t>e</w:t>
      </w:r>
      <w:r>
        <w:rPr>
          <w:rFonts w:cs="Calibri"/>
        </w:rPr>
        <w:t>s</w:t>
      </w:r>
      <w:r w:rsidR="0040407A">
        <w:rPr>
          <w:rFonts w:cs="Calibri"/>
        </w:rPr>
        <w:t>e</w:t>
      </w:r>
      <w:r>
        <w:rPr>
          <w:rFonts w:cs="Calibri"/>
        </w:rPr>
        <w:t xml:space="preserve"> data were analysed using a thematic analysis, which will be discussed later in this chapter. The IE was not the only data collection which was conducted with SYFR, as I was interested in examining how the institution was influencing their communication approach, but they also wanted to examine how it was affecting their communication, and this required looking at their social media data. </w:t>
      </w:r>
    </w:p>
    <w:p w14:paraId="18C707F9" w14:textId="77777777" w:rsidR="00787F73" w:rsidRDefault="00787F73" w:rsidP="00866155">
      <w:pPr>
        <w:spacing w:after="160"/>
        <w:rPr>
          <w:rFonts w:cs="Calibri"/>
        </w:rPr>
      </w:pPr>
    </w:p>
    <w:p w14:paraId="26899754" w14:textId="77777777" w:rsidR="00787F73" w:rsidRDefault="00742FB7" w:rsidP="00866155">
      <w:pPr>
        <w:pStyle w:val="Heading4"/>
        <w:spacing w:line="360" w:lineRule="auto"/>
      </w:pPr>
      <w:bookmarkStart w:id="605" w:name="_Toc1418888591"/>
      <w:bookmarkStart w:id="606" w:name="_Toc933360421"/>
      <w:bookmarkStart w:id="607" w:name="_Toc981484021"/>
      <w:bookmarkStart w:id="608" w:name="_Hlk144554290"/>
      <w:bookmarkStart w:id="609" w:name="_Toc145281038"/>
      <w:bookmarkStart w:id="610" w:name="_Toc147765754"/>
      <w:bookmarkEnd w:id="605"/>
      <w:bookmarkEnd w:id="606"/>
      <w:bookmarkEnd w:id="607"/>
      <w:r>
        <w:rPr>
          <w:rFonts w:ascii="Calibri" w:hAnsi="Calibri" w:cs="Calibri"/>
        </w:rPr>
        <w:t>Social Media data</w:t>
      </w:r>
      <w:bookmarkEnd w:id="608"/>
      <w:bookmarkEnd w:id="609"/>
      <w:bookmarkEnd w:id="610"/>
    </w:p>
    <w:p w14:paraId="077F2A04" w14:textId="0C4F19E9" w:rsidR="00787F73" w:rsidRDefault="00742FB7" w:rsidP="00866155">
      <w:r>
        <w:rPr>
          <w:rFonts w:cs="Calibri"/>
        </w:rPr>
        <w:t xml:space="preserve">This phase of data collection predominantly focused on Twitter data, focusing on SYFR’s followers and their locations. Ideally, I would have undertaken the research across all the different platforms that SYFR engage on, such as Facebook and Instagram, but these platforms are both owned by Meta who have limited access to external researchers </w:t>
      </w:r>
      <w:r>
        <w:fldChar w:fldCharType="begin" w:fldLock="1"/>
      </w:r>
      <w:r>
        <w:rPr>
          <w:rFonts w:cs="Calibri"/>
        </w:rPr>
        <w:instrText>ADDIN CSL_CITATION {"citationItems":[{"id":"ITEM-1","itemData":{"DOI":"10.1108/s2398-601820180000002004","abstract":"First edition. This volume focuses on the ethics of internet and social networking research exploring the challenges faced by researchers making use of social media and big data in their research. The internet, the world wide web and social media - indeed all forms of online communications - are attractive fields of research across a range of disciplines. They offer opportunities for methodological initiatives and innovations in research and easily accessed, massive amounts of primary and secondary data sources. This collection examines the new challenges posed by data generated online, explores how researchers are addressing those ethical challenges, and provides rich case studies of ethical decision making in the digital age. Machine generated contents note: 1. Ethical Disruptions Of Social Media Data: Tales From The Field / Susan Halford -- 2. Users' Views Of Ethics In Social Media Research: Informed Consent, Anonymity, And Harm / Hayley Lepps -- 3. Changing Roles Of Researchers And Participants In Digital And Social Media Research: Ethics Challenges And Forward Directions / Nina Reynolds -- 4. Using Twitter As A Data Source: An Overview Of Ethical, Legal, And Methodological Challenges / Gianluca Demartini -- 5. Getting To Yes: Informed Consent In Qualitative Social Media Research / Janet Salmons -- 6. Trouble With Tinder: The Ethical Complexities Of Researching Location-Aware Social Discovery Apps / Brittany Wilcockson -- 7. Ethical Challenges Of Publishing And Sharing Social Media Research Data / Daniel Gray -- 8. Ethics Of Using Social Media Data In Research: A New Framework / Claire Wallace -- 9. Where Next For #Socialethics? / Steven Ginnis -- 10. Conclusion: Guiding The Ethics Of Online Social Media Research -- Adaptation Or Renovation? / Ron Iphofen.","author":[{"dropping-particle":"","family":"Ahmed","given":"Wasim","non-dropping-particle":"","parse-names":false,"suffix":""},{"dropping-particle":"","family":"Bath","given":"Peter A.","non-dropping-particle":"","parse-names":false,"suffix":""},{"dropping-particle":"","family":"Demartini","given":"Gianluca","non-dropping-particle":"","parse-names":false,"suffix":""}],"chapter-number":"4","container-title":"The Ethics of Online Research: Volume 2","edition":"2","editor":[{"dropping-particle":"","family":"Kandy Woodfield","given":"","non-dropping-particle":"","parse-names":false,"suffix":""}],"id":"ITEM-1","issued":{"date-parts":[["2017"]]},"page":"79-107","publisher":"Emerald Publishing Limited","publisher-place":"Bingley","title":"Chapter 4: Using Twitter as a Data Source: An Overview of Ethical, Legal, and Methodological Challenges","type":"chapter"},"uris":["http://www.mendeley.com/documents/?uuid=13c1130e-ba54-421e-b532-c8948b9f881b"]}],"mendeley":{"formattedCitation":"(Ahmed, Bath, &amp; Demartini, 2017)","plainTextFormattedCitation":"(Ahmed, Bath, &amp; Demartini, 2017)","previouslyFormattedCitation":"(Ahmed, Bath, &amp; Demartini, 2017)"},"properties":{"noteIndex":0},"schema":"https://github.com/citation-style-language/schema/raw/master/csl-citation.json"}</w:instrText>
      </w:r>
      <w:r>
        <w:rPr>
          <w:rFonts w:cs="Calibri"/>
        </w:rPr>
        <w:fldChar w:fldCharType="separate"/>
      </w:r>
      <w:r>
        <w:rPr>
          <w:rFonts w:cs="Calibri"/>
          <w:noProof/>
        </w:rPr>
        <w:t>(Ahmed, Bath, &amp; Demartini, 2017)</w:t>
      </w:r>
      <w:r>
        <w:rPr>
          <w:rFonts w:cs="Calibri"/>
        </w:rPr>
        <w:fldChar w:fldCharType="end"/>
      </w:r>
      <w:r>
        <w:rPr>
          <w:rFonts w:cs="Calibri"/>
        </w:rPr>
        <w:t xml:space="preserve">. This provided a limitation to this project, as different social media platforms have different demographics; for instance, Facebook is still the most popular site across all ages, with </w:t>
      </w:r>
      <w:r w:rsidR="00CF14FD">
        <w:rPr>
          <w:rFonts w:cs="Calibri"/>
        </w:rPr>
        <w:t>77</w:t>
      </w:r>
      <w:r>
        <w:rPr>
          <w:rFonts w:cs="Calibri"/>
        </w:rPr>
        <w:t xml:space="preserve">% of users aged 65+ only having a Facebook account; </w:t>
      </w:r>
      <w:r>
        <w:rPr>
          <w:rFonts w:cs="Calibri"/>
        </w:rPr>
        <w:lastRenderedPageBreak/>
        <w:t xml:space="preserve">however, for younger users, </w:t>
      </w:r>
      <w:r w:rsidR="00CF14FD">
        <w:rPr>
          <w:rFonts w:cs="Calibri"/>
        </w:rPr>
        <w:t>26</w:t>
      </w:r>
      <w:r>
        <w:rPr>
          <w:rFonts w:cs="Calibri"/>
        </w:rPr>
        <w:t xml:space="preserve">% of 16–24-year-olds use Snapchat, and </w:t>
      </w:r>
      <w:r w:rsidR="00CF14FD">
        <w:rPr>
          <w:rFonts w:cs="Calibri"/>
        </w:rPr>
        <w:t>29</w:t>
      </w:r>
      <w:r>
        <w:rPr>
          <w:rFonts w:cs="Calibri"/>
        </w:rPr>
        <w:t xml:space="preserve">% use TikTok </w:t>
      </w:r>
      <w:r w:rsidR="00CF14FD">
        <w:rPr>
          <w:rFonts w:cs="Calibri"/>
        </w:rPr>
        <w:fldChar w:fldCharType="begin" w:fldLock="1"/>
      </w:r>
      <w:r w:rsidR="00CF14FD">
        <w:rPr>
          <w:rFonts w:cs="Calibri"/>
        </w:rPr>
        <w:instrText>ADDIN CSL_CITATION {"citationItems":[{"id":"ITEM-1","itemData":{"abstract":"There has been a significant increase in the self-reported volume of internet use since 2011. Overall estimated weekly volume of use of the internet among users has increased to an average of just under 17 hours per week (16.8 vs. 15.1 hours in 2011). Over half (53%) of UK adults now use a mobile phone to go online, rising to 86% among smartphone users, and more than one in ten use a tablet computer (16%), games console/ player (16%), or a portable media player (12%), all significant increases since 2011. On average, UK adult internet users claim to visit 19 websites in a typical week. There are considerable differences between demographic groups; for example, those over 75 estimate that they visit on average seven websites and ‘narrow users’ 1 six. This compares to people in AB households, and men, who estimate that they visit on average 27 and 24 respectively. Some 22% UK adult internet users say they visit fewer than five websites in a typical week.","author":[{"dropping-particle":"","family":"Ofcom","given":"","non-dropping-particle":"","parse-names":false,"suffix":""}],"id":"ITEM-1","issue":"19th April","issued":{"date-parts":[["2024"]]},"number-of-pages":"45","title":"Adults’ Media Use and Attitudes Report 2024","type":"report"},"uris":["http://www.mendeley.com/documents/?uuid=d0c06d2e-658c-42f4-89ea-36b5b59110f1"]}],"mendeley":{"formattedCitation":"(Ofcom, 2024)","plainTextFormattedCitation":"(Ofcom, 2024)","previouslyFormattedCitation":"(Ofcom, 2024)"},"properties":{"noteIndex":0},"schema":"https://github.com/citation-style-language/schema/raw/master/csl-citation.json"}</w:instrText>
      </w:r>
      <w:r w:rsidR="00CF14FD">
        <w:rPr>
          <w:rFonts w:cs="Calibri"/>
        </w:rPr>
        <w:fldChar w:fldCharType="separate"/>
      </w:r>
      <w:r w:rsidR="00CF14FD" w:rsidRPr="00CF14FD">
        <w:rPr>
          <w:rFonts w:cs="Calibri"/>
          <w:noProof/>
        </w:rPr>
        <w:t>(Ofcom, 2024)</w:t>
      </w:r>
      <w:r w:rsidR="00CF14FD">
        <w:rPr>
          <w:rFonts w:cs="Calibri"/>
        </w:rPr>
        <w:fldChar w:fldCharType="end"/>
      </w:r>
      <w:r w:rsidR="00CF14FD">
        <w:rPr>
          <w:rFonts w:cs="Calibri"/>
        </w:rPr>
        <w:t xml:space="preserve"> However, these figures routinely change. In the 2022 report from Ofcom, 49% of users ages 65+ used Facebook, and 72% of 16-24 year olds were using </w:t>
      </w:r>
      <w:r w:rsidR="00174010">
        <w:rPr>
          <w:rFonts w:cs="Calibri"/>
        </w:rPr>
        <w:t>S</w:t>
      </w:r>
      <w:r w:rsidR="00CF14FD">
        <w:rPr>
          <w:rFonts w:cs="Calibri"/>
        </w:rPr>
        <w:t xml:space="preserve">napchat </w:t>
      </w:r>
      <w:r w:rsidR="00CF14FD">
        <w:rPr>
          <w:rFonts w:cs="Calibri"/>
        </w:rPr>
        <w:fldChar w:fldCharType="begin" w:fldLock="1"/>
      </w:r>
      <w:r w:rsidR="001962AA">
        <w:rPr>
          <w:rFonts w:cs="Calibri"/>
        </w:rPr>
        <w:instrText>ADDIN CSL_CITATION {"citationItems":[{"id":"ITEM-1","itemData":{"author":[{"dropping-particle":"","family":"Ofcom","given":"","non-dropping-particle":"","parse-names":false,"suffix":""}],"id":"ITEM-1","issue":"June","issued":{"date-parts":[["2022"]]},"number-of-pages":"1-128","title":"Online Nation 2022 Report","type":"report"},"uris":["http://www.mendeley.com/documents/?uuid=c5bb2cc7-993f-4faa-af41-2c4e4df781d1"]}],"mendeley":{"formattedCitation":"(Ofcom, 2022)","plainTextFormattedCitation":"(Ofcom, 2022)","previouslyFormattedCitation":"(Ofcom, 2022)"},"properties":{"noteIndex":0},"schema":"https://github.com/citation-style-language/schema/raw/master/csl-citation.json"}</w:instrText>
      </w:r>
      <w:r w:rsidR="00CF14FD">
        <w:rPr>
          <w:rFonts w:cs="Calibri"/>
        </w:rPr>
        <w:fldChar w:fldCharType="separate"/>
      </w:r>
      <w:r w:rsidR="00CF14FD" w:rsidRPr="00CF14FD">
        <w:rPr>
          <w:rFonts w:cs="Calibri"/>
          <w:noProof/>
        </w:rPr>
        <w:t>(Ofcom, 2022)</w:t>
      </w:r>
      <w:r w:rsidR="00CF14FD">
        <w:rPr>
          <w:rFonts w:cs="Calibri"/>
        </w:rPr>
        <w:fldChar w:fldCharType="end"/>
      </w:r>
      <w:r w:rsidR="00CF14FD">
        <w:rPr>
          <w:rFonts w:cs="Calibri"/>
        </w:rPr>
        <w:t xml:space="preserve">. This shows the everchanging landscape of social media use, and the challenge of conducting research on one platform as it can create an </w:t>
      </w:r>
      <w:r w:rsidR="00EC3B04">
        <w:rPr>
          <w:rFonts w:cs="Calibri"/>
        </w:rPr>
        <w:t>unintentional socio</w:t>
      </w:r>
      <w:r w:rsidR="00CF14FD">
        <w:rPr>
          <w:rFonts w:cs="Calibri"/>
        </w:rPr>
        <w:t>-demographic bias. An additional challenge to social media research is that n</w:t>
      </w:r>
      <w:r>
        <w:rPr>
          <w:rFonts w:cs="Calibri"/>
        </w:rPr>
        <w:t xml:space="preserve">ot </w:t>
      </w:r>
      <w:r w:rsidR="00ED3072">
        <w:rPr>
          <w:rFonts w:cs="Calibri"/>
        </w:rPr>
        <w:t>all</w:t>
      </w:r>
      <w:r>
        <w:rPr>
          <w:rFonts w:cs="Calibri"/>
        </w:rPr>
        <w:t xml:space="preserve"> these platforms are accessible to researchers</w:t>
      </w:r>
      <w:r w:rsidR="00CF14FD">
        <w:rPr>
          <w:rFonts w:cs="Calibri"/>
        </w:rPr>
        <w:t>. During the data collection period</w:t>
      </w:r>
      <w:r>
        <w:rPr>
          <w:rFonts w:cs="Calibri"/>
        </w:rPr>
        <w:t xml:space="preserve"> Twitter was open to research, via an application for the Application Programming Interface (API).</w:t>
      </w:r>
    </w:p>
    <w:p w14:paraId="347B8D48" w14:textId="77777777" w:rsidR="00787F73" w:rsidRDefault="00787F73" w:rsidP="00866155">
      <w:pPr>
        <w:rPr>
          <w:rFonts w:cs="Calibri"/>
        </w:rPr>
      </w:pPr>
    </w:p>
    <w:p w14:paraId="02E7D4FB" w14:textId="77777777" w:rsidR="00787F73" w:rsidRDefault="00742FB7" w:rsidP="00866155">
      <w:r>
        <w:rPr>
          <w:rFonts w:cs="Calibri"/>
        </w:rPr>
        <w:t xml:space="preserve">Since concluding data collection, Twitter has undergone a lot of internal changes to strategy and wider operation. These internal changes began with a change to the management of Twitter, with the company being bought by Elon Musk in October 2022 </w:t>
      </w:r>
      <w:r>
        <w:fldChar w:fldCharType="begin" w:fldLock="1"/>
      </w:r>
      <w:r w:rsidR="00974B75">
        <w:rPr>
          <w:rFonts w:cs="Calibri"/>
        </w:rPr>
        <w:instrText>ADDIN CSL_CITATION {"citationItems":[{"id":"ITEM-1","itemData":{"author":[{"dropping-particle":"","family":"Murphy","given":"Hannah","non-dropping-particle":"","parse-names":false,"suffix":""},{"dropping-particle":"","family":"Aliaj","given":"Ortenca","non-dropping-particle":"","parse-names":false,"suffix":""},{"dropping-particle":"","family":"Fontanella-Khan","given":"James","non-dropping-particle":"","parse-names":false,"suffix":""},{"dropping-particle":"","family":"Bradshaw","given":"Tim","non-dropping-particle":"","parse-names":false,"suffix":""}],"container-title":"Financial Times","id":"ITEM-1","issued":{"date-parts":[["2022","10","28"]]},"title":"Elon Musk closes $ 44bn deal to buy Twitter","type":"article-newspaper"},"uris":["http://www.mendeley.com/documents/?uuid=e495c770-1e63-4df5-a772-49d9032b2ab9"]}],"mendeley":{"formattedCitation":"(Murphy et al., 2022)","plainTextFormattedCitation":"(Murphy et al., 2022)","previouslyFormattedCitation":"(Murphy et al., 2022)"},"properties":{"noteIndex":0},"schema":"https://github.com/citation-style-language/schema/raw/master/csl-citation.json"}</w:instrText>
      </w:r>
      <w:r>
        <w:rPr>
          <w:rFonts w:cs="Calibri"/>
        </w:rPr>
        <w:fldChar w:fldCharType="separate"/>
      </w:r>
      <w:r w:rsidR="00974B75" w:rsidRPr="00974B75">
        <w:rPr>
          <w:rFonts w:cs="Calibri"/>
          <w:noProof/>
        </w:rPr>
        <w:t>(Murphy et al., 2022)</w:t>
      </w:r>
      <w:r>
        <w:rPr>
          <w:rFonts w:cs="Calibri"/>
        </w:rPr>
        <w:fldChar w:fldCharType="end"/>
      </w:r>
      <w:r>
        <w:rPr>
          <w:rFonts w:cs="Calibri"/>
        </w:rPr>
        <w:t xml:space="preserve">. Since Musk took over there has been a shift in their business strategy, which has affected the overall culture of the platform, including a name change from Twitter to X (hereafter Twitter). This shift in business practice can be described as shifting the institutional logics of Twitter, not only in terms of their internal market logics but also through the community logics of social media. As discussed in the social media section, using a private company for your main communication channel can be a challenge for organisations, as social media companies can change their business practices or algorithms which can greatly impact how an organisation is able to reach and communicate with their followers. </w:t>
      </w:r>
    </w:p>
    <w:p w14:paraId="12E26226" w14:textId="77777777" w:rsidR="00787F73" w:rsidRDefault="00787F73" w:rsidP="00866155">
      <w:pPr>
        <w:rPr>
          <w:rFonts w:cs="Calibri"/>
        </w:rPr>
      </w:pPr>
    </w:p>
    <w:p w14:paraId="11DC11CB" w14:textId="77777777" w:rsidR="00787F73" w:rsidRDefault="00742FB7" w:rsidP="00866155">
      <w:pPr>
        <w:pStyle w:val="Heading5"/>
        <w:spacing w:line="360" w:lineRule="auto"/>
      </w:pPr>
      <w:bookmarkStart w:id="611" w:name="_heading=h.23ckvvd"/>
      <w:bookmarkStart w:id="612" w:name="_Toc147765755"/>
      <w:bookmarkStart w:id="613" w:name="_Toc98148403"/>
      <w:bookmarkStart w:id="614" w:name="_Toc145281039"/>
      <w:bookmarkStart w:id="615" w:name="_Toc141888860"/>
      <w:bookmarkEnd w:id="611"/>
      <w:r>
        <w:rPr>
          <w:rFonts w:ascii="Calibri" w:hAnsi="Calibri" w:cs="Calibri"/>
        </w:rPr>
        <w:t>Twitter</w:t>
      </w:r>
      <w:bookmarkEnd w:id="612"/>
      <w:bookmarkEnd w:id="613"/>
      <w:bookmarkEnd w:id="614"/>
      <w:bookmarkEnd w:id="615"/>
    </w:p>
    <w:p w14:paraId="42A355E3" w14:textId="77777777" w:rsidR="00ED3072" w:rsidRDefault="00742FB7" w:rsidP="00866155">
      <w:pPr>
        <w:rPr>
          <w:rFonts w:cs="Calibri"/>
        </w:rPr>
      </w:pPr>
      <w:r>
        <w:rPr>
          <w:rFonts w:cs="Calibri"/>
        </w:rPr>
        <w:t xml:space="preserve">To access Twitter data in 2021, I applied to Twitter to gain a developer’s Application Programming Interface (API) access; an API is an interface which enables different applications to interact with each other </w:t>
      </w:r>
      <w:r>
        <w:fldChar w:fldCharType="begin" w:fldLock="1"/>
      </w:r>
      <w:r>
        <w:rPr>
          <w:rFonts w:cs="Calibri"/>
        </w:rPr>
        <w:instrText>ADDIN CSL_CITATION {"citationItems":[{"id":"ITEM-1","itemData":{"DOI":"10.1108/s2398-601820180000002004","abstract":"First edition. This volume focuses on the ethics of internet and social networking research exploring the challenges faced by researchers making use of social media and big data in their research. The internet, the world wide web and social media - indeed all forms of online communications - are attractive fields of research across a range of disciplines. They offer opportunities for methodological initiatives and innovations in research and easily accessed, massive amounts of primary and secondary data sources. This collection examines the new challenges posed by data generated online, explores how researchers are addressing those ethical challenges, and provides rich case studies of ethical decision making in the digital age. Machine generated contents note: 1. Ethical Disruptions Of Social Media Data: Tales From The Field / Susan Halford -- 2. Users' Views Of Ethics In Social Media Research: Informed Consent, Anonymity, And Harm / Hayley Lepps -- 3. Changing Roles Of Researchers And Participants In Digital And Social Media Research: Ethics Challenges And Forward Directions / Nina Reynolds -- 4. Using Twitter As A Data Source: An Overview Of Ethical, Legal, And Methodological Challenges / Gianluca Demartini -- 5. Getting To Yes: Informed Consent In Qualitative Social Media Research / Janet Salmons -- 6. Trouble With Tinder: The Ethical Complexities Of Researching Location-Aware Social Discovery Apps / Brittany Wilcockson -- 7. Ethical Challenges Of Publishing And Sharing Social Media Research Data / Daniel Gray -- 8. Ethics Of Using Social Media Data In Research: A New Framework / Claire Wallace -- 9. Where Next For #Socialethics? / Steven Ginnis -- 10. Conclusion: Guiding The Ethics Of Online Social Media Research -- Adaptation Or Renovation? / Ron Iphofen.","author":[{"dropping-particle":"","family":"Ahmed","given":"Wasim","non-dropping-particle":"","parse-names":false,"suffix":""},{"dropping-particle":"","family":"Bath","given":"Peter A.","non-dropping-particle":"","parse-names":false,"suffix":""},{"dropping-particle":"","family":"Demartini","given":"Gianluca","non-dropping-particle":"","parse-names":false,"suffix":""}],"chapter-number":"4","container-title":"The Ethics of Online Research: Volume 2","edition":"2","editor":[{"dropping-particle":"","family":"Kandy Woodfield","given":"","non-dropping-particle":"","parse-names":false,"suffix":""}],"id":"ITEM-1","issued":{"date-parts":[["2017"]]},"page":"79-107","publisher":"Emerald Publishing Limited","publisher-place":"Bingley","title":"Chapter 4: Using Twitter as a Data Source: An Overview of Ethical, Legal, and Methodological Challenges","type":"chapter"},"uris":["http://www.mendeley.com/documents/?uuid=13c1130e-ba54-421e-b532-c8948b9f881b"]},{"id":"ITEM-2","itemData":{"DOI":"10.1093/jncimonographs/lgt026","ISSN":"10526773","PMID":"24395983","abstract":"Twitter is an online microblogging tool that disseminates more than 400 million messages per day, including vast amounts of health information. Twitter represents an important data source for the cancer prevention and control community. This paper introduces investigators in cancer research to the logistics of Twitter analysis. It explores methodological challenges in extracting and analyzing Twitter data, including characteristics and representativeness of data; data sources, access, and cost; sampling approaches; data management and cleaning; standardizing metrics; and analysis. We briefly describe the key issues and provide examples from the literature and our studies using Twitter data to understand public health issues. For investigators considering Twitter-based cancer research, we recommend assessing whether research questions can be answered appropriately using Twitter, choosing search terms carefully to optimize precision and recall, using respected vendors that can provide access to the full Twitter data stream if possible, standardizing metrics to account for growth in the Twitter population over time, considering crowdsourcing for analysis of Twitter content, and documenting and publishing all methodological decisions to further the evidence base. © The Author 2013. Published by Oxford University Press. All rights reserved.","author":[{"dropping-particle":"","family":"Kim","given":"Annice E.","non-dropping-particle":"","parse-names":false,"suffix":""},{"dropping-particle":"","family":"Hansen","given":"Heather M.","non-dropping-particle":"","parse-names":false,"suffix":""},{"dropping-particle":"","family":"Murphy","given":"Joe","non-dropping-particle":"","parse-names":false,"suffix":""},{"dropping-particle":"","family":"Richards","given":"Ashley K.","non-dropping-particle":"","parse-names":false,"suffix":""},{"dropping-particle":"","family":"Duke","given":"Jennifer","non-dropping-particle":"","parse-names":false,"suffix":""},{"dropping-particle":"","family":"Allen","given":"Jane A.","non-dropping-particle":"","parse-names":false,"suffix":""}],"container-title":"Journal of the National Cancer Institute - Monographs","id":"ITEM-2","issued":{"date-parts":[["2013"]]},"page":"140-146","title":"Methodological considerations in analyzing twitter data","type":"article-journal","volume":"47"},"uris":["http://www.mendeley.com/documents/?uuid=8b03e215-bb45-4b64-85d2-eb23e021770e"]}],"mendeley":{"formattedCitation":"(Ahmed, Bath, &amp; Demartini, 2017; Kim et al., 2013)","plainTextFormattedCitation":"(Ahmed, Bath, &amp; Demartini, 2017; Kim et al., 2013)","previouslyFormattedCitation":"(Ahmed, Bath, &amp; Demartini, 2017; Kim et al., 2013)"},"properties":{"noteIndex":0},"schema":"https://github.com/citation-style-language/schema/raw/master/csl-citation.json"}</w:instrText>
      </w:r>
      <w:r>
        <w:rPr>
          <w:rFonts w:cs="Calibri"/>
        </w:rPr>
        <w:fldChar w:fldCharType="separate"/>
      </w:r>
      <w:r>
        <w:rPr>
          <w:rFonts w:cs="Calibri"/>
          <w:noProof/>
        </w:rPr>
        <w:t>(Ahmed, Bath, &amp; Demartini, 2017; Kim et al., 2013)</w:t>
      </w:r>
      <w:r>
        <w:rPr>
          <w:rFonts w:cs="Calibri"/>
        </w:rPr>
        <w:fldChar w:fldCharType="end"/>
      </w:r>
      <w:r>
        <w:rPr>
          <w:rFonts w:cs="Calibri"/>
        </w:rPr>
        <w:t xml:space="preserve">. Within this research, this meant RStudio (an open-source coding software program) was able to interact with Twitter to access data on their platform. </w:t>
      </w:r>
    </w:p>
    <w:p w14:paraId="0F22C7B3" w14:textId="77777777" w:rsidR="00ED3072" w:rsidRDefault="00ED3072" w:rsidP="00866155">
      <w:pPr>
        <w:rPr>
          <w:rFonts w:cs="Calibri"/>
        </w:rPr>
      </w:pPr>
    </w:p>
    <w:p w14:paraId="4453D686" w14:textId="77777777" w:rsidR="00787F73" w:rsidRPr="00ED3072" w:rsidRDefault="00742FB7" w:rsidP="00866155">
      <w:pPr>
        <w:rPr>
          <w:rFonts w:cs="Calibri"/>
        </w:rPr>
      </w:pPr>
      <w:r>
        <w:rPr>
          <w:rFonts w:cs="Calibri"/>
        </w:rPr>
        <w:t xml:space="preserve">Applying for the API from Twitter required me to state my research interests and provide some details about how I was going to use the data; this can be viewed as written consent </w:t>
      </w:r>
      <w:r>
        <w:rPr>
          <w:rFonts w:cs="Calibri"/>
        </w:rPr>
        <w:lastRenderedPageBreak/>
        <w:t xml:space="preserve">by Twitter to conduct the research </w:t>
      </w:r>
      <w:r>
        <w:fldChar w:fldCharType="begin" w:fldLock="1"/>
      </w:r>
      <w:r w:rsidR="00974B75">
        <w:rPr>
          <w:rFonts w:cs="Calibri"/>
        </w:rPr>
        <w:instrText>ADDIN CSL_CITATION {"citationItems":[{"id":"ITEM-1","itemData":{"DOI":"10.2139/ssrn.2206225","abstract":"Our paper approaches Twitter through the lens of “platform politics” (Gillespie, 2010), focusing in particular on controversies around user data access, ownership, and control. We characterise different actors in the Twitter data ecosystem: private and institutional end users of Twitter, commercial data resellers such as Gnip and DataSift, data scientists, and finally Twitter, Inc. itself; and describe their conflicting interests. We furthermore study Twitter’s Terms of Service and application programming interface (API) as material instantiations of regulatory instruments used by the platform provider and argue for a more promotion of data rights and literacy to strengthen the position of end users.","author":[{"dropping-particle":"","family":"Puschmann","given":"Cornelius","non-dropping-particle":"","parse-names":false,"suffix":""},{"dropping-particle":"","family":"Burgess","given":"Jean","non-dropping-particle":"","parse-names":false,"suffix":""}],"chapter-number":"4","container-title":"Twitter and Society","editor":[{"dropping-particle":"","family":"Bruns","given":"Axel","non-dropping-particle":"","parse-names":false,"suffix":""},{"dropping-particle":"","family":"Mahrt","given":"M","non-dropping-particle":"","parse-names":false,"suffix":""},{"dropping-particle":"","family":"Weller","given":"K","non-dropping-particle":"","parse-names":false,"suffix":""},{"dropping-particle":"","family":"Burgess","given":"Jean","non-dropping-particle":"","parse-names":false,"suffix":""},{"dropping-particle":"","family":"Puschmann","given":"Cornelius","non-dropping-particle":"","parse-names":false,"suffix":""}],"id":"ITEM-1","issued":{"date-parts":[["2013"]]},"page":"43 - 54","publisher":"Peter Lang Publishing","title":"The Politics of Twitter Data","type":"chapter"},"uris":["http://www.mendeley.com/documents/?uuid=1f53a6f8-37cc-4c18-b62c-afe4ea275ea3"]}],"mendeley":{"formattedCitation":"(Puschmann &amp; Burgess, 2013)","plainTextFormattedCitation":"(Puschmann &amp; Burgess, 2013)","previouslyFormattedCitation":"(Puschmann &amp; Burgess, 2013)"},"properties":{"noteIndex":0},"schema":"https://github.com/citation-style-language/schema/raw/master/csl-citation.json"}</w:instrText>
      </w:r>
      <w:r>
        <w:rPr>
          <w:rFonts w:cs="Calibri"/>
        </w:rPr>
        <w:fldChar w:fldCharType="separate"/>
      </w:r>
      <w:r>
        <w:rPr>
          <w:rFonts w:cs="Calibri"/>
          <w:noProof/>
        </w:rPr>
        <w:t>(Puschmann &amp; Burgess, 2013)</w:t>
      </w:r>
      <w:r>
        <w:rPr>
          <w:rFonts w:cs="Calibri"/>
        </w:rPr>
        <w:fldChar w:fldCharType="end"/>
      </w:r>
      <w:r>
        <w:rPr>
          <w:rFonts w:cs="Calibri"/>
        </w:rPr>
        <w:t xml:space="preserve">. This makes Twitter the gatekeeper to all their users’ data and creates a complex relationship between platform providers and their users, with the users having the least control over their data </w:t>
      </w:r>
      <w:r>
        <w:fldChar w:fldCharType="begin" w:fldLock="1"/>
      </w:r>
      <w:r w:rsidR="00974B75">
        <w:rPr>
          <w:rFonts w:cs="Calibri"/>
        </w:rPr>
        <w:instrText>ADDIN CSL_CITATION {"citationItems":[{"id":"ITEM-1","itemData":{"DOI":"10.2139/ssrn.2206225","abstract":"Our paper approaches Twitter through the lens of “platform politics” (Gillespie, 2010), focusing in particular on controversies around user data access, ownership, and control. We characterise different actors in the Twitter data ecosystem: private and institutional end users of Twitter, commercial data resellers such as Gnip and DataSift, data scientists, and finally Twitter, Inc. itself; and describe their conflicting interests. We furthermore study Twitter’s Terms of Service and application programming interface (API) as material instantiations of regulatory instruments used by the platform provider and argue for a more promotion of data rights and literacy to strengthen the position of end users.","author":[{"dropping-particle":"","family":"Puschmann","given":"Cornelius","non-dropping-particle":"","parse-names":false,"suffix":""},{"dropping-particle":"","family":"Burgess","given":"Jean","non-dropping-particle":"","parse-names":false,"suffix":""}],"chapter-number":"4","container-title":"Twitter and Society","editor":[{"dropping-particle":"","family":"Bruns","given":"Axel","non-dropping-particle":"","parse-names":false,"suffix":""},{"dropping-particle":"","family":"Mahrt","given":"M","non-dropping-particle":"","parse-names":false,"suffix":""},{"dropping-particle":"","family":"Weller","given":"K","non-dropping-particle":"","parse-names":false,"suffix":""},{"dropping-particle":"","family":"Burgess","given":"Jean","non-dropping-particle":"","parse-names":false,"suffix":""},{"dropping-particle":"","family":"Puschmann","given":"Cornelius","non-dropping-particle":"","parse-names":false,"suffix":""}],"id":"ITEM-1","issued":{"date-parts":[["2013"]]},"page":"43 - 54","publisher":"Peter Lang Publishing","title":"The Politics of Twitter Data","type":"chapter"},"uris":["http://www.mendeley.com/documents/?uuid=1f53a6f8-37cc-4c18-b62c-afe4ea275ea3"]}],"mendeley":{"formattedCitation":"(Puschmann &amp; Burgess, 2013)","plainTextFormattedCitation":"(Puschmann &amp; Burgess, 2013)","previouslyFormattedCitation":"(Puschmann &amp; Burgess, 2013)"},"properties":{"noteIndex":0},"schema":"https://github.com/citation-style-language/schema/raw/master/csl-citation.json"}</w:instrText>
      </w:r>
      <w:r>
        <w:rPr>
          <w:rFonts w:cs="Calibri"/>
        </w:rPr>
        <w:fldChar w:fldCharType="separate"/>
      </w:r>
      <w:r>
        <w:rPr>
          <w:rFonts w:cs="Calibri"/>
          <w:noProof/>
        </w:rPr>
        <w:t>(Puschmann &amp; Burgess, 2013)</w:t>
      </w:r>
      <w:r>
        <w:rPr>
          <w:rFonts w:cs="Calibri"/>
        </w:rPr>
        <w:fldChar w:fldCharType="end"/>
      </w:r>
      <w:r>
        <w:rPr>
          <w:rFonts w:cs="Calibri"/>
        </w:rPr>
        <w:t xml:space="preserve">. Twitter is a private organisation, and as such, their data regulation and access to the API will be driven by commercial interest, as the users time and energy is where the economic value lies </w:t>
      </w:r>
      <w:r>
        <w:fldChar w:fldCharType="begin" w:fldLock="1"/>
      </w:r>
      <w:r w:rsidR="00974B75">
        <w:rPr>
          <w:rFonts w:cs="Calibri"/>
        </w:rPr>
        <w:instrText>ADDIN CSL_CITATION {"citationItems":[{"id":"ITEM-1","itemData":{"DOI":"10.2139/ssrn.2206225","abstract":"Our paper approaches Twitter through the lens of “platform politics” (Gillespie, 2010), focusing in particular on controversies around user data access, ownership, and control. We characterise different actors in the Twitter data ecosystem: private and institutional end users of Twitter, commercial data resellers such as Gnip and DataSift, data scientists, and finally Twitter, Inc. itself; and describe their conflicting interests. We furthermore study Twitter’s Terms of Service and application programming interface (API) as material instantiations of regulatory instruments used by the platform provider and argue for a more promotion of data rights and literacy to strengthen the position of end users.","author":[{"dropping-particle":"","family":"Puschmann","given":"Cornelius","non-dropping-particle":"","parse-names":false,"suffix":""},{"dropping-particle":"","family":"Burgess","given":"Jean","non-dropping-particle":"","parse-names":false,"suffix":""}],"chapter-number":"4","container-title":"Twitter and Society","editor":[{"dropping-particle":"","family":"Bruns","given":"Axel","non-dropping-particle":"","parse-names":false,"suffix":""},{"dropping-particle":"","family":"Mahrt","given":"M","non-dropping-particle":"","parse-names":false,"suffix":""},{"dropping-particle":"","family":"Weller","given":"K","non-dropping-particle":"","parse-names":false,"suffix":""},{"dropping-particle":"","family":"Burgess","given":"Jean","non-dropping-particle":"","parse-names":false,"suffix":""},{"dropping-particle":"","family":"Puschmann","given":"Cornelius","non-dropping-particle":"","parse-names":false,"suffix":""}],"id":"ITEM-1","issued":{"date-parts":[["2013"]]},"page":"43 - 54","publisher":"Peter Lang Publishing","title":"The Politics of Twitter Data","type":"chapter"},"uris":["http://www.mendeley.com/documents/?uuid=1f53a6f8-37cc-4c18-b62c-afe4ea275ea3"]}],"mendeley":{"formattedCitation":"(Puschmann &amp; Burgess, 2013)","plainTextFormattedCitation":"(Puschmann &amp; Burgess, 2013)","previouslyFormattedCitation":"(Puschmann &amp; Burgess, 2013)"},"properties":{"noteIndex":0},"schema":"https://github.com/citation-style-language/schema/raw/master/csl-citation.json"}</w:instrText>
      </w:r>
      <w:r>
        <w:rPr>
          <w:rFonts w:cs="Calibri"/>
        </w:rPr>
        <w:fldChar w:fldCharType="separate"/>
      </w:r>
      <w:r>
        <w:rPr>
          <w:rFonts w:cs="Calibri"/>
          <w:noProof/>
        </w:rPr>
        <w:t>(Puschmann &amp; Burgess, 2013)</w:t>
      </w:r>
      <w:r>
        <w:rPr>
          <w:rFonts w:cs="Calibri"/>
        </w:rPr>
        <w:fldChar w:fldCharType="end"/>
      </w:r>
      <w:r>
        <w:rPr>
          <w:rFonts w:cs="Calibri"/>
        </w:rPr>
        <w:t xml:space="preserve">. </w:t>
      </w:r>
    </w:p>
    <w:p w14:paraId="5F59AADE" w14:textId="77777777" w:rsidR="00787F73" w:rsidRDefault="00787F73" w:rsidP="00866155">
      <w:pPr>
        <w:rPr>
          <w:rFonts w:cs="Calibri"/>
        </w:rPr>
      </w:pPr>
    </w:p>
    <w:p w14:paraId="0DFCFED6" w14:textId="77777777" w:rsidR="00787F73" w:rsidRDefault="00742FB7" w:rsidP="00866155">
      <w:r>
        <w:rPr>
          <w:rFonts w:cs="Calibri"/>
        </w:rPr>
        <w:t>Once the API had been granted by Twitter, I was also able to apply for another API with Google, which enabled me to access and use Google’s mapping. Once these APIs were collected, I was able to write and run the code using RStudio and start scraping the data, which was divided into two different sections: mapping followers</w:t>
      </w:r>
      <w:r w:rsidR="00605521">
        <w:rPr>
          <w:rFonts w:cs="Calibri"/>
        </w:rPr>
        <w:t>;</w:t>
      </w:r>
      <w:r>
        <w:rPr>
          <w:rFonts w:cs="Calibri"/>
        </w:rPr>
        <w:t xml:space="preserve"> and mapping mentions.</w:t>
      </w:r>
    </w:p>
    <w:p w14:paraId="3DC918B5" w14:textId="77777777" w:rsidR="00787F73" w:rsidRDefault="00787F73" w:rsidP="00866155">
      <w:pPr>
        <w:rPr>
          <w:rFonts w:cs="Calibri"/>
        </w:rPr>
      </w:pPr>
    </w:p>
    <w:p w14:paraId="66C59DBC" w14:textId="77777777" w:rsidR="00787F73" w:rsidRDefault="00742FB7" w:rsidP="00866155">
      <w:pPr>
        <w:pStyle w:val="Heading5"/>
        <w:spacing w:line="360" w:lineRule="auto"/>
      </w:pPr>
      <w:bookmarkStart w:id="616" w:name="_heading=h.ihv636"/>
      <w:bookmarkStart w:id="617" w:name="_Toc141888861"/>
      <w:bookmarkStart w:id="618" w:name="_Toc145281040"/>
      <w:bookmarkStart w:id="619" w:name="_Toc147765756"/>
      <w:bookmarkStart w:id="620" w:name="_Toc98148404"/>
      <w:bookmarkEnd w:id="616"/>
      <w:r>
        <w:rPr>
          <w:rFonts w:ascii="Calibri" w:hAnsi="Calibri" w:cs="Calibri"/>
        </w:rPr>
        <w:t>Mapping followers</w:t>
      </w:r>
      <w:bookmarkEnd w:id="617"/>
      <w:bookmarkEnd w:id="618"/>
      <w:bookmarkEnd w:id="619"/>
      <w:bookmarkEnd w:id="620"/>
    </w:p>
    <w:p w14:paraId="46412829" w14:textId="77777777" w:rsidR="00787F73" w:rsidRDefault="00742FB7" w:rsidP="00866155">
      <w:r>
        <w:rPr>
          <w:rFonts w:cs="Calibri"/>
        </w:rPr>
        <w:t>To better understand who was ‘following’ SYFR, I used the Twitter API to scrape SYFR’s 38,000+ followers (for comparison, London Fire Brigade had 252.3k followers as of 8</w:t>
      </w:r>
      <w:r>
        <w:rPr>
          <w:rFonts w:cs="Calibri"/>
          <w:vertAlign w:val="superscript"/>
        </w:rPr>
        <w:t>th</w:t>
      </w:r>
      <w:r>
        <w:rPr>
          <w:rFonts w:cs="Calibri"/>
        </w:rPr>
        <w:t xml:space="preserve"> October 2023 at 16:19GMT). Conducting this scrape, I was able to collect the profile information for each of the accounts that ‘follow’ SYFR. Th</w:t>
      </w:r>
      <w:r w:rsidR="00BC0904">
        <w:rPr>
          <w:rFonts w:cs="Calibri"/>
        </w:rPr>
        <w:t>ese</w:t>
      </w:r>
      <w:r>
        <w:rPr>
          <w:rFonts w:cs="Calibri"/>
        </w:rPr>
        <w:t xml:space="preserve"> data were separated out from the location data for their accounts, so that the locations and profile names were not linked, creating anonymous aggregated data which could not be traced to individuals. This research was relevant to the research questions as it explored where their followers were geographically located and whether the use of social media was efficient and effective when communicating with people in South Yorkshire. Using </w:t>
      </w:r>
      <w:r w:rsidR="00BC0904">
        <w:rPr>
          <w:rFonts w:cs="Calibri"/>
        </w:rPr>
        <w:t>these</w:t>
      </w:r>
      <w:r>
        <w:rPr>
          <w:rFonts w:cs="Calibri"/>
        </w:rPr>
        <w:t xml:space="preserve"> data, I was then able to geocode the locations, using the Google API through the RStudio package ggmap </w:t>
      </w:r>
      <w:r>
        <w:fldChar w:fldCharType="begin" w:fldLock="1"/>
      </w:r>
      <w:r>
        <w:rPr>
          <w:rFonts w:cs="Calibri"/>
        </w:rPr>
        <w:instrText>ADDIN CSL_CITATION {"citationItems":[{"id":"ITEM-1","itemData":{"author":[{"dropping-particle":"","family":"Kahle","given":"David","non-dropping-particle":"","parse-names":false,"suffix":""},{"dropping-particle":"","family":"Wickham","given":"Hadley","non-dropping-particle":"","parse-names":false,"suffix":""}],"container-title":"The R Journal","id":"ITEM-1","issue":"1","issued":{"date-parts":[["2013"]]},"page":"114-161","title":"ggmap: Spatial Visualization with ggplot2","type":"article-journal","volume":"5"},"uris":["http://www.mendeley.com/documents/?uuid=9ffb0a2a-7d21-497c-a561-a5dd349ccd5b"]}],"mendeley":{"formattedCitation":"(Kahle &amp; Wickham, 2013)","plainTextFormattedCitation":"(Kahle &amp; Wickham, 2013)","previouslyFormattedCitation":"(Kahle &amp; Wickham, 2013)"},"properties":{"noteIndex":0},"schema":"https://github.com/citation-style-language/schema/raw/master/csl-citation.json"}</w:instrText>
      </w:r>
      <w:r>
        <w:rPr>
          <w:rFonts w:cs="Calibri"/>
        </w:rPr>
        <w:fldChar w:fldCharType="separate"/>
      </w:r>
      <w:r>
        <w:rPr>
          <w:rFonts w:cs="Calibri"/>
          <w:noProof/>
        </w:rPr>
        <w:t>(Kahle &amp; Wickham, 2013)</w:t>
      </w:r>
      <w:r>
        <w:rPr>
          <w:rFonts w:cs="Calibri"/>
        </w:rPr>
        <w:fldChar w:fldCharType="end"/>
      </w:r>
      <w:r>
        <w:rPr>
          <w:rFonts w:cs="Calibri"/>
        </w:rPr>
        <w:t xml:space="preserve">. However, there are some challenges with this method. </w:t>
      </w:r>
    </w:p>
    <w:p w14:paraId="4CAE9831" w14:textId="77777777" w:rsidR="00ED3072" w:rsidRDefault="00ED3072" w:rsidP="00866155">
      <w:pPr>
        <w:rPr>
          <w:rFonts w:cs="Calibri"/>
        </w:rPr>
      </w:pPr>
      <w:bookmarkStart w:id="621" w:name="_heading=h.32hioqz"/>
      <w:bookmarkEnd w:id="621"/>
    </w:p>
    <w:p w14:paraId="0C41BC85" w14:textId="454E1A92" w:rsidR="00787F73" w:rsidRDefault="00C84401" w:rsidP="00866155">
      <w:r>
        <w:rPr>
          <w:rFonts w:cs="Calibri"/>
        </w:rPr>
        <w:t>While</w:t>
      </w:r>
      <w:r w:rsidR="00742FB7">
        <w:rPr>
          <w:rFonts w:cs="Calibri"/>
        </w:rPr>
        <w:t xml:space="preserve"> the location data can be accurate, it is important to note that there are some epistemological issues with accepting the locations as fact. Twitter locations are inputted by the user when they created their profile, which means that they may not be factual. There are many reasons why </w:t>
      </w:r>
      <w:r w:rsidR="00BC0904">
        <w:rPr>
          <w:rFonts w:cs="Calibri"/>
        </w:rPr>
        <w:t>these</w:t>
      </w:r>
      <w:r w:rsidR="00742FB7">
        <w:rPr>
          <w:rFonts w:cs="Calibri"/>
        </w:rPr>
        <w:t xml:space="preserve"> </w:t>
      </w:r>
      <w:r w:rsidR="00500023">
        <w:rPr>
          <w:rFonts w:cs="Calibri"/>
        </w:rPr>
        <w:t>data</w:t>
      </w:r>
      <w:r w:rsidR="00742FB7">
        <w:rPr>
          <w:rFonts w:cs="Calibri"/>
        </w:rPr>
        <w:t xml:space="preserve"> may not be reliable. Location data can be incorrect as people may either forget to update their profile when they move, or they could use a fake location to protect their identity, or simply do not use their account anymore</w:t>
      </w:r>
      <w:r w:rsidR="00605521">
        <w:rPr>
          <w:rFonts w:cs="Calibri"/>
        </w:rPr>
        <w:t xml:space="preserve">. This </w:t>
      </w:r>
      <w:r w:rsidR="003431F0">
        <w:rPr>
          <w:rFonts w:cs="Calibri"/>
        </w:rPr>
        <w:t>means</w:t>
      </w:r>
      <w:r w:rsidR="00742FB7">
        <w:rPr>
          <w:rFonts w:cs="Calibri"/>
        </w:rPr>
        <w:t xml:space="preserve"> </w:t>
      </w:r>
      <w:r w:rsidR="00742FB7">
        <w:rPr>
          <w:rFonts w:cs="Calibri"/>
        </w:rPr>
        <w:lastRenderedPageBreak/>
        <w:t>that while they are ‘following’ certain accounts they are not logging in or engaging with Twitter. This location data may also be false due to more sinister reasons, such as the use of bots or fake accounts, which can be created for deceptive means.</w:t>
      </w:r>
      <w:r w:rsidR="003431F0">
        <w:rPr>
          <w:rFonts w:cs="Calibri"/>
        </w:rPr>
        <w:t xml:space="preserve"> However,</w:t>
      </w:r>
      <w:r w:rsidR="00174010">
        <w:rPr>
          <w:rFonts w:cs="Calibri"/>
        </w:rPr>
        <w:t xml:space="preserve"> </w:t>
      </w:r>
      <w:r w:rsidR="003431F0">
        <w:rPr>
          <w:rFonts w:cs="Calibri"/>
        </w:rPr>
        <w:t>w</w:t>
      </w:r>
      <w:r w:rsidR="00742FB7">
        <w:rPr>
          <w:rFonts w:cs="Calibri"/>
        </w:rPr>
        <w:t>hil</w:t>
      </w:r>
      <w:r w:rsidR="00174010">
        <w:rPr>
          <w:rFonts w:cs="Calibri"/>
        </w:rPr>
        <w:t>e</w:t>
      </w:r>
      <w:r w:rsidR="00742FB7">
        <w:rPr>
          <w:rFonts w:cs="Calibri"/>
        </w:rPr>
        <w:t xml:space="preserve"> </w:t>
      </w:r>
      <w:r w:rsidR="00500023">
        <w:rPr>
          <w:rFonts w:cs="Calibri"/>
        </w:rPr>
        <w:t>these findings have</w:t>
      </w:r>
      <w:r w:rsidR="00742FB7">
        <w:rPr>
          <w:rFonts w:cs="Calibri"/>
        </w:rPr>
        <w:t xml:space="preserve"> limitations, the general trends were still important to examine, to understand who may be follow SYFR’s account. As such, I have named this location data and all their followers the </w:t>
      </w:r>
      <w:r w:rsidR="00742FB7">
        <w:rPr>
          <w:rFonts w:cs="Calibri"/>
          <w:i/>
        </w:rPr>
        <w:t>passive network</w:t>
      </w:r>
      <w:r w:rsidR="00742FB7">
        <w:rPr>
          <w:rFonts w:cs="Calibri"/>
        </w:rPr>
        <w:t xml:space="preserve">, as they are accounts that we cannot know with certainty </w:t>
      </w:r>
      <w:r w:rsidR="00ED3072">
        <w:rPr>
          <w:rFonts w:cs="Calibri"/>
        </w:rPr>
        <w:t>whether</w:t>
      </w:r>
      <w:r w:rsidR="00742FB7">
        <w:rPr>
          <w:rFonts w:cs="Calibri"/>
        </w:rPr>
        <w:t xml:space="preserve"> they engage with SYFR’s material, and if there are active humans behind the accounts. </w:t>
      </w:r>
    </w:p>
    <w:p w14:paraId="50E9F73B" w14:textId="77777777" w:rsidR="00787F73" w:rsidRDefault="00787F73" w:rsidP="00866155">
      <w:pPr>
        <w:rPr>
          <w:rFonts w:cs="Calibri"/>
        </w:rPr>
      </w:pPr>
    </w:p>
    <w:p w14:paraId="3ABE8620" w14:textId="77777777" w:rsidR="00787F73" w:rsidRDefault="00742FB7" w:rsidP="00866155">
      <w:r>
        <w:rPr>
          <w:rFonts w:cs="Calibri"/>
        </w:rPr>
        <w:t xml:space="preserve">To better understand the </w:t>
      </w:r>
      <w:r>
        <w:rPr>
          <w:rFonts w:cs="Calibri"/>
          <w:i/>
        </w:rPr>
        <w:t>active</w:t>
      </w:r>
      <w:r>
        <w:rPr>
          <w:rFonts w:cs="Calibri"/>
        </w:rPr>
        <w:t xml:space="preserve"> network of people who engage with SYFR in a practical sense, I also conducted a scrape of social media accounts who actively message or mention SYFR in their tweets. </w:t>
      </w:r>
      <w:bookmarkStart w:id="622" w:name="_heading=h.1hmsyys"/>
      <w:bookmarkEnd w:id="622"/>
      <w:r>
        <w:rPr>
          <w:rFonts w:cs="Calibri"/>
        </w:rPr>
        <w:t xml:space="preserve">Examination of SYFR’s mentions followed a similar methodology to mapping followers. Using the RStudio package </w:t>
      </w:r>
      <w:r>
        <w:rPr>
          <w:rFonts w:cs="Calibri"/>
          <w:i/>
          <w:iCs/>
        </w:rPr>
        <w:t>rtweet</w:t>
      </w:r>
      <w:r>
        <w:rPr>
          <w:rFonts w:cs="Calibri"/>
        </w:rPr>
        <w:t>, I was able to scrape the account information and tweets of SYFR’s followers from the last 30 days (from when the data were collected (</w:t>
      </w:r>
      <w:r w:rsidR="00573338">
        <w:rPr>
          <w:rFonts w:cs="Calibri"/>
        </w:rPr>
        <w:t>12.10.2020</w:t>
      </w:r>
      <w:r>
        <w:rPr>
          <w:rFonts w:cs="Calibri"/>
        </w:rPr>
        <w:t xml:space="preserve">) that had “@SYFR” within their tweet. Once I had these tweets and retweets I was able to collect the location data from each of their profiles (again creating an aggregated data file) and was then able to plot </w:t>
      </w:r>
      <w:r w:rsidR="00BC0904">
        <w:rPr>
          <w:rFonts w:cs="Calibri"/>
        </w:rPr>
        <w:t>these</w:t>
      </w:r>
      <w:r>
        <w:rPr>
          <w:rFonts w:cs="Calibri"/>
        </w:rPr>
        <w:t xml:space="preserve"> data onto a map using Google’s ggmap </w:t>
      </w:r>
      <w:r>
        <w:fldChar w:fldCharType="begin" w:fldLock="1"/>
      </w:r>
      <w:r>
        <w:rPr>
          <w:rFonts w:cs="Calibri"/>
        </w:rPr>
        <w:instrText>ADDIN CSL_CITATION {"citationItems":[{"id":"ITEM-1","itemData":{"author":[{"dropping-particle":"","family":"Kahle","given":"David","non-dropping-particle":"","parse-names":false,"suffix":""},{"dropping-particle":"","family":"Wickham","given":"Hadley","non-dropping-particle":"","parse-names":false,"suffix":""}],"container-title":"The R Journal","id":"ITEM-1","issue":"1","issued":{"date-parts":[["2013"]]},"page":"114-161","title":"ggmap: Spatial Visualization with ggplot2","type":"article-journal","volume":"5"},"uris":["http://www.mendeley.com/documents/?uuid=9ffb0a2a-7d21-497c-a561-a5dd349ccd5b"]}],"mendeley":{"formattedCitation":"(Kahle &amp; Wickham, 2013)","plainTextFormattedCitation":"(Kahle &amp; Wickham, 2013)","previouslyFormattedCitation":"(Kahle &amp; Wickham, 2013)"},"properties":{"noteIndex":0},"schema":"https://github.com/citation-style-language/schema/raw/master/csl-citation.json"}</w:instrText>
      </w:r>
      <w:r>
        <w:rPr>
          <w:rFonts w:cs="Calibri"/>
        </w:rPr>
        <w:fldChar w:fldCharType="separate"/>
      </w:r>
      <w:r>
        <w:rPr>
          <w:rFonts w:cs="Calibri"/>
          <w:noProof/>
        </w:rPr>
        <w:t>(Kahle &amp; Wickham, 2013)</w:t>
      </w:r>
      <w:r>
        <w:rPr>
          <w:rFonts w:cs="Calibri"/>
        </w:rPr>
        <w:fldChar w:fldCharType="end"/>
      </w:r>
      <w:r>
        <w:rPr>
          <w:rFonts w:cs="Calibri"/>
        </w:rPr>
        <w:t xml:space="preserve"> package. With both the follower and mentions data, there were some challenges with scraping and geocoding.</w:t>
      </w:r>
    </w:p>
    <w:p w14:paraId="3A2C3E7C" w14:textId="77777777" w:rsidR="00787F73" w:rsidRDefault="00787F73" w:rsidP="00866155">
      <w:pPr>
        <w:pStyle w:val="Heading6"/>
        <w:spacing w:line="360" w:lineRule="auto"/>
        <w:rPr>
          <w:rFonts w:ascii="Calibri" w:hAnsi="Calibri" w:cs="Calibri"/>
        </w:rPr>
      </w:pPr>
      <w:bookmarkStart w:id="623" w:name="_heading=h.41mghml"/>
      <w:bookmarkEnd w:id="623"/>
    </w:p>
    <w:p w14:paraId="4E65F21D" w14:textId="54170D56" w:rsidR="00787F73" w:rsidRDefault="00742FB7" w:rsidP="00866155">
      <w:r>
        <w:rPr>
          <w:rFonts w:cs="Calibri"/>
        </w:rPr>
        <w:t xml:space="preserve">The challenges associated with both mapping the followers and mapping the mentions were again due to the nature of the location data on Twitter. The locations are inputted by the user and the only restrictions the user has is 30 characters, as seen in Figure 11; this shows my Twitter account and the ability to edit the location. This meant that </w:t>
      </w:r>
      <w:r w:rsidR="00BC0904">
        <w:rPr>
          <w:rFonts w:cs="Calibri"/>
        </w:rPr>
        <w:t>these</w:t>
      </w:r>
      <w:r>
        <w:rPr>
          <w:rFonts w:cs="Calibri"/>
        </w:rPr>
        <w:t xml:space="preserve"> data </w:t>
      </w:r>
      <w:r w:rsidR="00BC0904">
        <w:rPr>
          <w:rFonts w:cs="Calibri"/>
        </w:rPr>
        <w:t>are</w:t>
      </w:r>
      <w:r>
        <w:rPr>
          <w:rFonts w:cs="Calibri"/>
        </w:rPr>
        <w:t xml:space="preserve"> not standardised, which lead to “Barnsley” being geocoded to “Barnsley Resort” in the USA. I had to standardise the location data so that it was geocoded in the correct locations, changing “sheffield”, “Sheffield”, “Sheffield UK” etc. to “Sheffield, South Yorkshire”.  This was done for the top 20 unique locations for each of the data sets (followers &amp; mentions).</w:t>
      </w:r>
      <w:r w:rsidR="007F1E7B">
        <w:rPr>
          <w:rFonts w:cs="Calibri"/>
        </w:rPr>
        <w:t xml:space="preserve"> This research examines the accounts following SYFR to ascertain SYFR’s communication network. However, this creates a limitation to this data as these locations may not provide an accurate representation of the account holders location.</w:t>
      </w:r>
    </w:p>
    <w:p w14:paraId="38061EEC" w14:textId="77777777" w:rsidR="00787F73" w:rsidRDefault="00742FB7" w:rsidP="00866155">
      <w:pPr>
        <w:keepNext/>
        <w:jc w:val="center"/>
      </w:pPr>
      <w:r>
        <w:rPr>
          <w:noProof/>
        </w:rPr>
        <w:lastRenderedPageBreak/>
        <w:drawing>
          <wp:inline distT="0" distB="0" distL="0" distR="0" wp14:anchorId="3CE3A7C5" wp14:editId="04A80E88">
            <wp:extent cx="3450590" cy="3719195"/>
            <wp:effectExtent l="0" t="0" r="0" b="0"/>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2"/>
                    <pic:cNvPicPr>
                      <a:picLocks noChangeAspect="1" noChangeArrowheads="1"/>
                    </pic:cNvPicPr>
                  </pic:nvPicPr>
                  <pic:blipFill>
                    <a:blip r:embed="rId22"/>
                    <a:stretch>
                      <a:fillRect/>
                    </a:stretch>
                  </pic:blipFill>
                  <pic:spPr bwMode="auto">
                    <a:xfrm>
                      <a:off x="0" y="0"/>
                      <a:ext cx="3450590" cy="3719195"/>
                    </a:xfrm>
                    <a:prstGeom prst="rect">
                      <a:avLst/>
                    </a:prstGeom>
                  </pic:spPr>
                </pic:pic>
              </a:graphicData>
            </a:graphic>
          </wp:inline>
        </w:drawing>
      </w:r>
    </w:p>
    <w:p w14:paraId="5DDD1C26" w14:textId="563E53AB" w:rsidR="00787F73" w:rsidRDefault="00742FB7" w:rsidP="00866155">
      <w:pPr>
        <w:pStyle w:val="caption1"/>
        <w:jc w:val="center"/>
      </w:pPr>
      <w:bookmarkStart w:id="624" w:name="_Toc153554392"/>
      <w:bookmarkStart w:id="625" w:name="_Toc193367289"/>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11</w:t>
      </w:r>
      <w:r>
        <w:rPr>
          <w:rFonts w:cs="Calibri"/>
        </w:rPr>
        <w:fldChar w:fldCharType="end"/>
      </w:r>
      <w:r>
        <w:rPr>
          <w:rFonts w:cs="Calibri"/>
        </w:rPr>
        <w:t>: My Twitter profile</w:t>
      </w:r>
      <w:bookmarkStart w:id="626" w:name="_heading=h.2xcytpi"/>
      <w:bookmarkStart w:id="627" w:name="_Toc144912110"/>
      <w:bookmarkStart w:id="628" w:name="_Toc98148392"/>
      <w:bookmarkStart w:id="629" w:name="_Toc98148382"/>
      <w:bookmarkStart w:id="630" w:name="_Toc141888849"/>
      <w:bookmarkStart w:id="631" w:name="_Toc141888839"/>
      <w:bookmarkStart w:id="632" w:name="_Toc93336037"/>
      <w:bookmarkEnd w:id="624"/>
      <w:bookmarkEnd w:id="625"/>
      <w:bookmarkEnd w:id="626"/>
    </w:p>
    <w:p w14:paraId="068DC489" w14:textId="77777777" w:rsidR="00787F73" w:rsidRDefault="00742FB7" w:rsidP="00866155">
      <w:pPr>
        <w:spacing w:after="160"/>
        <w:rPr>
          <w:rFonts w:cs="Calibri"/>
        </w:rPr>
      </w:pPr>
      <w:r>
        <w:rPr>
          <w:rFonts w:cs="Calibri"/>
        </w:rPr>
        <w:t xml:space="preserve">This concluded the data collection with SYFR, focusing on the IE and the social media data. I then explored how and why SYFR communicate via social media, and what that communication looks like. I then moved onto the second phase of the data collection, which focused on the South Yorkshire communities. </w:t>
      </w:r>
    </w:p>
    <w:p w14:paraId="69041A3D" w14:textId="77777777" w:rsidR="0013548C" w:rsidRDefault="0013548C" w:rsidP="00A0151B"/>
    <w:p w14:paraId="07B9705F" w14:textId="77777777" w:rsidR="00787F73" w:rsidRDefault="00742FB7" w:rsidP="00866155">
      <w:pPr>
        <w:pStyle w:val="Heading3"/>
        <w:tabs>
          <w:tab w:val="left" w:pos="1635"/>
        </w:tabs>
      </w:pPr>
      <w:bookmarkStart w:id="633" w:name="_Toc145019985"/>
      <w:bookmarkStart w:id="634" w:name="_Toc145281042"/>
      <w:bookmarkStart w:id="635" w:name="_Toc147765760"/>
      <w:bookmarkStart w:id="636" w:name="_Toc153554341"/>
      <w:bookmarkStart w:id="637" w:name="_Hlk145081168"/>
      <w:bookmarkStart w:id="638" w:name="_Toc193367223"/>
      <w:r>
        <w:rPr>
          <w:rFonts w:ascii="Calibri" w:hAnsi="Calibri" w:cs="Calibri"/>
        </w:rPr>
        <w:t>3.3.</w:t>
      </w:r>
      <w:bookmarkEnd w:id="627"/>
      <w:r>
        <w:rPr>
          <w:rFonts w:ascii="Calibri" w:hAnsi="Calibri" w:cs="Calibri"/>
        </w:rPr>
        <w:t xml:space="preserve">3: Research conducted with South Yorkshire </w:t>
      </w:r>
      <w:bookmarkEnd w:id="633"/>
      <w:bookmarkEnd w:id="634"/>
      <w:r>
        <w:rPr>
          <w:rFonts w:ascii="Calibri" w:hAnsi="Calibri" w:cs="Calibri"/>
        </w:rPr>
        <w:t>communities.</w:t>
      </w:r>
      <w:bookmarkEnd w:id="628"/>
      <w:bookmarkEnd w:id="629"/>
      <w:bookmarkEnd w:id="630"/>
      <w:bookmarkEnd w:id="631"/>
      <w:bookmarkEnd w:id="632"/>
      <w:bookmarkEnd w:id="635"/>
      <w:bookmarkEnd w:id="636"/>
      <w:bookmarkEnd w:id="637"/>
      <w:bookmarkEnd w:id="638"/>
    </w:p>
    <w:p w14:paraId="7018B39E" w14:textId="77777777" w:rsidR="00787F73" w:rsidRDefault="00742FB7" w:rsidP="00866155">
      <w:r>
        <w:rPr>
          <w:rFonts w:cs="Calibri"/>
        </w:rPr>
        <w:t xml:space="preserve">The final phase of the data collection focused on how the community engage with organisations like SYFR, and how they view their community’s resilience. It was important to include data collected from the communities, as SYFR had wanted to better understand the needs from the community, and it was required for the project to fully understand if and how SYFR could support these communities to develop or maintain resilience. Due to the collaborative nature of this project, </w:t>
      </w:r>
      <w:r w:rsidR="00BC0904">
        <w:rPr>
          <w:rFonts w:cs="Calibri"/>
        </w:rPr>
        <w:t>these</w:t>
      </w:r>
      <w:r>
        <w:rPr>
          <w:rFonts w:cs="Calibri"/>
        </w:rPr>
        <w:t xml:space="preserve"> data collection</w:t>
      </w:r>
      <w:r w:rsidR="00BC0904">
        <w:rPr>
          <w:rFonts w:cs="Calibri"/>
        </w:rPr>
        <w:t>s</w:t>
      </w:r>
      <w:r>
        <w:rPr>
          <w:rFonts w:cs="Calibri"/>
        </w:rPr>
        <w:t xml:space="preserve"> w</w:t>
      </w:r>
      <w:r w:rsidR="00BC0904">
        <w:rPr>
          <w:rFonts w:cs="Calibri"/>
        </w:rPr>
        <w:t>ere</w:t>
      </w:r>
      <w:r>
        <w:rPr>
          <w:rFonts w:cs="Calibri"/>
        </w:rPr>
        <w:t xml:space="preserve"> designed with SYFR. Through multiple discussions it was agreed that the selection of communities for the focus groups would concentrate on the risk levels and indices they used to gauge community risk across the area.</w:t>
      </w:r>
    </w:p>
    <w:p w14:paraId="7EAF9CB2" w14:textId="77777777" w:rsidR="00787F73" w:rsidRDefault="00787F73" w:rsidP="00866155">
      <w:pPr>
        <w:rPr>
          <w:rFonts w:cs="Calibri"/>
        </w:rPr>
      </w:pPr>
    </w:p>
    <w:p w14:paraId="321B52E0" w14:textId="2D8516D5" w:rsidR="00787F73" w:rsidRDefault="00742FB7" w:rsidP="00866155">
      <w:r>
        <w:rPr>
          <w:rFonts w:cs="Calibri"/>
        </w:rPr>
        <w:lastRenderedPageBreak/>
        <w:t xml:space="preserve">To gauge risk, SYFR </w:t>
      </w:r>
      <w:r w:rsidR="00ED3072">
        <w:rPr>
          <w:rFonts w:cs="Calibri"/>
        </w:rPr>
        <w:t>use a</w:t>
      </w:r>
      <w:r>
        <w:rPr>
          <w:rFonts w:cs="Calibri"/>
        </w:rPr>
        <w:t xml:space="preserve"> model to assign different geographical areas different levels of risk (see figure 12). This model uses Mosaic based fire data, combined with historical fire incident data to create an index of risk; it is important to note here that their risk model focuses on incidents of fire and no other disasters. This reflects the historical role of the FRS working predominantly with the risks of fire, which suggests an institutional logic, which will be discussed in greater depth in chapter 5. Using this formula, all the lower super output areas (geographical area) within South Yorkshire are ascribed a score and placed into a risk grade. This formula is accessible from the </w:t>
      </w:r>
      <w:r w:rsidR="00912954">
        <w:rPr>
          <w:rFonts w:cs="Calibri"/>
        </w:rPr>
        <w:t>C</w:t>
      </w:r>
      <w:r w:rsidR="004F7B90">
        <w:rPr>
          <w:rFonts w:cs="Calibri"/>
        </w:rPr>
        <w:t xml:space="preserve">ommunity </w:t>
      </w:r>
      <w:r w:rsidR="00912954">
        <w:rPr>
          <w:rFonts w:cs="Calibri"/>
        </w:rPr>
        <w:t>F</w:t>
      </w:r>
      <w:r w:rsidR="004F7B90">
        <w:rPr>
          <w:rFonts w:cs="Calibri"/>
        </w:rPr>
        <w:t xml:space="preserve">ire </w:t>
      </w:r>
      <w:r w:rsidR="00912954">
        <w:rPr>
          <w:rFonts w:cs="Calibri"/>
        </w:rPr>
        <w:t>R</w:t>
      </w:r>
      <w:r w:rsidR="004F7B90">
        <w:rPr>
          <w:rFonts w:cs="Calibri"/>
        </w:rPr>
        <w:t xml:space="preserve">isk </w:t>
      </w:r>
      <w:r w:rsidR="00912954">
        <w:rPr>
          <w:rFonts w:cs="Calibri"/>
        </w:rPr>
        <w:t>M</w:t>
      </w:r>
      <w:r w:rsidR="004F7B90">
        <w:rPr>
          <w:rFonts w:cs="Calibri"/>
        </w:rPr>
        <w:t xml:space="preserve">odel </w:t>
      </w:r>
      <w:r>
        <w:rPr>
          <w:rFonts w:cs="Calibri"/>
        </w:rPr>
        <w:t xml:space="preserve">document found on SYFR’s website </w:t>
      </w:r>
      <w:r>
        <w:fldChar w:fldCharType="begin" w:fldLock="1"/>
      </w:r>
      <w:r w:rsidR="00AB7FCE">
        <w:rPr>
          <w:rFonts w:cs="Calibri"/>
        </w:rPr>
        <w:instrText>ADDIN CSL_CITATION {"citationItems":[{"id":"ITEM-1","itemData":{"URL":"https://www.syfire.gov.uk/performance/strategic-plans/community-fire-risk-model/","accessed":{"date-parts":[["2024","4","2"]]},"author":[{"dropping-particle":"","family":"South Yorkshire Fire and Rescue","given":"","non-dropping-particle":"","parse-names":false,"suffix":""}],"container-title":"South Yorkshire Fire and Rescue","id":"ITEM-1","issued":{"date-parts":[["2015"]]},"title":"Community Fire Risk Model","type":"webpage"},"uris":["http://www.mendeley.com/documents/?uuid=6a7660aa-5f75-45c4-a2dd-44370cc9a3c1"]}],"mendeley":{"formattedCitation":"(South Yorkshire Fire and Rescue, 2015)","plainTextFormattedCitation":"(South Yorkshire Fire and Rescue, 2015)","previouslyFormattedCitation":"(South Yorkshire Fire and Rescue, 2015)"},"properties":{"noteIndex":0},"schema":"https://github.com/citation-style-language/schema/raw/master/csl-citation.json"}</w:instrText>
      </w:r>
      <w:r>
        <w:rPr>
          <w:rFonts w:cs="Calibri"/>
        </w:rPr>
        <w:fldChar w:fldCharType="separate"/>
      </w:r>
      <w:r>
        <w:rPr>
          <w:rFonts w:cs="Calibri"/>
          <w:noProof/>
        </w:rPr>
        <w:t>(South Yorkshire Fire and Rescue, 2015)</w:t>
      </w:r>
      <w:r>
        <w:rPr>
          <w:rFonts w:cs="Calibri"/>
        </w:rPr>
        <w:fldChar w:fldCharType="end"/>
      </w:r>
      <w:r>
        <w:rPr>
          <w:rFonts w:cs="Calibri"/>
        </w:rPr>
        <w:t>.</w:t>
      </w:r>
    </w:p>
    <w:p w14:paraId="5D4718BD" w14:textId="77777777" w:rsidR="00787F73" w:rsidRDefault="00787F73" w:rsidP="00866155">
      <w:pPr>
        <w:rPr>
          <w:rFonts w:cs="Calibri"/>
        </w:rPr>
      </w:pPr>
    </w:p>
    <w:p w14:paraId="0B8D01CD" w14:textId="77777777" w:rsidR="00787F73" w:rsidRDefault="00742FB7" w:rsidP="00866155">
      <w:pPr>
        <w:keepNext/>
        <w:jc w:val="center"/>
      </w:pPr>
      <w:r>
        <w:rPr>
          <w:noProof/>
        </w:rPr>
        <w:drawing>
          <wp:inline distT="0" distB="0" distL="0" distR="0" wp14:anchorId="3E422DCE" wp14:editId="0BE40CBC">
            <wp:extent cx="4218940" cy="786765"/>
            <wp:effectExtent l="0" t="0" r="0"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pic:cNvPicPr>
                      <a:picLocks noChangeAspect="1" noChangeArrowheads="1"/>
                    </pic:cNvPicPr>
                  </pic:nvPicPr>
                  <pic:blipFill>
                    <a:blip r:embed="rId23"/>
                    <a:stretch>
                      <a:fillRect/>
                    </a:stretch>
                  </pic:blipFill>
                  <pic:spPr bwMode="auto">
                    <a:xfrm>
                      <a:off x="0" y="0"/>
                      <a:ext cx="4218940" cy="786765"/>
                    </a:xfrm>
                    <a:prstGeom prst="rect">
                      <a:avLst/>
                    </a:prstGeom>
                  </pic:spPr>
                </pic:pic>
              </a:graphicData>
            </a:graphic>
          </wp:inline>
        </w:drawing>
      </w:r>
    </w:p>
    <w:p w14:paraId="3B8AC19B" w14:textId="39E7383A" w:rsidR="00787F73" w:rsidRDefault="00742FB7" w:rsidP="00866155">
      <w:pPr>
        <w:pStyle w:val="caption1"/>
        <w:jc w:val="center"/>
      </w:pPr>
      <w:bookmarkStart w:id="639" w:name="_Toc153554393"/>
      <w:bookmarkStart w:id="640" w:name="_Toc193367290"/>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12</w:t>
      </w:r>
      <w:r>
        <w:rPr>
          <w:rFonts w:cs="Calibri"/>
        </w:rPr>
        <w:fldChar w:fldCharType="end"/>
      </w:r>
      <w:r>
        <w:rPr>
          <w:rFonts w:cs="Calibri"/>
        </w:rPr>
        <w:t xml:space="preserve">: SYFR </w:t>
      </w:r>
      <w:r w:rsidR="00912954">
        <w:rPr>
          <w:rFonts w:cs="Calibri"/>
        </w:rPr>
        <w:t>C</w:t>
      </w:r>
      <w:r w:rsidR="004F7B90">
        <w:rPr>
          <w:rFonts w:cs="Calibri"/>
        </w:rPr>
        <w:t xml:space="preserve">ommunity </w:t>
      </w:r>
      <w:r w:rsidR="00912954">
        <w:rPr>
          <w:rFonts w:cs="Calibri"/>
        </w:rPr>
        <w:t>R</w:t>
      </w:r>
      <w:r>
        <w:rPr>
          <w:rFonts w:cs="Calibri"/>
        </w:rPr>
        <w:t xml:space="preserve">isk </w:t>
      </w:r>
      <w:r w:rsidR="00912954">
        <w:rPr>
          <w:rFonts w:cs="Calibri"/>
        </w:rPr>
        <w:t>M</w:t>
      </w:r>
      <w:r>
        <w:rPr>
          <w:rFonts w:cs="Calibri"/>
        </w:rPr>
        <w:t>odel methodology formula</w:t>
      </w:r>
      <w:bookmarkEnd w:id="639"/>
      <w:r>
        <w:rPr>
          <w:rFonts w:cs="Calibri"/>
        </w:rPr>
        <w:t xml:space="preserve"> </w:t>
      </w:r>
      <w:r>
        <w:fldChar w:fldCharType="begin" w:fldLock="1"/>
      </w:r>
      <w:r w:rsidR="00AB7FCE">
        <w:rPr>
          <w:rFonts w:cs="Calibri"/>
        </w:rPr>
        <w:instrText>ADDIN CSL_CITATION {"citationItems":[{"id":"ITEM-1","itemData":{"URL":"https://www.syfire.gov.uk/performance/strategic-plans/community-fire-risk-model/","accessed":{"date-parts":[["2024","4","2"]]},"author":[{"dropping-particle":"","family":"South Yorkshire Fire and Rescue","given":"","non-dropping-particle":"","parse-names":false,"suffix":""}],"container-title":"South Yorkshire Fire and Rescue","id":"ITEM-1","issued":{"date-parts":[["2015"]]},"title":"Community Fire Risk Model","type":"webpage"},"uris":["http://www.mendeley.com/documents/?uuid=6a7660aa-5f75-45c4-a2dd-44370cc9a3c1"]}],"mendeley":{"formattedCitation":"(South Yorkshire Fire and Rescue, 2015)","plainTextFormattedCitation":"(South Yorkshire Fire and Rescue, 2015)","previouslyFormattedCitation":"(South Yorkshire Fire and Rescue, 2015)"},"properties":{"noteIndex":0},"schema":"https://github.com/citation-style-language/schema/raw/master/csl-citation.json"}</w:instrText>
      </w:r>
      <w:r>
        <w:rPr>
          <w:rFonts w:cs="Calibri"/>
        </w:rPr>
        <w:fldChar w:fldCharType="separate"/>
      </w:r>
      <w:r>
        <w:rPr>
          <w:rFonts w:cs="Calibri"/>
          <w:i w:val="0"/>
          <w:noProof/>
        </w:rPr>
        <w:t>(South Yorkshire Fire and Rescue, 2015)</w:t>
      </w:r>
      <w:bookmarkEnd w:id="640"/>
      <w:r>
        <w:rPr>
          <w:rFonts w:cs="Calibri"/>
        </w:rPr>
        <w:fldChar w:fldCharType="end"/>
      </w:r>
    </w:p>
    <w:p w14:paraId="5532309F" w14:textId="77777777" w:rsidR="00787F73" w:rsidRDefault="00742FB7" w:rsidP="00866155">
      <w:r>
        <w:rPr>
          <w:rFonts w:cs="Calibri"/>
        </w:rPr>
        <w:t xml:space="preserve">Using this approach, it was decided the project would focus on a low risk and high-risk community. SYFR then provided me with a document with the eight highest risk areas, and a list of 199 very low risk areas in South Yorkshire. I then randomly selected a location for the highest and lowest risk groups. The high-risk location remained the same throughout the project, however, the low-risk community changed part-way through the project due to low engagement levels which made recruitment challenging. </w:t>
      </w:r>
    </w:p>
    <w:p w14:paraId="01803163" w14:textId="77777777" w:rsidR="00787F73" w:rsidRDefault="00787F73" w:rsidP="00866155">
      <w:pPr>
        <w:rPr>
          <w:rFonts w:cs="Calibri"/>
        </w:rPr>
      </w:pPr>
    </w:p>
    <w:p w14:paraId="2DF34C7A" w14:textId="77777777" w:rsidR="00787F73" w:rsidRDefault="00742FB7" w:rsidP="00866155">
      <w:pPr>
        <w:pStyle w:val="Heading5"/>
        <w:spacing w:line="360" w:lineRule="auto"/>
      </w:pPr>
      <w:bookmarkStart w:id="641" w:name="_heading=h.1ci93xb"/>
      <w:bookmarkStart w:id="642" w:name="_Toc147765761"/>
      <w:bookmarkEnd w:id="641"/>
      <w:r>
        <w:rPr>
          <w:rFonts w:ascii="Calibri" w:hAnsi="Calibri" w:cs="Calibri"/>
        </w:rPr>
        <w:t>Connecting with the communities</w:t>
      </w:r>
      <w:bookmarkEnd w:id="642"/>
    </w:p>
    <w:p w14:paraId="69C9AFEC" w14:textId="1DA35F23" w:rsidR="00787F73" w:rsidRDefault="00742FB7" w:rsidP="00866155">
      <w:r>
        <w:rPr>
          <w:rFonts w:cs="Calibri"/>
        </w:rPr>
        <w:t>Recruiting for community focus groups can be challenging, and this was amplified during the COVID-19 Lockdowns. Previously</w:t>
      </w:r>
      <w:r w:rsidR="00E20E26">
        <w:rPr>
          <w:rFonts w:cs="Calibri"/>
        </w:rPr>
        <w:t>,</w:t>
      </w:r>
      <w:r>
        <w:rPr>
          <w:rFonts w:cs="Calibri"/>
        </w:rPr>
        <w:t xml:space="preserve"> the aim had been to visit the communities, attend community events, and get to know people in the community prior to attempting to recruit participants for the workshop. Having previously conducted community work in academia and industry, I felt confident about this area of the data collection</w:t>
      </w:r>
      <w:r w:rsidR="00E20E26">
        <w:rPr>
          <w:rFonts w:cs="Calibri"/>
        </w:rPr>
        <w:t>. However</w:t>
      </w:r>
      <w:r>
        <w:rPr>
          <w:rFonts w:cs="Calibri"/>
        </w:rPr>
        <w:t>, due to restrictions on in-person data collection</w:t>
      </w:r>
      <w:r w:rsidR="00E20E26">
        <w:rPr>
          <w:rFonts w:cs="Calibri"/>
        </w:rPr>
        <w:t>,</w:t>
      </w:r>
      <w:r>
        <w:rPr>
          <w:rFonts w:cs="Calibri"/>
        </w:rPr>
        <w:t xml:space="preserve"> this element of the research had to adapt. </w:t>
      </w:r>
    </w:p>
    <w:p w14:paraId="796EE0A3" w14:textId="1F859064" w:rsidR="00C30B86" w:rsidRDefault="00742FB7" w:rsidP="00866155">
      <w:pPr>
        <w:rPr>
          <w:rFonts w:cs="Calibri"/>
        </w:rPr>
      </w:pPr>
      <w:r>
        <w:rPr>
          <w:rFonts w:cs="Calibri"/>
        </w:rPr>
        <w:t xml:space="preserve">As the research was based on the use of social media, I pivoted my approach and attempted to contact the chosen communities via Facebook. I searched for local Facebook groups, signed up, and messaged the group admins to ask permission to post a message to the </w:t>
      </w:r>
      <w:r>
        <w:rPr>
          <w:rFonts w:cs="Calibri"/>
        </w:rPr>
        <w:lastRenderedPageBreak/>
        <w:t xml:space="preserve">group. All the groups I requested to join had administrators who manage the groups, after explaining the research and why I wanted to join their group, they allowed me to join and post a series of messages asking the group’s members to participate in a focus group. I tried various message approaches, with posters, text, links, however, the engagement was very </w:t>
      </w:r>
      <w:r w:rsidR="0036512A">
        <w:rPr>
          <w:rFonts w:cs="Calibri"/>
        </w:rPr>
        <w:t>low and</w:t>
      </w:r>
      <w:r>
        <w:rPr>
          <w:rFonts w:cs="Calibri"/>
        </w:rPr>
        <w:t xml:space="preserve"> resulted in only two members of the community for each community workshop. </w:t>
      </w:r>
    </w:p>
    <w:p w14:paraId="2DACC4F4" w14:textId="77777777" w:rsidR="003B71CD" w:rsidRDefault="003B71CD" w:rsidP="00866155">
      <w:pPr>
        <w:rPr>
          <w:rFonts w:cs="Calibri"/>
        </w:rPr>
      </w:pPr>
    </w:p>
    <w:p w14:paraId="580C824E" w14:textId="18D991F5" w:rsidR="00FF2836" w:rsidRDefault="003B71CD" w:rsidP="00866155">
      <w:pPr>
        <w:rPr>
          <w:rFonts w:cs="Calibri"/>
        </w:rPr>
      </w:pPr>
      <w:r>
        <w:rPr>
          <w:rFonts w:cs="Calibri"/>
        </w:rPr>
        <w:t>The literature on focus groups is divided on the numbers of attendees required, with some suggesting a minimum of four</w:t>
      </w:r>
      <w:r w:rsidR="00030BFF">
        <w:rPr>
          <w:rFonts w:cs="Calibri"/>
        </w:rPr>
        <w:t xml:space="preserve"> </w:t>
      </w:r>
      <w:r>
        <w:rPr>
          <w:rFonts w:cs="Calibri"/>
        </w:rPr>
        <w:t>and other suggesting a minimum of ten</w:t>
      </w:r>
      <w:r w:rsidR="00030BFF">
        <w:rPr>
          <w:rFonts w:cs="Calibri"/>
        </w:rPr>
        <w:t xml:space="preserve"> </w:t>
      </w:r>
      <w:r w:rsidR="00AB2B75">
        <w:rPr>
          <w:rFonts w:cs="Calibri"/>
        </w:rPr>
        <w:fldChar w:fldCharType="begin" w:fldLock="1"/>
      </w:r>
      <w:r w:rsidR="00FF2836">
        <w:rPr>
          <w:rFonts w:cs="Calibri"/>
        </w:rPr>
        <w:instrText>ADDIN CSL_CITATION {"citationItems":[{"id":"ITEM-1","itemData":{"DOI":"10.1111/j.1475-4762.2007.00766.x","ISSN":"00040894","abstract":"Focus groups are now widely used by human geographers conducting qualitative research, and are clearly recognised as an established research method within the discipline. Despite this, there is a lack of discussion about the various methodological issues involved in using focus groups. This paper aims to open up discussion by suggesting that there is a need to think critically and creatively about using focus groups in human geography. I draw upon my experience of conducting focus groups with young Muslim men in order to suggest some of the ways in which human geographers might think critically about using focus groups. Some of the issues discussed include group size, location, context and timing, sensitivity of topic, the age of research participants and the positionalities of the researcher. © The Author. Journal compilation © Royal Geographical Society (with The Institute of British Geographers) 2007.","author":[{"dropping-particle":"","family":"Hopkins","given":"Peter E.","non-dropping-particle":"","parse-names":false,"suffix":""}],"container-title":"Area","id":"ITEM-1","issue":"4","issued":{"date-parts":[["2007"]]},"page":"528-535","title":"Thinking critically and creatively about focus groups","type":"article-journal","volume":"39"},"uris":["http://www.mendeley.com/documents/?uuid=e7215da5-04b4-41a8-b6b8-dbc8b6db9b9b"]},{"id":"ITEM-2","itemData":{"DOI":"10.1016/j.wsif.2018.12.004","ISSN":"02775395","abstract":"This article reflects critically on the experience of using focus groups as a central method in a research project on minority women. The importance of using focus groups as a data collection method in feminist research is widely acknowledged. Yet, despite numerous accounts of the central importance of analysis at the interactive level, analysis of focus groups has been conducted primarily at the individual level. Based on close analysis of focus groups conducted within the context of research among minority women in Israel, the article carefully maps out the process of interpreting collective constructions of meaning and identifying dynamics between participants by focusing on the interactive level of analysis. The dimensions and modes of analysis we employ draw on recent feminist theories of silence and voice that allow for a more nuanced mode of listening to produce a deeper understanding of the research dynamics.","author":[{"dropping-particle":"","family":"Kook","given":"Rebecca","non-dropping-particle":"","parse-names":false,"suffix":""},{"dropping-particle":"","family":"Harel-Shalev","given":"Ayelet","non-dropping-particle":"","parse-names":false,"suffix":""},{"dropping-particle":"","family":"Yuval","given":"Fany","non-dropping-particle":"","parse-names":false,"suffix":""}],"container-title":"Women's Studies International Forum","id":"ITEM-2","issue":"1","issued":{"date-parts":[["2019"]]},"page":"87-94","title":"Focus groups and the collective construction of meaning: Listening to minority women","type":"article-journal","volume":"72"},"uris":["http://www.mendeley.com/documents/?uuid=eeecb8dd-6e21-48da-9c2f-a44b82d47ef1"]}],"mendeley":{"formattedCitation":"(Kook, Harel-Shalev, &amp; Yuval, 2019; Hopkins, 2007)","plainTextFormattedCitation":"(Kook, Harel-Shalev, &amp; Yuval, 2019; Hopkins, 2007)","previouslyFormattedCitation":"(Kook, Harel-Shalev, &amp; Yuval, 2019; Hopkins, 2007)"},"properties":{"noteIndex":0},"schema":"https://github.com/citation-style-language/schema/raw/master/csl-citation.json"}</w:instrText>
      </w:r>
      <w:r w:rsidR="00AB2B75">
        <w:rPr>
          <w:rFonts w:cs="Calibri"/>
        </w:rPr>
        <w:fldChar w:fldCharType="separate"/>
      </w:r>
      <w:r w:rsidR="00FF2836" w:rsidRPr="00FF2836">
        <w:rPr>
          <w:rFonts w:cs="Calibri"/>
          <w:noProof/>
        </w:rPr>
        <w:t>(Kook, Harel-Shalev, &amp; Yuval, 2019; Hopkins, 2007)</w:t>
      </w:r>
      <w:r w:rsidR="00AB2B75">
        <w:rPr>
          <w:rFonts w:cs="Calibri"/>
        </w:rPr>
        <w:fldChar w:fldCharType="end"/>
      </w:r>
      <w:r w:rsidR="00AB2B75">
        <w:rPr>
          <w:rFonts w:cs="Calibri"/>
        </w:rPr>
        <w:t xml:space="preserve">. </w:t>
      </w:r>
      <w:r>
        <w:rPr>
          <w:rFonts w:cs="Calibri"/>
        </w:rPr>
        <w:t xml:space="preserve">These numbers are </w:t>
      </w:r>
      <w:r w:rsidR="006C050A">
        <w:rPr>
          <w:rFonts w:cs="Calibri"/>
        </w:rPr>
        <w:t>suggested</w:t>
      </w:r>
      <w:r>
        <w:rPr>
          <w:rFonts w:cs="Calibri"/>
        </w:rPr>
        <w:t xml:space="preserve"> as it is hoped that all participants will engage and create a rich discussion, however</w:t>
      </w:r>
      <w:r w:rsidR="00E20E26">
        <w:rPr>
          <w:rFonts w:cs="Calibri"/>
        </w:rPr>
        <w:t>,</w:t>
      </w:r>
      <w:r>
        <w:rPr>
          <w:rFonts w:cs="Calibri"/>
        </w:rPr>
        <w:t xml:space="preserve"> this is not always the case. </w:t>
      </w:r>
      <w:r w:rsidR="006C050A">
        <w:rPr>
          <w:rFonts w:cs="Calibri"/>
        </w:rPr>
        <w:t xml:space="preserve">Large groups can bring challenges for data collection, such as multiple voices speaking at once, dominant participants and so on. </w:t>
      </w:r>
      <w:r>
        <w:rPr>
          <w:rFonts w:cs="Calibri"/>
        </w:rPr>
        <w:t>Whil</w:t>
      </w:r>
      <w:r w:rsidR="00174010">
        <w:rPr>
          <w:rFonts w:cs="Calibri"/>
        </w:rPr>
        <w:t xml:space="preserve">e </w:t>
      </w:r>
      <w:r>
        <w:rPr>
          <w:rFonts w:cs="Calibri"/>
        </w:rPr>
        <w:t xml:space="preserve">these larger groups can be productive and necessary for some research, for other projects there needs to be a smaller more spacious experience. </w:t>
      </w:r>
      <w:r w:rsidR="006C050A">
        <w:rPr>
          <w:rFonts w:cs="Calibri"/>
        </w:rPr>
        <w:t>This project was focusing on the participants experiences and thoughts surrounding their disaster resilience. Whil</w:t>
      </w:r>
      <w:r w:rsidR="00174010">
        <w:rPr>
          <w:rFonts w:cs="Calibri"/>
        </w:rPr>
        <w:t xml:space="preserve">e </w:t>
      </w:r>
      <w:r w:rsidR="006C050A">
        <w:rPr>
          <w:rFonts w:cs="Calibri"/>
        </w:rPr>
        <w:t>this was not an ethically sensitive topic, the data w</w:t>
      </w:r>
      <w:r w:rsidR="00174010">
        <w:rPr>
          <w:rFonts w:cs="Calibri"/>
        </w:rPr>
        <w:t>ere</w:t>
      </w:r>
      <w:r w:rsidR="006C050A">
        <w:rPr>
          <w:rFonts w:cs="Calibri"/>
        </w:rPr>
        <w:t xml:space="preserve"> collected within challenging conditions due to COVID-19 restrictions.</w:t>
      </w:r>
      <w:r w:rsidR="00030BFF">
        <w:rPr>
          <w:rFonts w:cs="Calibri"/>
        </w:rPr>
        <w:t xml:space="preserve"> Providing a smaller group to discuss this topic enabled the participants the space to consider the questions and share their experiences </w:t>
      </w:r>
      <w:r w:rsidR="00EF6487">
        <w:rPr>
          <w:rFonts w:cs="Calibri"/>
        </w:rPr>
        <w:fldChar w:fldCharType="begin" w:fldLock="1"/>
      </w:r>
      <w:r w:rsidR="00AB2B75">
        <w:rPr>
          <w:rFonts w:cs="Calibri"/>
        </w:rPr>
        <w:instrText>ADDIN CSL_CITATION {"citationItems":[{"id":"ITEM-1","itemData":{"DOI":"10.1111/j.1475-4762.2007.00766.x","ISSN":"00040894","abstract":"Focus groups are now widely used by human geographers conducting qualitative research, and are clearly recognised as an established research method within the discipline. Despite this, there is a lack of discussion about the various methodological issues involved in using focus groups. This paper aims to open up discussion by suggesting that there is a need to think critically and creatively about using focus groups in human geography. I draw upon my experience of conducting focus groups with young Muslim men in order to suggest some of the ways in which human geographers might think critically about using focus groups. Some of the issues discussed include group size, location, context and timing, sensitivity of topic, the age of research participants and the positionalities of the researcher. © The Author. Journal compilation © Royal Geographical Society (with The Institute of British Geographers) 2007.","author":[{"dropping-particle":"","family":"Hopkins","given":"Peter E.","non-dropping-particle":"","parse-names":false,"suffix":""}],"container-title":"Area","id":"ITEM-1","issue":"4","issued":{"date-parts":[["2007"]]},"page":"528-535","title":"Thinking critically and creatively about focus groups","type":"article-journal","volume":"39"},"uris":["http://www.mendeley.com/documents/?uuid=e7215da5-04b4-41a8-b6b8-dbc8b6db9b9b"]}],"mendeley":{"formattedCitation":"(Hopkins, 2007)","plainTextFormattedCitation":"(Hopkins, 2007)","previouslyFormattedCitation":"(Hopkins, 2007)"},"properties":{"noteIndex":0},"schema":"https://github.com/citation-style-language/schema/raw/master/csl-citation.json"}</w:instrText>
      </w:r>
      <w:r w:rsidR="00EF6487">
        <w:rPr>
          <w:rFonts w:cs="Calibri"/>
        </w:rPr>
        <w:fldChar w:fldCharType="separate"/>
      </w:r>
      <w:r w:rsidR="00EF6487" w:rsidRPr="00EF6487">
        <w:rPr>
          <w:rFonts w:cs="Calibri"/>
          <w:noProof/>
        </w:rPr>
        <w:t>(Hopkins, 2007)</w:t>
      </w:r>
      <w:r w:rsidR="00EF6487">
        <w:rPr>
          <w:rFonts w:cs="Calibri"/>
        </w:rPr>
        <w:fldChar w:fldCharType="end"/>
      </w:r>
      <w:r w:rsidR="00030BFF">
        <w:rPr>
          <w:rFonts w:cs="Calibri"/>
        </w:rPr>
        <w:t xml:space="preserve">. </w:t>
      </w:r>
    </w:p>
    <w:p w14:paraId="72EFD6FB" w14:textId="77777777" w:rsidR="00FF2836" w:rsidRDefault="00FF2836" w:rsidP="00866155">
      <w:pPr>
        <w:rPr>
          <w:rFonts w:cs="Calibri"/>
        </w:rPr>
      </w:pPr>
    </w:p>
    <w:p w14:paraId="7617438E" w14:textId="3599656B" w:rsidR="002F766B" w:rsidRDefault="00FF2836" w:rsidP="00FF2836">
      <w:pPr>
        <w:rPr>
          <w:rFonts w:cs="Calibri"/>
        </w:rPr>
      </w:pPr>
      <w:r>
        <w:rPr>
          <w:rFonts w:cs="Calibri"/>
        </w:rPr>
        <w:t xml:space="preserve">Focus groups have long been used as a feminist research method, to enable participants the space to provide space to voice experiences and create a collective meaning of events </w:t>
      </w:r>
      <w:r>
        <w:rPr>
          <w:rFonts w:cs="Calibri"/>
        </w:rPr>
        <w:fldChar w:fldCharType="begin" w:fldLock="1"/>
      </w:r>
      <w:r>
        <w:rPr>
          <w:rFonts w:cs="Calibri"/>
        </w:rPr>
        <w:instrText>ADDIN CSL_CITATION {"citationItems":[{"id":"ITEM-1","itemData":{"DOI":"10.1016/j.wsif.2018.12.004","ISSN":"02775395","abstract":"This article reflects critically on the experience of using focus groups as a central method in a research project on minority women. The importance of using focus groups as a data collection method in feminist research is widely acknowledged. Yet, despite numerous accounts of the central importance of analysis at the interactive level, analysis of focus groups has been conducted primarily at the individual level. Based on close analysis of focus groups conducted within the context of research among minority women in Israel, the article carefully maps out the process of interpreting collective constructions of meaning and identifying dynamics between participants by focusing on the interactive level of analysis. The dimensions and modes of analysis we employ draw on recent feminist theories of silence and voice that allow for a more nuanced mode of listening to produce a deeper understanding of the research dynamics.","author":[{"dropping-particle":"","family":"Kook","given":"Rebecca","non-dropping-particle":"","parse-names":false,"suffix":""},{"dropping-particle":"","family":"Harel-Shalev","given":"Ayelet","non-dropping-particle":"","parse-names":false,"suffix":""},{"dropping-particle":"","family":"Yuval","given":"Fany","non-dropping-particle":"","parse-names":false,"suffix":""}],"container-title":"Women's Studies International Forum","id":"ITEM-1","issue":"1","issued":{"date-parts":[["2019"]]},"page":"87-94","title":"Focus groups and the collective construction of meaning: Listening to minority women","type":"article-journal","volume":"72"},"uris":["http://www.mendeley.com/documents/?uuid=eeecb8dd-6e21-48da-9c2f-a44b82d47ef1"]}],"mendeley":{"formattedCitation":"(Kook, Harel-Shalev, &amp; Yuval, 2019)","plainTextFormattedCitation":"(Kook, Harel-Shalev, &amp; Yuval, 2019)","previouslyFormattedCitation":"(Kook, Harel-Shalev, &amp; Yuval, 2019)"},"properties":{"noteIndex":0},"schema":"https://github.com/citation-style-language/schema/raw/master/csl-citation.json"}</w:instrText>
      </w:r>
      <w:r>
        <w:rPr>
          <w:rFonts w:cs="Calibri"/>
        </w:rPr>
        <w:fldChar w:fldCharType="separate"/>
      </w:r>
      <w:r w:rsidRPr="00FF2836">
        <w:rPr>
          <w:rFonts w:cs="Calibri"/>
          <w:noProof/>
        </w:rPr>
        <w:t>(Kook, Harel-Shalev, &amp; Yuval, 2019)</w:t>
      </w:r>
      <w:r>
        <w:rPr>
          <w:rFonts w:cs="Calibri"/>
        </w:rPr>
        <w:fldChar w:fldCharType="end"/>
      </w:r>
      <w:r>
        <w:rPr>
          <w:rFonts w:cs="Calibri"/>
        </w:rPr>
        <w:t>. Therefore, t</w:t>
      </w:r>
      <w:r w:rsidR="00886B9E">
        <w:rPr>
          <w:rFonts w:cs="Calibri"/>
        </w:rPr>
        <w:t>he space provided to participants within a small focus group can also support certain groups within society who often feel that their voices are marginalised, due to</w:t>
      </w:r>
      <w:r w:rsidR="008558E5">
        <w:rPr>
          <w:rFonts w:cs="Calibri"/>
        </w:rPr>
        <w:t xml:space="preserve"> their</w:t>
      </w:r>
      <w:r w:rsidR="00886B9E">
        <w:rPr>
          <w:rFonts w:cs="Calibri"/>
        </w:rPr>
        <w:t xml:space="preserve"> race, culture</w:t>
      </w:r>
      <w:r w:rsidR="008558E5">
        <w:rPr>
          <w:rFonts w:cs="Calibri"/>
        </w:rPr>
        <w:t xml:space="preserve"> or</w:t>
      </w:r>
      <w:r w:rsidR="00886B9E">
        <w:rPr>
          <w:rFonts w:cs="Calibri"/>
        </w:rPr>
        <w:t xml:space="preserve"> gender </w:t>
      </w:r>
      <w:r w:rsidR="00886B9E">
        <w:rPr>
          <w:rFonts w:cs="Calibri"/>
        </w:rPr>
        <w:fldChar w:fldCharType="begin" w:fldLock="1"/>
      </w:r>
      <w:r w:rsidR="009C5140">
        <w:rPr>
          <w:rFonts w:cs="Calibri"/>
        </w:rPr>
        <w:instrText>ADDIN CSL_CITATION {"citationItems":[{"id":"ITEM-1","itemData":{"DOI":"10.1177/1473325009103374","ISSN":"14733250","abstract":"This article discusses issues of validity in focus group methodology when very few people actually participate in the research. The defense of small size emerges from experiences in dissertation research with women who have abused illegal substances and self-identify as addicts. Validity is addressed through application of standard measures of validity to the Very Small Focus Groups (VSFGs). In addition, the VSFGs are analyzed according to characteristics of group development, demonstrating that even with small size, typical group development stages occur. Attention is paid to feminist research principles, demonstrating that those principles are expressed regardless of small group size. Implications for social work research and practice in partnership with marginalized people are discussed. © 2009 Sage Publications Los Angeles.","author":[{"dropping-particle":"","family":"Toner","given":"Jean","non-dropping-particle":"","parse-names":false,"suffix":""}],"container-title":"Qualitative Social Work","id":"ITEM-1","issue":"2","issued":{"date-parts":[["2009"]]},"page":"179-192","title":"Small is not too small: Reflections concerning the validity of very small focus groups (VSFGs)","type":"article-journal","volume":"8"},"uris":["http://www.mendeley.com/documents/?uuid=79a29f21-195c-4b65-a1fd-dc07c27be042"]}],"mendeley":{"formattedCitation":"(Toner, 2009)","plainTextFormattedCitation":"(Toner, 2009)","previouslyFormattedCitation":"(Toner, 2009)"},"properties":{"noteIndex":0},"schema":"https://github.com/citation-style-language/schema/raw/master/csl-citation.json"}</w:instrText>
      </w:r>
      <w:r w:rsidR="00886B9E">
        <w:rPr>
          <w:rFonts w:cs="Calibri"/>
        </w:rPr>
        <w:fldChar w:fldCharType="separate"/>
      </w:r>
      <w:r w:rsidR="00886B9E" w:rsidRPr="00886B9E">
        <w:rPr>
          <w:rFonts w:cs="Calibri"/>
          <w:noProof/>
        </w:rPr>
        <w:t>(Toner, 2009)</w:t>
      </w:r>
      <w:r w:rsidR="00886B9E">
        <w:rPr>
          <w:rFonts w:cs="Calibri"/>
        </w:rPr>
        <w:fldChar w:fldCharType="end"/>
      </w:r>
      <w:r w:rsidR="00886B9E">
        <w:rPr>
          <w:rFonts w:cs="Calibri"/>
        </w:rPr>
        <w:t>. In the case of this research, all the participants identified as wome</w:t>
      </w:r>
      <w:r w:rsidR="00B1063B">
        <w:rPr>
          <w:rFonts w:cs="Calibri"/>
        </w:rPr>
        <w:t>n</w:t>
      </w:r>
      <w:r w:rsidR="00886B9E">
        <w:rPr>
          <w:rFonts w:cs="Calibri"/>
        </w:rPr>
        <w:t xml:space="preserve">. </w:t>
      </w:r>
      <w:r w:rsidR="002F766B">
        <w:rPr>
          <w:rFonts w:cs="Calibri"/>
        </w:rPr>
        <w:t xml:space="preserve">This is clearly a </w:t>
      </w:r>
      <w:r w:rsidR="00B1063B">
        <w:rPr>
          <w:rFonts w:cs="Calibri"/>
        </w:rPr>
        <w:t xml:space="preserve">substantial </w:t>
      </w:r>
      <w:r w:rsidR="002F766B">
        <w:rPr>
          <w:rFonts w:cs="Calibri"/>
        </w:rPr>
        <w:t>limitation within the research. When conducting community-based research there needs to be an inclusion of a range of socio-economic experiences. Due to the challenges of COVID-19 and the need to conduct the research online, I was only able to recruit people who engaged with my posts on social media.</w:t>
      </w:r>
      <w:r w:rsidR="00B1063B">
        <w:rPr>
          <w:rFonts w:cs="Calibri"/>
        </w:rPr>
        <w:t xml:space="preserve"> The data collection for this project spanned over numerous years and when the COVID-19 lockdowns were eased, I was then unable to collect data in person as I was pregnant and required to self-isolate due to the high-risk nature of my pregnancy </w:t>
      </w:r>
      <w:r w:rsidR="00B1063B">
        <w:rPr>
          <w:rFonts w:cs="Calibri"/>
        </w:rPr>
        <w:lastRenderedPageBreak/>
        <w:t>(twins). This meant that within the timeframe of the PhD</w:t>
      </w:r>
      <w:r w:rsidR="00174010">
        <w:rPr>
          <w:rFonts w:cs="Calibri"/>
        </w:rPr>
        <w:t>,</w:t>
      </w:r>
      <w:r w:rsidR="00B1063B">
        <w:rPr>
          <w:rFonts w:cs="Calibri"/>
        </w:rPr>
        <w:t xml:space="preserve"> I was unable to collect more community data. </w:t>
      </w:r>
    </w:p>
    <w:p w14:paraId="75879FD6" w14:textId="77777777" w:rsidR="006C050A" w:rsidRDefault="006C050A" w:rsidP="00866155">
      <w:pPr>
        <w:rPr>
          <w:rFonts w:cs="Calibri"/>
        </w:rPr>
      </w:pPr>
    </w:p>
    <w:p w14:paraId="6F0BBB51" w14:textId="1306628B" w:rsidR="00C11392" w:rsidRDefault="00C11392" w:rsidP="00C11392">
      <w:pPr>
        <w:rPr>
          <w:rFonts w:cs="Calibri"/>
        </w:rPr>
      </w:pPr>
      <w:r>
        <w:rPr>
          <w:rFonts w:cs="Calibri"/>
        </w:rPr>
        <w:t xml:space="preserve">This research used an interpretivist approach, which places importance on the nuance of the individuals’ experiences. This project examined communities, which </w:t>
      </w:r>
      <w:r w:rsidR="00CF3D41">
        <w:rPr>
          <w:rFonts w:cs="Calibri"/>
        </w:rPr>
        <w:t xml:space="preserve">also </w:t>
      </w:r>
      <w:r>
        <w:rPr>
          <w:rFonts w:cs="Calibri"/>
        </w:rPr>
        <w:t>require</w:t>
      </w:r>
      <w:r w:rsidR="00CF3D41">
        <w:rPr>
          <w:rFonts w:cs="Calibri"/>
        </w:rPr>
        <w:t>d</w:t>
      </w:r>
      <w:r>
        <w:rPr>
          <w:rFonts w:cs="Calibri"/>
        </w:rPr>
        <w:t xml:space="preserve"> an understanding of the breadth of experience within a community </w:t>
      </w:r>
      <w:r>
        <w:rPr>
          <w:rFonts w:cs="Calibri"/>
        </w:rPr>
        <w:fldChar w:fldCharType="begin" w:fldLock="1"/>
      </w:r>
      <w:r w:rsidR="00E735C1">
        <w:rPr>
          <w:rFonts w:cs="Calibri"/>
        </w:rPr>
        <w:instrText>ADDIN CSL_CITATION {"citationItems":[{"id":"ITEM-1","itemData":{"DOI":"10.3390/soc8030071","ISSN":"2075-4698","abstract":"In all areas of academic or practical work related to disaster risk, climate change and development more generally, community and its adjunct community-based have become the default terminology when referring to the local level or working ‘with the people’. The terms are applied extensively to highlight what is believed to be a people-centred, participatory, or grassroot-level approach. Today, despite, or because of, its inherent ambiguity, ‘community’ tends to be used almost inflationarily. This paper aims to analyse the way the concept of ‘community’ has come into fashion, and to critically reflect on the problems that come with it. We are raising significant doubts about the usefulness of ‘community’ in development- and disaster-related work. Our approach is to first consider how ‘community’ has become popular in research and with humanitarian agencies and other organisations based on what can be considered a ‘moral licence’ that supposedly guarantees that the actions being taken are genuinely people-centred and ethically justified. We then explore several theoretical approaches to ‘community’, highlight the vast scope of different (and contested) views on what ‘community’ entails, and explain how ‘community’ is framing practical attempts to mitigate vulnerability and inequity. We demonstrate how these attempts are usually futile, and sometimes harmful, due to the blurriness of ‘community’ concepts and their inherent failure to address the root causes of vulnerability. From two antagonistic positions, we finally advocate more meaningful ways to acknowledge vulnerable people’s views and needs appropriately.","author":[{"dropping-particle":"","family":"Titz","given":"Alexandra","non-dropping-particle":"","parse-names":false,"suffix":""},{"dropping-particle":"","family":"Cannon","given":"Terry","non-dropping-particle":"","parse-names":false,"suffix":""},{"dropping-particle":"","family":"Krüger","given":"Fred","non-dropping-particle":"","parse-names":false,"suffix":""}],"container-title":"Societies","id":"ITEM-1","issue":"3","issued":{"date-parts":[["2018"]]},"page":"1 - 28","title":"Uncovering ‘Community’: Challenging an Elusive Concept in Development and Disaster Related Work","type":"article-journal","volume":"8"},"uris":["http://www.mendeley.com/documents/?uuid=f9599f8d-2339-4d46-9072-6514bdefdc30"]}],"mendeley":{"formattedCitation":"(Titz, Cannon, &amp; Krüger, 2018)","plainTextFormattedCitation":"(Titz, Cannon, &amp; Krüger, 2018)","previouslyFormattedCitation":"(Titz, Cannon, &amp; Krüger, 2018)"},"properties":{"noteIndex":0},"schema":"https://github.com/citation-style-language/schema/raw/master/csl-citation.json"}</w:instrText>
      </w:r>
      <w:r>
        <w:rPr>
          <w:rFonts w:cs="Calibri"/>
        </w:rPr>
        <w:fldChar w:fldCharType="separate"/>
      </w:r>
      <w:r w:rsidRPr="00C11392">
        <w:rPr>
          <w:rFonts w:cs="Calibri"/>
          <w:noProof/>
        </w:rPr>
        <w:t>(Titz, Cannon, &amp; Krüger, 2018)</w:t>
      </w:r>
      <w:r>
        <w:rPr>
          <w:rFonts w:cs="Calibri"/>
        </w:rPr>
        <w:fldChar w:fldCharType="end"/>
      </w:r>
      <w:r>
        <w:rPr>
          <w:rFonts w:cs="Calibri"/>
        </w:rPr>
        <w:t xml:space="preserve">, as discussed in the literature review (section 2.4.2).  </w:t>
      </w:r>
      <w:r w:rsidR="00174010">
        <w:rPr>
          <w:rFonts w:cs="Calibri"/>
        </w:rPr>
        <w:t>When u</w:t>
      </w:r>
      <w:r>
        <w:rPr>
          <w:rFonts w:cs="Calibri"/>
        </w:rPr>
        <w:t>sing a</w:t>
      </w:r>
      <w:r w:rsidR="00174010">
        <w:rPr>
          <w:rFonts w:cs="Calibri"/>
        </w:rPr>
        <w:t>n</w:t>
      </w:r>
      <w:r>
        <w:rPr>
          <w:rFonts w:cs="Calibri"/>
        </w:rPr>
        <w:t xml:space="preserve"> interpretivist philosophy</w:t>
      </w:r>
      <w:r w:rsidR="00174010">
        <w:rPr>
          <w:rFonts w:cs="Calibri"/>
        </w:rPr>
        <w:t>,</w:t>
      </w:r>
      <w:r w:rsidR="00B52275">
        <w:rPr>
          <w:rFonts w:cs="Calibri"/>
        </w:rPr>
        <w:t xml:space="preserve"> there is a greater</w:t>
      </w:r>
      <w:r>
        <w:rPr>
          <w:rFonts w:cs="Calibri"/>
        </w:rPr>
        <w:t xml:space="preserve"> focus on smaller samples and a more in-depth investigation into topics </w:t>
      </w:r>
      <w:r w:rsidR="00CF3D41">
        <w:rPr>
          <w:rFonts w:cs="Calibri"/>
        </w:rPr>
        <w:t>in order to draw out the variation in lived experiences</w:t>
      </w:r>
      <w:r w:rsidR="001D4D98">
        <w:rPr>
          <w:rFonts w:cs="Calibri"/>
        </w:rPr>
        <w:t xml:space="preserve"> </w:t>
      </w:r>
      <w:r w:rsidR="001D4D98">
        <w:rPr>
          <w:rFonts w:cs="Calibri"/>
        </w:rPr>
        <w:fldChar w:fldCharType="begin" w:fldLock="1"/>
      </w:r>
      <w:r w:rsidR="001D4D98">
        <w:rPr>
          <w:rFonts w:cs="Calibri"/>
        </w:rPr>
        <w:instrText>ADDIN CSL_CITATION {"citationItems":[{"id":"ITEM-1","itemData":{"DOI":"10.1080/09523367.2012.743996","ISBN":"9780273716860","ISSN":"09523367","abstract":"A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students","edition":"Eighth","id":"ITEM-1","issued":{"date-parts":[["2019"]]},"page":"128 - 170","publisher":"Pearson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2019)","plainTextFormattedCitation":"(Saunders, Lewis, &amp; Thornhill, 2019)","previouslyFormattedCitation":"(Saunders, Lewis, &amp; Thornhill, 2019)"},"properties":{"noteIndex":0},"schema":"https://github.com/citation-style-language/schema/raw/master/csl-citation.json"}</w:instrText>
      </w:r>
      <w:r w:rsidR="001D4D98">
        <w:rPr>
          <w:rFonts w:cs="Calibri"/>
        </w:rPr>
        <w:fldChar w:fldCharType="separate"/>
      </w:r>
      <w:r w:rsidR="001D4D98" w:rsidRPr="00FF2836">
        <w:rPr>
          <w:rFonts w:cs="Calibri"/>
          <w:noProof/>
        </w:rPr>
        <w:t>(Saunders, Lewis, &amp; Thornhill, 2019)</w:t>
      </w:r>
      <w:r w:rsidR="001D4D98">
        <w:rPr>
          <w:rFonts w:cs="Calibri"/>
        </w:rPr>
        <w:fldChar w:fldCharType="end"/>
      </w:r>
      <w:r w:rsidR="00CF3D41">
        <w:rPr>
          <w:rFonts w:cs="Calibri"/>
        </w:rPr>
        <w:t>. This was seen within Toner‘s</w:t>
      </w:r>
      <w:r w:rsidR="001D4D98">
        <w:rPr>
          <w:rFonts w:cs="Calibri"/>
        </w:rPr>
        <w:t xml:space="preserve"> </w:t>
      </w:r>
      <w:r w:rsidR="00CF3D41">
        <w:rPr>
          <w:rFonts w:cs="Calibri"/>
        </w:rPr>
        <w:t xml:space="preserve">(2009) study on women’s experiences of substance abuse. Toner’s small focus groups enabled the participants to discuss and create a shared meaning, which enabled a greater depth of analysis and understanding of the individual participants experiences, enabling the development of research validity and rigour </w:t>
      </w:r>
      <w:r w:rsidR="00CF3D41">
        <w:rPr>
          <w:rFonts w:cs="Calibri"/>
        </w:rPr>
        <w:fldChar w:fldCharType="begin" w:fldLock="1"/>
      </w:r>
      <w:r w:rsidR="00CF3D41">
        <w:rPr>
          <w:rFonts w:cs="Calibri"/>
        </w:rPr>
        <w:instrText>ADDIN CSL_CITATION {"citationItems":[{"id":"ITEM-1","itemData":{"author":[{"dropping-particle":"","family":"Longhurst","given":"Robyn","non-dropping-particle":"","parse-names":false,"suffix":""}],"container-title":"Area","id":"ITEM-1","issue":"2","issued":{"date-parts":[["1996"]]},"page":"143-149","title":"Refocusing groups : pregnant women ' s geographical experiences of Hamilton , New Zealand / Aotearoal","type":"article-journal","volume":"28"},"uris":["http://www.mendeley.com/documents/?uuid=c30ffda5-b365-4665-9703-3feac6187b3a"]},{"id":"ITEM-2","itemData":{"DOI":"10.1177/1473325009103374","ISSN":"14733250","abstract":"This article discusses issues of validity in focus group methodology when very few people actually participate in the research. The defense of small size emerges from experiences in dissertation research with women who have abused illegal substances and self-identify as addicts. Validity is addressed through application of standard measures of validity to the Very Small Focus Groups (VSFGs). In addition, the VSFGs are analyzed according to characteristics of group development, demonstrating that even with small size, typical group development stages occur. Attention is paid to feminist research principles, demonstrating that those principles are expressed regardless of small group size. Implications for social work research and practice in partnership with marginalized people are discussed. © 2009 Sage Publications Los Angeles.","author":[{"dropping-particle":"","family":"Toner","given":"Jean","non-dropping-particle":"","parse-names":false,"suffix":""}],"container-title":"Qualitative Social Work","id":"ITEM-2","issue":"2","issued":{"date-parts":[["2009"]]},"page":"179-192","title":"Small is not too small: Reflections concerning the validity of very small focus groups (VSFGs)","type":"article-journal","volume":"8"},"uris":["http://www.mendeley.com/documents/?uuid=79a29f21-195c-4b65-a1fd-dc07c27be042"]}],"mendeley":{"formattedCitation":"(Toner, 2009; Longhurst, 1996)","plainTextFormattedCitation":"(Toner, 2009; Longhurst, 1996)","previouslyFormattedCitation":"(Toner, 2009; Longhurst, 1996)"},"properties":{"noteIndex":0},"schema":"https://github.com/citation-style-language/schema/raw/master/csl-citation.json"}</w:instrText>
      </w:r>
      <w:r w:rsidR="00CF3D41">
        <w:rPr>
          <w:rFonts w:cs="Calibri"/>
        </w:rPr>
        <w:fldChar w:fldCharType="separate"/>
      </w:r>
      <w:r w:rsidR="00CF3D41" w:rsidRPr="00FF2836">
        <w:rPr>
          <w:rFonts w:cs="Calibri"/>
          <w:noProof/>
        </w:rPr>
        <w:t>(Toner, 2009; Longhurst, 1996)</w:t>
      </w:r>
      <w:r w:rsidR="00CF3D41">
        <w:rPr>
          <w:rFonts w:cs="Calibri"/>
        </w:rPr>
        <w:fldChar w:fldCharType="end"/>
      </w:r>
      <w:r w:rsidR="00CF3D41">
        <w:rPr>
          <w:rFonts w:cs="Calibri"/>
        </w:rPr>
        <w:t>.</w:t>
      </w:r>
      <w:r w:rsidR="00B52275">
        <w:rPr>
          <w:rFonts w:cs="Calibri"/>
        </w:rPr>
        <w:t xml:space="preserve"> </w:t>
      </w:r>
    </w:p>
    <w:p w14:paraId="301E05E4" w14:textId="77777777" w:rsidR="00B52275" w:rsidRDefault="00B52275" w:rsidP="00C11392">
      <w:pPr>
        <w:rPr>
          <w:rFonts w:cs="Calibri"/>
        </w:rPr>
      </w:pPr>
    </w:p>
    <w:p w14:paraId="0AD4D239" w14:textId="6E2CD464" w:rsidR="00B52275" w:rsidRDefault="00B52275" w:rsidP="00C11392">
      <w:pPr>
        <w:rPr>
          <w:rFonts w:cs="Calibri"/>
        </w:rPr>
      </w:pPr>
      <w:r>
        <w:rPr>
          <w:rFonts w:cs="Calibri"/>
        </w:rPr>
        <w:t>Whil</w:t>
      </w:r>
      <w:r w:rsidR="00174010">
        <w:rPr>
          <w:rFonts w:cs="Calibri"/>
        </w:rPr>
        <w:t>e</w:t>
      </w:r>
      <w:r w:rsidR="000C71CE">
        <w:rPr>
          <w:rFonts w:cs="Calibri"/>
        </w:rPr>
        <w:t xml:space="preserve"> </w:t>
      </w:r>
      <w:r>
        <w:rPr>
          <w:rFonts w:cs="Calibri"/>
        </w:rPr>
        <w:t xml:space="preserve">I had aimed to include more community members in the research, using an interpretivist approach means that there is the understanding that each interview and participant can only provide their interpretation of events and concepts </w:t>
      </w:r>
      <w:r>
        <w:rPr>
          <w:rFonts w:cs="Calibri"/>
        </w:rPr>
        <w:fldChar w:fldCharType="begin" w:fldLock="1"/>
      </w:r>
      <w:r>
        <w:rPr>
          <w:rFonts w:cs="Calibri"/>
        </w:rPr>
        <w:instrText>ADDIN CSL_CITATION {"citationItems":[{"id":"ITEM-1","itemData":{"DOI":"10.1080/09523367.2012.743996","ISBN":"9780273716860","ISSN":"09523367","abstract":"A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students","edition":"Eighth","id":"ITEM-1","issued":{"date-parts":[["2019"]]},"page":"128 - 170","publisher":"Pearson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2019)","plainTextFormattedCitation":"(Saunders, Lewis, &amp; Thornhill, 2019)","previouslyFormattedCitation":"(Saunders, Lewis, &amp; Thornhill, 2019)"},"properties":{"noteIndex":0},"schema":"https://github.com/citation-style-language/schema/raw/master/csl-citation.json"}</w:instrText>
      </w:r>
      <w:r>
        <w:rPr>
          <w:rFonts w:cs="Calibri"/>
        </w:rPr>
        <w:fldChar w:fldCharType="separate"/>
      </w:r>
      <w:r w:rsidRPr="00B52275">
        <w:rPr>
          <w:rFonts w:cs="Calibri"/>
          <w:noProof/>
        </w:rPr>
        <w:t>(Saunders, Lewis, &amp; Thornhill, 2019)</w:t>
      </w:r>
      <w:r>
        <w:rPr>
          <w:rFonts w:cs="Calibri"/>
        </w:rPr>
        <w:fldChar w:fldCharType="end"/>
      </w:r>
      <w:r>
        <w:rPr>
          <w:rFonts w:cs="Calibri"/>
        </w:rPr>
        <w:t>. Therefore</w:t>
      </w:r>
      <w:r w:rsidR="00174010">
        <w:rPr>
          <w:rFonts w:cs="Calibri"/>
        </w:rPr>
        <w:t>,</w:t>
      </w:r>
      <w:r>
        <w:rPr>
          <w:rFonts w:cs="Calibri"/>
        </w:rPr>
        <w:t xml:space="preserve"> t</w:t>
      </w:r>
      <w:r w:rsidR="00174010">
        <w:rPr>
          <w:rFonts w:cs="Calibri"/>
        </w:rPr>
        <w:t>he</w:t>
      </w:r>
      <w:r>
        <w:rPr>
          <w:rFonts w:cs="Calibri"/>
        </w:rPr>
        <w:t xml:space="preserve"> concept of data saturation would be impossible unless every member of the community were interviewed, suggesting that the concept of data saturation is challenging for interpretivist research </w:t>
      </w:r>
      <w:r>
        <w:rPr>
          <w:rFonts w:cs="Calibri"/>
        </w:rPr>
        <w:fldChar w:fldCharType="begin" w:fldLock="1"/>
      </w:r>
      <w:r w:rsidR="0080267A">
        <w:rPr>
          <w:rFonts w:cs="Calibri"/>
        </w:rPr>
        <w:instrText>ADDIN CSL_CITATION {"citationItems":[{"id":"ITEM-1","itemData":{"DOI":"10.1080/2159676X.2019.1704846","ISSN":"1939845X","abstract":"The concept of data saturation, defined as ‘information redundancy’ or the point at which no new themes or codes ‘emerge’ from data, is widely referenced in thematic analysis (TA) research in sport and exercise, and beyond. Several researchers have sought to ‘operationalise’ data saturation and provide concrete guidance on how many interviews, or focus groups, are enough to achieve some degree of data saturation in TA research. Our disagreement with such attempts to ‘capture’ data saturation for TA led us to this commentary. Here, we contribute to critical discussions of the saturation concept in qualitative research by interrogating the assumptions around the practice and procedures of TA that inform these data saturation ‘experiments’, and the conceptualisation of saturation as information redundancy. We argue that although the concepts of data-, thematic- or code-saturation, and even meaning-saturation, are coherent with the neo-positivist, discovery-oriented, meaning excavation project of coding reliability types of TA, they are not consistent with the values and assumptions of reflexive TA. We encourage sport and exercise and other researchers using reflexive TA to dwell with uncertainty and recognise that meaning is generated through interpretation of, not excavated from, data, and therefore judgements about ‘how many’ data items, and when to stop data collection, are inescapably situated and subjective, and cannot be determined (wholly) in advance of analysis.","author":[{"dropping-particle":"","family":"Braun","given":"Virginia","non-dropping-particle":"","parse-names":false,"suffix":""},{"dropping-particle":"","family":"Clarke","given":"Victoria","non-dropping-particle":"","parse-names":false,"suffix":""}],"container-title":"Qualitative Research in Sport, Exercise and Health","id":"ITEM-1","issue":"2","issued":{"date-parts":[["2021"]]},"page":"201-216","title":"To saturate or not to saturate? Questioning data saturation as a useful concept for thematic analysis and sample-size rationales","type":"article-journal","volume":"13"},"uris":["http://www.mendeley.com/documents/?uuid=d3b18f66-0948-43b9-9806-30832464ef3c"]}],"mendeley":{"formattedCitation":"(Braun &amp; Clarke, 2021a)","plainTextFormattedCitation":"(Braun &amp; Clarke, 2021a)","previouslyFormattedCitation":"(Braun &amp; Clarke, 2021a)"},"properties":{"noteIndex":0},"schema":"https://github.com/citation-style-language/schema/raw/master/csl-citation.json"}</w:instrText>
      </w:r>
      <w:r>
        <w:rPr>
          <w:rFonts w:cs="Calibri"/>
        </w:rPr>
        <w:fldChar w:fldCharType="separate"/>
      </w:r>
      <w:r w:rsidRPr="00B52275">
        <w:rPr>
          <w:rFonts w:cs="Calibri"/>
          <w:noProof/>
        </w:rPr>
        <w:t>(Braun &amp; Clarke, 2021a)</w:t>
      </w:r>
      <w:r>
        <w:rPr>
          <w:rFonts w:cs="Calibri"/>
        </w:rPr>
        <w:fldChar w:fldCharType="end"/>
      </w:r>
      <w:r>
        <w:rPr>
          <w:rFonts w:cs="Calibri"/>
        </w:rPr>
        <w:t>.</w:t>
      </w:r>
      <w:r w:rsidR="0036512A">
        <w:rPr>
          <w:rFonts w:cs="Calibri"/>
        </w:rPr>
        <w:t xml:space="preserve"> However, this data is inherently limited due to the lack of diversity within the participants as they were all white women. </w:t>
      </w:r>
    </w:p>
    <w:p w14:paraId="219198BE" w14:textId="23F4C21A" w:rsidR="003B71CD" w:rsidRDefault="003B71CD" w:rsidP="003B71CD">
      <w:pPr>
        <w:rPr>
          <w:rFonts w:cs="Calibri"/>
        </w:rPr>
      </w:pPr>
    </w:p>
    <w:p w14:paraId="7C07D953" w14:textId="2AF03889" w:rsidR="00787F73" w:rsidRDefault="00742FB7" w:rsidP="00866155">
      <w:r>
        <w:rPr>
          <w:rFonts w:cs="Calibri"/>
        </w:rPr>
        <w:t>Once the location</w:t>
      </w:r>
      <w:r w:rsidR="00E23E38">
        <w:rPr>
          <w:rFonts w:cs="Calibri"/>
        </w:rPr>
        <w:t xml:space="preserve">s (high and low risk) were </w:t>
      </w:r>
      <w:r>
        <w:rPr>
          <w:rFonts w:cs="Calibri"/>
        </w:rPr>
        <w:t>was chosen, and the community members recruited, I contacted each participant and shared the information sheet (Appendix 2) and consent form (Appendix 3)</w:t>
      </w:r>
      <w:r w:rsidR="00E20E26">
        <w:rPr>
          <w:rFonts w:cs="Calibri"/>
        </w:rPr>
        <w:t>.</w:t>
      </w:r>
      <w:r>
        <w:rPr>
          <w:rFonts w:cs="Calibri"/>
        </w:rPr>
        <w:t xml:space="preserve"> </w:t>
      </w:r>
      <w:r w:rsidR="00E20E26">
        <w:rPr>
          <w:rFonts w:cs="Calibri"/>
        </w:rPr>
        <w:t xml:space="preserve">This </w:t>
      </w:r>
      <w:r>
        <w:rPr>
          <w:rFonts w:cs="Calibri"/>
        </w:rPr>
        <w:t>enabled me to gain informed consent and record the focus group</w:t>
      </w:r>
      <w:r w:rsidR="00E20E26">
        <w:rPr>
          <w:rFonts w:cs="Calibri"/>
        </w:rPr>
        <w:t>. T</w:t>
      </w:r>
      <w:r>
        <w:rPr>
          <w:rFonts w:cs="Calibri"/>
        </w:rPr>
        <w:t>hese were then transcribed and inputted into NVivo for analysis. This was conducted for both the low and high-risk community groups.</w:t>
      </w:r>
    </w:p>
    <w:p w14:paraId="5429529E" w14:textId="77777777" w:rsidR="00787F73" w:rsidRDefault="00787F73" w:rsidP="00866155">
      <w:pPr>
        <w:rPr>
          <w:rFonts w:cs="Calibri"/>
        </w:rPr>
      </w:pPr>
    </w:p>
    <w:p w14:paraId="50534ED7" w14:textId="77777777" w:rsidR="00787F73" w:rsidRDefault="00742FB7" w:rsidP="00866155">
      <w:pPr>
        <w:pStyle w:val="Heading5"/>
        <w:spacing w:line="360" w:lineRule="auto"/>
      </w:pPr>
      <w:bookmarkStart w:id="643" w:name="_Hlk145087005"/>
      <w:bookmarkStart w:id="644" w:name="_Toc145281047"/>
      <w:bookmarkStart w:id="645" w:name="_Toc147765762"/>
      <w:r>
        <w:rPr>
          <w:rFonts w:ascii="Calibri" w:hAnsi="Calibri" w:cs="Calibri"/>
        </w:rPr>
        <w:lastRenderedPageBreak/>
        <w:t>High-risk community group</w:t>
      </w:r>
      <w:bookmarkEnd w:id="643"/>
      <w:bookmarkEnd w:id="644"/>
      <w:bookmarkEnd w:id="645"/>
    </w:p>
    <w:p w14:paraId="270466F9" w14:textId="5CB59DA9" w:rsidR="00787F73" w:rsidRDefault="00742FB7" w:rsidP="00866155">
      <w:r>
        <w:rPr>
          <w:rFonts w:cs="Calibri"/>
        </w:rPr>
        <w:t>The high-risk community group was a neighbourhood within an urban area of South Yorkshire. This area experiences high levels of deprivation and has a high proportion of council housing. When asked to describe their community, the participants explained the history of the area, namely that it was an old mining settlement that when the mines were shut, people were left to their own devices. They noted that culturally the area has low levels of trust for authority and organisations, and low levels of trust for “outsiders”. This was noted in the research as one participant shared that when conducting some community work, they had low levels of engagement due to a perception that they were official and an outsider: “I went downstairs with a clipboard, and the first two days I did it, nobody spoke a word to me” (P</w:t>
      </w:r>
      <w:r w:rsidR="006A7A2E">
        <w:rPr>
          <w:rFonts w:cs="Calibri"/>
        </w:rPr>
        <w:t>articipant 1, High Risk Focus Group</w:t>
      </w:r>
      <w:r>
        <w:rPr>
          <w:rFonts w:cs="Calibri"/>
        </w:rPr>
        <w:t>).</w:t>
      </w:r>
    </w:p>
    <w:p w14:paraId="6EEF2244" w14:textId="77777777" w:rsidR="00787F73" w:rsidRDefault="00787F73" w:rsidP="00866155">
      <w:pPr>
        <w:rPr>
          <w:rFonts w:cs="Calibri"/>
        </w:rPr>
      </w:pPr>
    </w:p>
    <w:p w14:paraId="6702734D" w14:textId="77777777" w:rsidR="00787F73" w:rsidRDefault="00742FB7" w:rsidP="00866155">
      <w:r>
        <w:rPr>
          <w:rFonts w:cs="Calibri"/>
        </w:rPr>
        <w:t xml:space="preserve">During the focus group, the participants discussed a wide range of topics, including those of a more sensitive nature (discussions of personal mental health, and drug and alcohol dependencies), which was probably due to the participants knowing each other already; this meant that the participants were supporting each other while explaining to me the challenges that they experience in their community. </w:t>
      </w:r>
    </w:p>
    <w:p w14:paraId="640E40B0" w14:textId="77777777" w:rsidR="00787F73" w:rsidRDefault="00787F73" w:rsidP="00866155">
      <w:pPr>
        <w:rPr>
          <w:rFonts w:cs="Calibri"/>
        </w:rPr>
      </w:pPr>
    </w:p>
    <w:p w14:paraId="11D49979" w14:textId="77777777" w:rsidR="00787F73" w:rsidRDefault="00742FB7" w:rsidP="00866155">
      <w:pPr>
        <w:pStyle w:val="Heading5"/>
        <w:spacing w:line="360" w:lineRule="auto"/>
      </w:pPr>
      <w:bookmarkStart w:id="646" w:name="_heading=h.1pxezwc"/>
      <w:bookmarkStart w:id="647" w:name="_Toc141888855"/>
      <w:bookmarkStart w:id="648" w:name="_Toc145281048"/>
      <w:bookmarkStart w:id="649" w:name="_Toc98148398"/>
      <w:bookmarkStart w:id="650" w:name="_Toc147765763"/>
      <w:bookmarkEnd w:id="646"/>
      <w:r>
        <w:rPr>
          <w:rFonts w:ascii="Calibri" w:hAnsi="Calibri" w:cs="Calibri"/>
        </w:rPr>
        <w:t>Low-risk community group</w:t>
      </w:r>
      <w:bookmarkEnd w:id="647"/>
      <w:bookmarkEnd w:id="648"/>
      <w:bookmarkEnd w:id="649"/>
      <w:bookmarkEnd w:id="650"/>
    </w:p>
    <w:p w14:paraId="24108243" w14:textId="77777777" w:rsidR="00787F73" w:rsidRDefault="00742FB7" w:rsidP="00866155">
      <w:r>
        <w:rPr>
          <w:rFonts w:cs="Calibri"/>
        </w:rPr>
        <w:t>The low-risk community group was a small rural village. The village has predominantly been a farming community, with previous links to mining in the area. The village is low-lying and sits just above sea level, this has meant that historically the village has dealt with flooding, which is recorded back before the 17</w:t>
      </w:r>
      <w:r>
        <w:rPr>
          <w:rFonts w:cs="Calibri"/>
          <w:vertAlign w:val="superscript"/>
        </w:rPr>
        <w:t>th</w:t>
      </w:r>
      <w:r>
        <w:rPr>
          <w:rFonts w:cs="Calibri"/>
        </w:rPr>
        <w:t xml:space="preserve"> Century. However, in the 17</w:t>
      </w:r>
      <w:r>
        <w:rPr>
          <w:rFonts w:cs="Calibri"/>
          <w:vertAlign w:val="superscript"/>
        </w:rPr>
        <w:t>th</w:t>
      </w:r>
      <w:r>
        <w:rPr>
          <w:rFonts w:cs="Calibri"/>
        </w:rPr>
        <w:t xml:space="preserve"> and 18</w:t>
      </w:r>
      <w:r>
        <w:rPr>
          <w:rFonts w:cs="Calibri"/>
          <w:vertAlign w:val="superscript"/>
        </w:rPr>
        <w:t>th</w:t>
      </w:r>
      <w:r>
        <w:rPr>
          <w:rFonts w:cs="Calibri"/>
        </w:rPr>
        <w:t xml:space="preserve"> Century the area had landscaping work conducted, which aimed to reduce the risk of flooding, which had little effect. However, in the early 20</w:t>
      </w:r>
      <w:r>
        <w:rPr>
          <w:rFonts w:cs="Calibri"/>
          <w:vertAlign w:val="superscript"/>
        </w:rPr>
        <w:t>th</w:t>
      </w:r>
      <w:r>
        <w:rPr>
          <w:rFonts w:cs="Calibri"/>
        </w:rPr>
        <w:t xml:space="preserve"> Century more work was conducted to prevent flooding, which worked for 71 years, until the South Yorkshire floods in 2019. The South Yorkshire floods affected numerous towns and villages across the area and resulted in a large-scale rescue and recovery operation for SYFR across the area. </w:t>
      </w:r>
    </w:p>
    <w:p w14:paraId="28620CDF" w14:textId="77777777" w:rsidR="00787F73" w:rsidRDefault="00787F73" w:rsidP="00866155">
      <w:pPr>
        <w:rPr>
          <w:rFonts w:cs="Calibri"/>
        </w:rPr>
      </w:pPr>
    </w:p>
    <w:p w14:paraId="54949A42" w14:textId="25572B25" w:rsidR="00787F73" w:rsidRDefault="00E16D30" w:rsidP="00866155">
      <w:r>
        <w:rPr>
          <w:rFonts w:cs="Calibri"/>
        </w:rPr>
        <w:t>While</w:t>
      </w:r>
      <w:r w:rsidR="00742FB7">
        <w:rPr>
          <w:rFonts w:cs="Calibri"/>
        </w:rPr>
        <w:t xml:space="preserve"> the flooding greatly affected this community, they remained a low-risk community in the eyes of SYFR due to the low fire incidents and low levels of deprivation, indicating a </w:t>
      </w:r>
      <w:r w:rsidR="00742FB7">
        <w:rPr>
          <w:rFonts w:cs="Calibri"/>
        </w:rPr>
        <w:lastRenderedPageBreak/>
        <w:t xml:space="preserve">slight flaw in the measurement of risk for these communities. </w:t>
      </w:r>
      <w:r>
        <w:rPr>
          <w:rFonts w:cs="Calibri"/>
        </w:rPr>
        <w:t>While</w:t>
      </w:r>
      <w:r w:rsidR="00742FB7">
        <w:rPr>
          <w:rFonts w:cs="Calibri"/>
        </w:rPr>
        <w:t xml:space="preserve"> they may have a low risk to fire, this community are known to be geographically low-lying and therefore their risk of other disasters, such as flooding, is higher, which the FRS are statutorily obligated to respond to under the CCA (2004). </w:t>
      </w:r>
    </w:p>
    <w:p w14:paraId="63EEA83F" w14:textId="77777777" w:rsidR="00787F73" w:rsidRDefault="00787F73" w:rsidP="00866155">
      <w:pPr>
        <w:rPr>
          <w:rFonts w:cs="Calibri"/>
        </w:rPr>
      </w:pPr>
    </w:p>
    <w:p w14:paraId="55B963A9" w14:textId="77777777" w:rsidR="00787F73" w:rsidRDefault="00742FB7" w:rsidP="00866155">
      <w:pPr>
        <w:pStyle w:val="Heading5"/>
        <w:spacing w:line="360" w:lineRule="auto"/>
      </w:pPr>
      <w:bookmarkStart w:id="651" w:name="_heading=h.3whwml4"/>
      <w:bookmarkStart w:id="652" w:name="_Toc145281044"/>
      <w:bookmarkStart w:id="653" w:name="_Toc141888851"/>
      <w:bookmarkStart w:id="654" w:name="_Toc98148394"/>
      <w:bookmarkStart w:id="655" w:name="_Toc147765764"/>
      <w:bookmarkEnd w:id="651"/>
      <w:r>
        <w:rPr>
          <w:rFonts w:ascii="Calibri" w:hAnsi="Calibri" w:cs="Calibri"/>
        </w:rPr>
        <w:t>Online focus groups</w:t>
      </w:r>
      <w:bookmarkEnd w:id="652"/>
      <w:bookmarkEnd w:id="653"/>
      <w:bookmarkEnd w:id="654"/>
      <w:bookmarkEnd w:id="655"/>
    </w:p>
    <w:p w14:paraId="44311E04" w14:textId="6784CE6B" w:rsidR="00C86938" w:rsidRDefault="00742FB7" w:rsidP="00866155">
      <w:pPr>
        <w:rPr>
          <w:rFonts w:cs="Calibri"/>
          <w:lang w:eastAsia="en-US"/>
        </w:rPr>
      </w:pPr>
      <w:r>
        <w:rPr>
          <w:rFonts w:cs="Calibri"/>
          <w:lang w:eastAsia="en-US"/>
        </w:rPr>
        <w:t xml:space="preserve">Once the participants had read the information sheet and completed their consent forms, they were invited to take part in an online focus group. Focus groups have long been accepted as a valid and reliable data collection method, through using group interaction to explore a topic chosen by the researcher </w:t>
      </w:r>
      <w:r>
        <w:fldChar w:fldCharType="begin" w:fldLock="1"/>
      </w:r>
      <w:r w:rsidR="00974B75">
        <w:rPr>
          <w:rFonts w:cs="Calibri"/>
          <w:lang w:eastAsia="en-US"/>
        </w:rPr>
        <w:instrText>ADDIN CSL_CITATION {"citationItems":[{"id":"ITEM-1","itemData":{"DOI":"10.1080/13645579.2020.1857969","ISSN":"14645300","abstract":"Internet-mediated focus groups (FGs) have become a feature of qualitative research over the last decade; however, their use within social sciences has been adopted at a slower pace than other disciplines. This paper considers the advantages and disadvantages of internet-mediated FGs and reflects on their use for researching culturally sensitive issues. It reports on an innovative study, which utilised text-based asynchronous internet-mediated FGs to explore attitudes to abortion, and abortion as a workplace issue. The authors identify three key elements of text-based asynchronous online FGs as particularly helpful in researching culturally sensitive issues–safety, time and pace. The authors demonstrate how these elements, integral to the actual process, contributed to ‘opinion change/evolution’ and challenged processes of stigmatisation centred on over-simplification, misinformation as to the incidence of a culturally sensitive issue in a population, and discrimination.","author":[{"dropping-particle":"","family":"MacNamara","given":"Noirin","non-dropping-particle":"","parse-names":false,"suffix":""},{"dropping-particle":"","family":"Mackle","given":"Danielle","non-dropping-particle":"","parse-names":false,"suffix":""},{"dropping-particle":"","family":"Trew","given":"Johanne Devlin","non-dropping-particle":"","parse-names":false,"suffix":""},{"dropping-particle":"","family":"Pierson","given":"Claire","non-dropping-particle":"","parse-names":false,"suffix":""},{"dropping-particle":"","family":"Bloomer","given":"Fiona","non-dropping-particle":"","parse-names":false,"suffix":""}],"container-title":"International Journal of Social Research Methodology","id":"ITEM-1","issue":"5","issued":{"date-parts":[["2021"]]},"page":"553-565","title":"Reflecting on asynchronous internet mediated focus groups for researching culturally sensitive issues","type":"article-journal","volume":"24"},"uris":["http://www.mendeley.com/documents/?uuid=f709ce2e-8156-451e-88bd-453e91a7003c"]},{"id":"ITEM-2","itemData":{"DOI":"10.1080/13676260903173504","ISSN":"1367-6261","abstract":"In this paper we present our experiences of conducting focus groups with young people as part of a participatory approach to research design and participant recruitment. The research is a prospective, 10-year, qualitative, longitudinal project investigating young people’s daily lives, relationships, and identities, and the ways these change over time. It adopts a multi-method approach in which each participant has a choice about which methods to be involved with. Part of the project planning and recruitment was completed through focus groups held in schools across metropolitan and rural West Yorkshire with young people aged 13. The focus groups enabled us to recruit participants from a variety of backgrounds. They were also an important medium through which to elicit the views of young people (which were perceptively and constructively critical) about project design, methods development, and dissemination events. The paper focuses on what we learnt from these focus groups and considers the value of engaging participants in designing qualitative research.","author":[{"dropping-particle":"","family":"Bagnoli","given":"Anna","non-dropping-particle":"","parse-names":false,"suffix":""},{"dropping-particle":"","family":"Clark","given":"Andrew","non-dropping-particle":"","parse-names":false,"suffix":""}],"container-title":"Journal of Youth Studies","id":"ITEM-2","issue":"1","issued":{"date-parts":[["2010","2","1"]]},"note":"doi: 10.1080/13676260903173504","page":"101-119","publisher":"Routledge","title":"Focus groups with young people: a participatory approach to research planning","type":"article-journal","volume":"13"},"uris":["http://www.mendeley.com/documents/?uuid=d6ae1167-1823-42f2-827c-23ebfc27304f"]},{"id":"ITEM-3","itemData":{"DOI":"10.3390/pharmacy9030117","abstract":"The COVID-19 pandemic disrupted face-to-face interactions in healthcare research, with many studies shifting to video-based data collection for qualitative research. This study describes the interactivity achieved in a videoconferencing focus group of seven primary care providers discussing deprescribing opioids and benzodiazepines. Researchers reviewed video footage of a focus group conducted via Zoom and assessed interactivity using Morgan’s framework for focus group communication processes. Two reviewers categorized the type of exchanges as sharing information, comparing experiences, organizing, and conceptualizing the content, as well as validating each other or galvanizing the discussion with “lightning strike” ideas. The conversation dynamics in this focus group included clear examples of interactivity in each of the categories proposed by Morgan (validating, sharing, comparing, organizing, conceptualizing, and lightning strikes) that were observed by two different reviewers with demonstrated high interrater reliability. Conducting focus groups with a skilled moderator using videoconferencing platforms with primary care providers is a viable option that produces sufficient levels of interaction.","author":[{"dropping-particle":"","family":"Henage","given":"Cristine B.","non-dropping-particle":"","parse-names":false,"suffix":""},{"dropping-particle":"","family":"Ferreri","given":"Stefanie P.","non-dropping-particle":"","parse-names":false,"suffix":""},{"dropping-particle":"","family":"Schlusser","given":"Courtney","non-dropping-particle":"","parse-names":false,"suffix":""},{"dropping-particle":"","family":"Hughes","given":"Tamera D.","non-dropping-particle":"","parse-names":false,"suffix":""},{"dropping-particle":"","family":"Armistead","given":"Lori T.","non-dropping-particle":"","parse-names":false,"suffix":""},{"dropping-particle":"","family":"Kelley","given":"Casey J.","non-dropping-particle":"","parse-names":false,"suffix":""},{"dropping-particle":"","family":"Niznik","given":"Joshua D.","non-dropping-particle":"","parse-names":false,"suffix":""},{"dropping-particle":"","family":"Busby-Whitehead","given":"Jan","non-dropping-particle":"","parse-names":false,"suffix":""},{"dropping-particle":"","family":"Roberts","given":"Ellen","non-dropping-particle":"","parse-names":false,"suffix":""}],"container-title":"Pharmacy","id":"ITEM-3","issue":"3","issued":{"date-parts":[["2021"]]},"page":"1 - 9","title":"Transitioning Focus Group Research to a Videoconferencing Environment: A Descriptive Analysis of Interactivity","type":"article-journal","volume":"9"},"uris":["http://www.mendeley.com/documents/?uuid=9bbe4aa6-4739-438e-b8a6-836e39fd6e5b"]}],"mendeley":{"formattedCitation":"(Henage et al., 2021; MacNamara et al., 2021; Bagnoli &amp; Clark, 2010)","plainTextFormattedCitation":"(Henage et al., 2021; MacNamara et al., 2021; Bagnoli &amp; Clark, 2010)","previouslyFormattedCitation":"(Henage et al., 2021; MacNamara et al., 2021; Bagnoli &amp; Clark, 2010)"},"properties":{"noteIndex":0},"schema":"https://github.com/citation-style-language/schema/raw/master/csl-citation.json"}</w:instrText>
      </w:r>
      <w:r>
        <w:rPr>
          <w:rFonts w:cs="Calibri"/>
          <w:lang w:eastAsia="en-US"/>
        </w:rPr>
        <w:fldChar w:fldCharType="separate"/>
      </w:r>
      <w:r>
        <w:rPr>
          <w:rFonts w:cs="Calibri"/>
          <w:noProof/>
          <w:lang w:eastAsia="en-US"/>
        </w:rPr>
        <w:t>(Henage et al., 2021; MacNamara et al., 2021; Bagnoli &amp; Clark, 2010)</w:t>
      </w:r>
      <w:r>
        <w:rPr>
          <w:rFonts w:cs="Calibri"/>
          <w:lang w:eastAsia="en-US"/>
        </w:rPr>
        <w:fldChar w:fldCharType="end"/>
      </w:r>
      <w:r>
        <w:rPr>
          <w:rFonts w:cs="Calibri"/>
          <w:lang w:eastAsia="en-US"/>
        </w:rPr>
        <w:t xml:space="preserve">. </w:t>
      </w:r>
      <w:r w:rsidR="00E16D30">
        <w:rPr>
          <w:rFonts w:cs="Calibri"/>
        </w:rPr>
        <w:t>While</w:t>
      </w:r>
      <w:r>
        <w:rPr>
          <w:rFonts w:cs="Calibri"/>
          <w:lang w:eastAsia="en-US"/>
        </w:rPr>
        <w:t xml:space="preserve"> focus groups have traditionally taken place in person, due to social distancing for COVID-19, this project conducted online focus groups, using video conferencing software (Google Meets). </w:t>
      </w:r>
      <w:r w:rsidR="00754602">
        <w:rPr>
          <w:rFonts w:cs="Calibri"/>
          <w:lang w:eastAsia="en-US"/>
        </w:rPr>
        <w:t xml:space="preserve">As discussed above this created a limitation within the community data, namely a lack of participants and </w:t>
      </w:r>
      <w:r w:rsidR="00C86938">
        <w:rPr>
          <w:rFonts w:cs="Calibri"/>
          <w:lang w:eastAsia="en-US"/>
        </w:rPr>
        <w:t xml:space="preserve">diversity within those participants. The challenge of recruitment created a series of limitations within the data, one of which being the lack of representation for community members who do not engage online. </w:t>
      </w:r>
    </w:p>
    <w:p w14:paraId="1C19F710" w14:textId="77777777" w:rsidR="00C02F78" w:rsidRDefault="00C02F78" w:rsidP="00866155"/>
    <w:p w14:paraId="2B27CFF2" w14:textId="4930EEDE" w:rsidR="00787F73" w:rsidRDefault="00742FB7" w:rsidP="00866155">
      <w:bookmarkStart w:id="656" w:name="_heading=h.2bn6wsx"/>
      <w:bookmarkEnd w:id="656"/>
      <w:r>
        <w:rPr>
          <w:rFonts w:cs="Calibri"/>
        </w:rPr>
        <w:t xml:space="preserve">There are a variety of benefits with conducting online focus groups, both for the researcher and the participants. Such as reducing the cost to participants, through travel arrangements, or time spent participating. Online focus groups enable geographically dispersed individuals and communities to come together, where it would be challenging due to physical, time and financial constraints </w:t>
      </w:r>
      <w:r>
        <w:fldChar w:fldCharType="begin" w:fldLock="1"/>
      </w:r>
      <w:r>
        <w:rPr>
          <w:rFonts w:cs="Calibri"/>
        </w:rPr>
        <w:instrText>ADDIN CSL_CITATION {"citationItems":[{"id":"ITEM-1","itemData":{"DOI":"10.1177/1609406917750781","ISSN":"16094069","abstract":"This article discusses four challenges to conducting qualitative focus groups: (1) maximizing research budgets through innovative methodological approaches, (2) recruiting health-care professionals for qualitative health research, (3) conducting focus groups with health-care professionals across geographically dispersed areas, and (4) taking into consideration data richness when using different focus group data collection methods. In light of these challenges, we propose two alternative approaches for collecting focus group data: (a) extended period of quantitative data collection that facilitated relationship building in the sites prior to qualitative focus groups and (b) focus groups by videoconference. We share our experiences on employing both of these approaches in two national research programs.","author":[{"dropping-particle":"","family":"Flynn","given":"Rachel","non-dropping-particle":"","parse-names":false,"suffix":""},{"dropping-particle":"","family":"Albrecht","given":"Lauren","non-dropping-particle":"","parse-names":false,"suffix":""},{"dropping-particle":"","family":"Scott","given":"Shannon D","non-dropping-particle":"","parse-names":false,"suffix":""}],"container-title":"International Journal of Qualitative Methods","id":"ITEM-1","issue":"1","issued":{"date-parts":[["2018"]]},"page":"1-9","title":"Two approaches to focus group data collection for qualitative health research: Maximizing resources and data quality","type":"article-journal","volume":"17"},"uris":["http://www.mendeley.com/documents/?uuid=a448adea-0fa6-4d2b-a3a1-df22820f4b1d"]},{"id":"ITEM-2","itemData":{"DOI":"10.12688/f1000research.10427.1","ISSN":"1759796X","abstract":"Background Online focus groups have been increasing in use over the last 2 decades, including in biomedical and health-related research. However, most of this research has made use of text-based services such as email, discussion boards, and chat rooms, which do not replicate the experience of face-to-face focus groups. Web conferencing services have the potential to more closely match the face-to-face focus group experience, including important visual and aural cues. This paper provides critical reflections on using a web conferencing service to conduct online focus groups. Methods As part of a broader study, we conducted both online and face-to-face focus groups with participants. The online groups were conducted in real-time using the web conferencing service, Blackboard Collaborate TM. We used reflective practice to assess how the conduct and content of the groups were similar and how they differed across the two platforms. Results We found that further research using such services is warranted, particularly when working with hard-to-reach or geographically dispersed populations. The level of discussion and the quality of the data obtained was similar to that found in face-to-face groups. However, some issues remain, particularly in relation to managing technical issues experienced by participants and ensuring adequate recording quality to facilitate transcription and analysis. Conclusions Our experience with using web conferencing for online focus groups suggests that they have the potential to offer a realistic and comparable alternative to face-to-face focus groups, especially for geographically dispersed populations such as rural and remote health practitioners. Further testing of these services is warranted but researchers should carefully consider the service they use to minimise the impact of technical difficulties.","author":[{"dropping-particle":"","family":"Kite","given":"James","non-dropping-particle":"","parse-names":false,"suffix":""},{"dropping-particle":"","family":"Phongsavan","given":"Philayrath","non-dropping-particle":"","parse-names":false,"suffix":""}],"container-title":"F1000Research","id":"ITEM-2","issue":"122","issued":{"date-parts":[["2017"]]},"page":"1-12","title":"Insights for conducting real-time focus groups online using a web conferencing service","type":"article-journal","volume":"6"},"uris":["http://www.mendeley.com/documents/?uuid=b9cd73b8-db36-4ddd-92db-2c7c6e3fdc04"]},{"id":"ITEM-3","itemData":{"DOI":"10.29115/sp-2015-0015","ISSN":"2168-0094","abstract":"New technologies continue to push the boundaries of collaboration, bringing together geographically dispersed people into a single, virtual space. Combined with budget pressures, the availability of high-speed Internet and online communication platforms encourage opportunities to use virtual focus groups. Virtual, or online, focus groups may be either asynchronous or synchronous (Mann and Stewart 2001). In asynchronous focus groups, participants access a site to answer moderator-posed questions or respond to other participants’ comments. Participants in synchronous focus groups interact with the moderator and each other “live.”  Despite conditions favoring their use, comparatively little literature exists on using online focus groups for social science research, particularly webinar-type synchronous focus groups. Mayer and colleagues (2006a; 2006b) conducted five such groups with caregivers and providers of pediatric patients and found that participants in the chat-based groups were able to share their experiences and express emotions by using emoticons available in the conferencing system. Participants’ comfort with the messaging technology varied, and some required assistance with technical problems such as logging on or using the software. Underhill and Olmsted (2003) compared transcripts from face-to-face focus groups and chat-based, online focus groups and found no significant differences in participation rates, the number of unique ideas generated, the total number of relevant comments, or participant satisfaction. However, more off-topic comments were generated in the online groups.  What literature exists on this topic originated nearly a decade ago, and technological innovations affecting this data collection method evolve rapidly. In this paper, we draw from our experiences on two recent studies to describe considerations for using online, synchronous focus groups as well as lessons learned from implementing them. ","author":[{"dropping-particle":"","family":"Forrestal","given":"Sarah G.","non-dropping-particle":"","parse-names":false,"suffix":""},{"dropping-particle":"","family":"D’Angelo","given":"Angela Valdovinos","non-dropping-particle":"","parse-names":false,"suffix":""},{"dropping-particle":"","family":"Vogel","given":"Lisa Klein","non-dropping-particle":"","parse-names":false,"suffix":""}],"container-title":"Survey Practice","id":"ITEM-3","issue":"3","issued":{"date-parts":[["2015"]]},"page":"1-8","title":"Considerations for and Lessons Learned from Online, Synchronous Focus Groups","type":"article-journal","volume":"8"},"uris":["http://www.mendeley.com/documents/?uuid=30eb5501-3848-4fe3-954a-a34065f97462"]},{"id":"ITEM-4","itemData":{"DOI":"10.1177/0894439313519733","ISSN":"15528286","abstract":"This study offers an examination of data richness (i.e., topic-related data, topic unrelated data, researcher ratings of data richness, word count, and linguistic characteristics of data richness) trade-offs between face-to-face (FTF), online text-only and online audiovisual focus group mediums. Two focus group sessions were held for each type of medium. Data were analyzed using systematic content analysis and Linguistic Inquiry and Word Count. Findings showed that although online audiovisual focus groups show potential for producing data similar in richness to FTF focus groups, researchers should carefully consider the potential distractions that manifested in this study as a result of the medium itself, likely due to its novelty as a group communication medium. Online text-only groups did not facilitate rich data, as operationalized in this study, and also had a lower amount of data related to the topic of the groups due to more socializing and off-topic discussion. As the first study to empirically examine the potential of data from focus groups facilitated via webcam (online audiovisual), it concludes, the technology offers similar data richness to FTF focus groups.","author":[{"dropping-particle":"","family":"Abrams","given":"Katie M.","non-dropping-particle":"","parse-names":false,"suffix":""},{"dropping-particle":"","family":"Wang","given":"Zongyuan","non-dropping-particle":"","parse-names":false,"suffix":""},{"dropping-particle":"","family":"Song","given":"Yoo Jin","non-dropping-particle":"","parse-names":false,"suffix":""},{"dropping-particle":"","family":"Galindo-Gonzalez","given":"Sebastian","non-dropping-particle":"","parse-names":false,"suffix":""}],"container-title":"Social Science Computer Review","id":"ITEM-4","issue":"1","issued":{"date-parts":[["2015"]]},"page":"80-96","title":"Data Richness Trade-Offs Between Face-to-Face, Online Audiovisual, and Online Text-Only Focus Groups","type":"article-journal","volume":"33"},"uris":["http://www.mendeley.com/documents/?uuid=eb472dd4-ee22-4866-96fc-d6a2e0dde812"]}],"mendeley":{"formattedCitation":"(Flynn, Albrecht, &amp; Scott, 2018; Kite &amp; Phongsavan, 2017; Abrams et al., 2015; Forrestal, D’Angelo, &amp; Vogel, 2015)","plainTextFormattedCitation":"(Flynn, Albrecht, &amp; Scott, 2018; Kite &amp; Phongsavan, 2017; Abrams et al., 2015; Forrestal, D’Angelo, &amp; Vogel, 2015)","previouslyFormattedCitation":"(Flynn, Albrecht, &amp; Scott, 2018; Kite &amp; Phongsavan, 2017; Abrams et al., 2015; Forrestal, D’Angelo, &amp; Vogel, 2015)"},"properties":{"noteIndex":0},"schema":"https://github.com/citation-style-language/schema/raw/master/csl-citation.json"}</w:instrText>
      </w:r>
      <w:r>
        <w:rPr>
          <w:rFonts w:cs="Calibri"/>
        </w:rPr>
        <w:fldChar w:fldCharType="separate"/>
      </w:r>
      <w:r>
        <w:rPr>
          <w:rFonts w:cs="Calibri"/>
          <w:noProof/>
        </w:rPr>
        <w:t>(Flynn, Albrecht, &amp; Scott, 2018; Kite &amp; Phongsavan, 2017; Abrams et al., 2015; Forrestal, D’Angelo, &amp; Vogel, 2015)</w:t>
      </w:r>
      <w:r>
        <w:rPr>
          <w:rFonts w:cs="Calibri"/>
        </w:rPr>
        <w:fldChar w:fldCharType="end"/>
      </w:r>
      <w:r>
        <w:rPr>
          <w:rFonts w:cs="Calibri"/>
        </w:rPr>
        <w:t xml:space="preserve">. This approach also enables greater flexibility for participants, as focus groups can be scheduled around the clock, not just when community centres and other venues are open, or when it is socially acceptable, or safe to be in certain areas </w:t>
      </w:r>
      <w:r>
        <w:fldChar w:fldCharType="begin" w:fldLock="1"/>
      </w:r>
      <w:r>
        <w:rPr>
          <w:rFonts w:cs="Calibri"/>
        </w:rPr>
        <w:instrText>ADDIN CSL_CITATION {"citationItems":[{"id":"ITEM-1","itemData":{"DOI":"10.1177/1609406917750781","ISSN":"16094069","abstract":"This article discusses four challenges to conducting qualitative focus groups: (1) maximizing research budgets through innovative methodological approaches, (2) recruiting health-care professionals for qualitative health research, (3) conducting focus groups with health-care professionals across geographically dispersed areas, and (4) taking into consideration data richness when using different focus group data collection methods. In light of these challenges, we propose two alternative approaches for collecting focus group data: (a) extended period of quantitative data collection that facilitated relationship building in the sites prior to qualitative focus groups and (b) focus groups by videoconference. We share our experiences on employing both of these approaches in two national research programs.","author":[{"dropping-particle":"","family":"Flynn","given":"Rachel","non-dropping-particle":"","parse-names":false,"suffix":""},{"dropping-particle":"","family":"Albrecht","given":"Lauren","non-dropping-particle":"","parse-names":false,"suffix":""},{"dropping-particle":"","family":"Scott","given":"Shannon D","non-dropping-particle":"","parse-names":false,"suffix":""}],"container-title":"International Journal of Qualitative Methods","id":"ITEM-1","issue":"1","issued":{"date-parts":[["2018"]]},"page":"1-9","title":"Two approaches to focus group data collection for qualitative health research: Maximizing resources and data quality","type":"article-journal","volume":"17"},"uris":["http://www.mendeley.com/documents/?uuid=a448adea-0fa6-4d2b-a3a1-df22820f4b1d"]},{"id":"ITEM-2","itemData":{"DOI":"10.12688/f1000research.10427.1","ISSN":"1759796X","abstract":"Background Online focus groups have been increasing in use over the last 2 decades, including in biomedical and health-related research. However, most of this research has made use of text-based services such as email, discussion boards, and chat rooms, which do not replicate the experience of face-to-face focus groups. Web conferencing services have the potential to more closely match the face-to-face focus group experience, including important visual and aural cues. This paper provides critical reflections on using a web conferencing service to conduct online focus groups. Methods As part of a broader study, we conducted both online and face-to-face focus groups with participants. The online groups were conducted in real-time using the web conferencing service, Blackboard Collaborate TM. We used reflective practice to assess how the conduct and content of the groups were similar and how they differed across the two platforms. Results We found that further research using such services is warranted, particularly when working with hard-to-reach or geographically dispersed populations. The level of discussion and the quality of the data obtained was similar to that found in face-to-face groups. However, some issues remain, particularly in relation to managing technical issues experienced by participants and ensuring adequate recording quality to facilitate transcription and analysis. Conclusions Our experience with using web conferencing for online focus groups suggests that they have the potential to offer a realistic and comparable alternative to face-to-face focus groups, especially for geographically dispersed populations such as rural and remote health practitioners. Further testing of these services is warranted but researchers should carefully consider the service they use to minimise the impact of technical difficulties.","author":[{"dropping-particle":"","family":"Kite","given":"James","non-dropping-particle":"","parse-names":false,"suffix":""},{"dropping-particle":"","family":"Phongsavan","given":"Philayrath","non-dropping-particle":"","parse-names":false,"suffix":""}],"container-title":"F1000Research","id":"ITEM-2","issue":"122","issued":{"date-parts":[["2017"]]},"page":"1-12","title":"Insights for conducting real-time focus groups online using a web conferencing service","type":"article-journal","volume":"6"},"uris":["http://www.mendeley.com/documents/?uuid=b9cd73b8-db36-4ddd-92db-2c7c6e3fdc04"]},{"id":"ITEM-3","itemData":{"DOI":"10.1108/MEDAR-03-2021-1252","ISSN":"20493738","abstract":"Purpose: This study aims to examine the methodological and method-related challenges and opportunities arising from the use of video interviews in qualitative accounting research, focussed on collecting contextual data and visual cues, enriching communication quality and building and maintaining rapport with interviewees. Design/methodology/approach: Prior literature and the authors’ experiences using video technologies for research, including conducting interviews, inform this research. This study uses a transactional conceptual refinement of information richness theory and channel expansion theory to critically analyse the challenges and opportunities of using video technology to conduct qualitative research interviews. Findings: The ability, need for and significance of collecting contextual data depend on the researchers’ ontological and epistemological assumptions, and are, therefore, influenced by their research design choices. Video technology enables researchers to view research settings by video. In addition, whilst group/panel interviews have their advantages, it is often difficult to get everyone together in person, something video technology can potentially overcome. The feasibility and the quality of video interviews can be improved if both interview participants are experienced with using video technology, as well as with judicious investment in good quality video technology and through testing and practice. We also discuss how rapport building with interviewees can be facilitated by overcoming the video’s sense of disconnect and enhancing interviewees’ willingness to engage. Originality/value: The study builds on the limited prior literature and considers the challenges and opportunities related to methodology and method when conducting video-based qualitative interviews in accounting research. Broadly, qualitative researchers will find the paper useful in considering the use of video interviews and in making research design choices appropriate for video interviews.","author":[{"dropping-particle":"","family":"Villiers","given":"Charl","non-dropping-particle":"de","parse-names":false,"suffix":""},{"dropping-particle":"","family":"Farooq","given":"Muhammad Bilal","non-dropping-particle":"","parse-names":false,"suffix":""},{"dropping-particle":"","family":"Molinari","given":"Matteo","non-dropping-particle":"","parse-names":false,"suffix":""}],"container-title":"Meditari Accountancy Research","id":"ITEM-3","issue":"6","issued":{"date-parts":[["2022"]]},"page":"1764-1782","title":"Qualitative research interviews using online video technology – challenges and opportunities","type":"article-journal","volume":"30"},"uris":["http://www.mendeley.com/documents/?uuid=c4de7261-3bc6-491b-9d45-63f05f250313"]},{"id":"ITEM-4","itemData":{"DOI":"10.1177/14687941211045192","ISSN":"17413109","abstract":"Google Docs is a widely used online word processing software. Despite its broad popularity in business and education, Google Docs is under-utilised as a tool to facilitate qualitative interviews within research. In this article, we reflect on our experiences as two PhDs using Google Docs to conduct synchronous, online, written interviews. We present two case studies, which, to our knowledge, are the first to utilise Google Docs to conduct web-based written interviews. In doing so, we (a) outline the development and implementation of the methodology, (b) highlight the key themes we identified when considering the benefits and challenges of conducting interviews using this technology and (c) discuss possible future uses of the methodology. We argue that synchronous web-based written interviews via Google Docs offer unprecedented opportunities for qualitative research.","author":[{"dropping-particle":"","family":"Opara","given":"Victoria","non-dropping-particle":"","parse-names":false,"suffix":""},{"dropping-particle":"","family":"Spangsdorf","given":"Sabrina","non-dropping-particle":"","parse-names":false,"suffix":""},{"dropping-particle":"","family":"Ryan","given":"Michelle K.","non-dropping-particle":"","parse-names":false,"suffix":""}],"container-title":"Qualitative Research","id":"ITEM-4","issue":"3","issued":{"date-parts":[["2023"]]},"page":"561-578","title":"Reflecting on the use of Google Docs for online interviews: Innovation in qualitative data collection","type":"article-journal","volume":"23"},"uris":["http://www.mendeley.com/documents/?uuid=f7a29764-ac6c-4a1d-8c75-0dc270db6f63"]}],"mendeley":{"formattedCitation":"(Opara, Spangsdorf, &amp; Ryan, 2023; de Villiers, Farooq, &amp; Molinari, 2022; Flynn, Albrecht, &amp; Scott, 2018; Kite &amp; Phongsavan, 2017)","plainTextFormattedCitation":"(Opara, Spangsdorf, &amp; Ryan, 2023; de Villiers, Farooq, &amp; Molinari, 2022; Flynn, Albrecht, &amp; Scott, 2018; Kite &amp; Phongsavan, 2017)","previouslyFormattedCitation":"(Opara, Spangsdorf, &amp; Ryan, 2023; de Villiers, Farooq, &amp; Molinari, 2022; Flynn, Albrecht, &amp; Scott, 2018; Kite &amp; Phongsavan, 2017)"},"properties":{"noteIndex":0},"schema":"https://github.com/citation-style-language/schema/raw/master/csl-citation.json"}</w:instrText>
      </w:r>
      <w:r>
        <w:rPr>
          <w:rFonts w:cs="Calibri"/>
        </w:rPr>
        <w:fldChar w:fldCharType="separate"/>
      </w:r>
      <w:r>
        <w:rPr>
          <w:rFonts w:cs="Calibri"/>
          <w:noProof/>
        </w:rPr>
        <w:t>(Opara, Spangsdorf, &amp; Ryan, 2023; de Villiers, Farooq, &amp; Molinari, 2022; Flynn, Albrecht, &amp; Scott, 2018; Kite &amp; Phongsavan, 2017)</w:t>
      </w:r>
      <w:r>
        <w:rPr>
          <w:rFonts w:cs="Calibri"/>
        </w:rPr>
        <w:fldChar w:fldCharType="end"/>
      </w:r>
      <w:r>
        <w:rPr>
          <w:rFonts w:cs="Calibri"/>
        </w:rPr>
        <w:t xml:space="preserve">. This was utilised during this research, as participants were not allowed to mix outside of their households due to COVID-19 restrictions, and one of the participants in the low-risk focus group was visiting family, so if the session had been held in person, they would not have been able to attend. </w:t>
      </w:r>
      <w:r w:rsidR="00E16D30">
        <w:rPr>
          <w:rFonts w:cs="Calibri"/>
        </w:rPr>
        <w:t>While</w:t>
      </w:r>
      <w:r>
        <w:rPr>
          <w:rFonts w:cs="Calibri"/>
        </w:rPr>
        <w:t xml:space="preserve"> the ideal is to conduct focus groups face-to-face, online focus groups can still enable a similar </w:t>
      </w:r>
      <w:r>
        <w:rPr>
          <w:rFonts w:cs="Calibri"/>
        </w:rPr>
        <w:lastRenderedPageBreak/>
        <w:t xml:space="preserve">level of contextual data, and data richness, such as facial expressions and body language </w:t>
      </w:r>
      <w:r>
        <w:fldChar w:fldCharType="begin" w:fldLock="1"/>
      </w:r>
      <w:r>
        <w:rPr>
          <w:rFonts w:cs="Calibri"/>
        </w:rPr>
        <w:instrText>ADDIN CSL_CITATION {"citationItems":[{"id":"ITEM-1","itemData":{"DOI":"10.1177/1609406917750781","ISSN":"16094069","abstract":"This article discusses four challenges to conducting qualitative focus groups: (1) maximizing research budgets through innovative methodological approaches, (2) recruiting health-care professionals for qualitative health research, (3) conducting focus groups with health-care professionals across geographically dispersed areas, and (4) taking into consideration data richness when using different focus group data collection methods. In light of these challenges, we propose two alternative approaches for collecting focus group data: (a) extended period of quantitative data collection that facilitated relationship building in the sites prior to qualitative focus groups and (b) focus groups by videoconference. We share our experiences on employing both of these approaches in two national research programs.","author":[{"dropping-particle":"","family":"Flynn","given":"Rachel","non-dropping-particle":"","parse-names":false,"suffix":""},{"dropping-particle":"","family":"Albrecht","given":"Lauren","non-dropping-particle":"","parse-names":false,"suffix":""},{"dropping-particle":"","family":"Scott","given":"Shannon D","non-dropping-particle":"","parse-names":false,"suffix":""}],"container-title":"International Journal of Qualitative Methods","id":"ITEM-1","issue":"1","issued":{"date-parts":[["2018"]]},"page":"1-9","title":"Two approaches to focus group data collection for qualitative health research: Maximizing resources and data quality","type":"article-journal","volume":"17"},"uris":["http://www.mendeley.com/documents/?uuid=a448adea-0fa6-4d2b-a3a1-df22820f4b1d"]},{"id":"ITEM-2","itemData":{"DOI":"10.1177/0894439313519733","ISSN":"15528286","abstract":"This study offers an examination of data richness (i.e., topic-related data, topic unrelated data, researcher ratings of data richness, word count, and linguistic characteristics of data richness) trade-offs between face-to-face (FTF), online text-only and online audiovisual focus group mediums. Two focus group sessions were held for each type of medium. Data were analyzed using systematic content analysis and Linguistic Inquiry and Word Count. Findings showed that although online audiovisual focus groups show potential for producing data similar in richness to FTF focus groups, researchers should carefully consider the potential distractions that manifested in this study as a result of the medium itself, likely due to its novelty as a group communication medium. Online text-only groups did not facilitate rich data, as operationalized in this study, and also had a lower amount of data related to the topic of the groups due to more socializing and off-topic discussion. As the first study to empirically examine the potential of data from focus groups facilitated via webcam (online audiovisual), it concludes, the technology offers similar data richness to FTF focus groups.","author":[{"dropping-particle":"","family":"Abrams","given":"Katie M.","non-dropping-particle":"","parse-names":false,"suffix":""},{"dropping-particle":"","family":"Wang","given":"Zongyuan","non-dropping-particle":"","parse-names":false,"suffix":""},{"dropping-particle":"","family":"Song","given":"Yoo Jin","non-dropping-particle":"","parse-names":false,"suffix":""},{"dropping-particle":"","family":"Galindo-Gonzalez","given":"Sebastian","non-dropping-particle":"","parse-names":false,"suffix":""}],"container-title":"Social Science Computer Review","id":"ITEM-2","issue":"1","issued":{"date-parts":[["2015"]]},"page":"80-96","title":"Data Richness Trade-Offs Between Face-to-Face, Online Audiovisual, and Online Text-Only Focus Groups","type":"article-journal","volume":"33"},"uris":["http://www.mendeley.com/documents/?uuid=eb472dd4-ee22-4866-96fc-d6a2e0dde812"]},{"id":"ITEM-3","itemData":{"DOI":"10.1108/MEDAR-03-2021-1252","ISSN":"20493738","abstract":"Purpose: This study aims to examine the methodological and method-related challenges and opportunities arising from the use of video interviews in qualitative accounting research, focussed on collecting contextual data and visual cues, enriching communication quality and building and maintaining rapport with interviewees. Design/methodology/approach: Prior literature and the authors’ experiences using video technologies for research, including conducting interviews, inform this research. This study uses a transactional conceptual refinement of information richness theory and channel expansion theory to critically analyse the challenges and opportunities of using video technology to conduct qualitative research interviews. Findings: The ability, need for and significance of collecting contextual data depend on the researchers’ ontological and epistemological assumptions, and are, therefore, influenced by their research design choices. Video technology enables researchers to view research settings by video. In addition, whilst group/panel interviews have their advantages, it is often difficult to get everyone together in person, something video technology can potentially overcome. The feasibility and the quality of video interviews can be improved if both interview participants are experienced with using video technology, as well as with judicious investment in good quality video technology and through testing and practice. We also discuss how rapport building with interviewees can be facilitated by overcoming the video’s sense of disconnect and enhancing interviewees’ willingness to engage. Originality/value: The study builds on the limited prior literature and considers the challenges and opportunities related to methodology and method when conducting video-based qualitative interviews in accounting research. Broadly, qualitative researchers will find the paper useful in considering the use of video interviews and in making research design choices appropriate for video interviews.","author":[{"dropping-particle":"","family":"Villiers","given":"Charl","non-dropping-particle":"de","parse-names":false,"suffix":""},{"dropping-particle":"","family":"Farooq","given":"Muhammad Bilal","non-dropping-particle":"","parse-names":false,"suffix":""},{"dropping-particle":"","family":"Molinari","given":"Matteo","non-dropping-particle":"","parse-names":false,"suffix":""}],"container-title":"Meditari Accountancy Research","id":"ITEM-3","issue":"6","issued":{"date-parts":[["2022"]]},"page":"1764-1782","title":"Qualitative research interviews using online video technology – challenges and opportunities","type":"article-journal","volume":"30"},"uris":["http://www.mendeley.com/documents/?uuid=c4de7261-3bc6-491b-9d45-63f05f250313"]}],"mendeley":{"formattedCitation":"(de Villiers, Farooq, &amp; Molinari, 2022; Flynn, Albrecht, &amp; Scott, 2018; Abrams et al., 2015)","plainTextFormattedCitation":"(de Villiers, Farooq, &amp; Molinari, 2022; Flynn, Albrecht, &amp; Scott, 2018; Abrams et al., 2015)","previouslyFormattedCitation":"(de Villiers, Farooq, &amp; Molinari, 2022; Flynn, Albrecht, &amp; Scott, 2018; Abrams et al., 2015)"},"properties":{"noteIndex":0},"schema":"https://github.com/citation-style-language/schema/raw/master/csl-citation.json"}</w:instrText>
      </w:r>
      <w:r>
        <w:rPr>
          <w:rFonts w:cs="Calibri"/>
        </w:rPr>
        <w:fldChar w:fldCharType="separate"/>
      </w:r>
      <w:r>
        <w:rPr>
          <w:rFonts w:cs="Calibri"/>
          <w:noProof/>
        </w:rPr>
        <w:t>(de Villiers, Farooq, &amp; Molinari, 2022; Flynn, Albrecht, &amp; Scott, 2018; Abrams et al., 2015)</w:t>
      </w:r>
      <w:r>
        <w:rPr>
          <w:rFonts w:cs="Calibri"/>
        </w:rPr>
        <w:fldChar w:fldCharType="end"/>
      </w:r>
      <w:r>
        <w:rPr>
          <w:rFonts w:cs="Calibri"/>
        </w:rPr>
        <w:t xml:space="preserve">. </w:t>
      </w:r>
    </w:p>
    <w:p w14:paraId="3161340F" w14:textId="77777777" w:rsidR="00787F73" w:rsidRDefault="00787F73" w:rsidP="00866155">
      <w:pPr>
        <w:rPr>
          <w:rFonts w:cs="Calibri"/>
        </w:rPr>
      </w:pPr>
    </w:p>
    <w:p w14:paraId="7916DF50" w14:textId="0481A8AC" w:rsidR="00787F73" w:rsidRDefault="00E16D30" w:rsidP="00866155">
      <w:r>
        <w:rPr>
          <w:rFonts w:cs="Calibri"/>
        </w:rPr>
        <w:t>While</w:t>
      </w:r>
      <w:r w:rsidR="00B97CA3">
        <w:rPr>
          <w:rFonts w:cs="Calibri"/>
        </w:rPr>
        <w:t xml:space="preserve"> </w:t>
      </w:r>
      <w:r w:rsidR="00742FB7">
        <w:rPr>
          <w:rFonts w:cs="Calibri"/>
        </w:rPr>
        <w:t xml:space="preserve">there are benefits of conducting focus groups in an online setting, there are also challenges. Firstly, in order to take part in online focus groups, participants need to have access to hardware that enables them to join the call (laptop, tablet or phone), and also reliable internet access </w:t>
      </w:r>
      <w:r w:rsidR="00742FB7">
        <w:fldChar w:fldCharType="begin" w:fldLock="1"/>
      </w:r>
      <w:r w:rsidR="00742FB7">
        <w:rPr>
          <w:rFonts w:cs="Calibri"/>
        </w:rPr>
        <w:instrText>ADDIN CSL_CITATION {"citationItems":[{"id":"ITEM-1","itemData":{"DOI":"10.1108/MEDAR-03-2021-1252","ISSN":"20493738","abstract":"Purpose: This study aims to examine the methodological and method-related challenges and opportunities arising from the use of video interviews in qualitative accounting research, focussed on collecting contextual data and visual cues, enriching communication quality and building and maintaining rapport with interviewees. Design/methodology/approach: Prior literature and the authors’ experiences using video technologies for research, including conducting interviews, inform this research. This study uses a transactional conceptual refinement of information richness theory and channel expansion theory to critically analyse the challenges and opportunities of using video technology to conduct qualitative research interviews. Findings: The ability, need for and significance of collecting contextual data depend on the researchers’ ontological and epistemological assumptions, and are, therefore, influenced by their research design choices. Video technology enables researchers to view research settings by video. In addition, whilst group/panel interviews have their advantages, it is often difficult to get everyone together in person, something video technology can potentially overcome. The feasibility and the quality of video interviews can be improved if both interview participants are experienced with using video technology, as well as with judicious investment in good quality video technology and through testing and practice. We also discuss how rapport building with interviewees can be facilitated by overcoming the video’s sense of disconnect and enhancing interviewees’ willingness to engage. Originality/value: The study builds on the limited prior literature and considers the challenges and opportunities related to methodology and method when conducting video-based qualitative interviews in accounting research. Broadly, qualitative researchers will find the paper useful in considering the use of video interviews and in making research design choices appropriate for video interviews.","author":[{"dropping-particle":"","family":"Villiers","given":"Charl","non-dropping-particle":"de","parse-names":false,"suffix":""},{"dropping-particle":"","family":"Farooq","given":"Muhammad Bilal","non-dropping-particle":"","parse-names":false,"suffix":""},{"dropping-particle":"","family":"Molinari","given":"Matteo","non-dropping-particle":"","parse-names":false,"suffix":""}],"container-title":"Meditari Accountancy Research","id":"ITEM-1","issue":"6","issued":{"date-parts":[["2022"]]},"page":"1764-1782","title":"Qualitative research interviews using online video technology – challenges and opportunities","type":"article-journal","volume":"30"},"uris":["http://www.mendeley.com/documents/?uuid=c4de7261-3bc6-491b-9d45-63f05f250313"]}],"mendeley":{"formattedCitation":"(de Villiers, Farooq, &amp; Molinari, 2022)","plainTextFormattedCitation":"(de Villiers, Farooq, &amp; Molinari, 2022)","previouslyFormattedCitation":"(de Villiers, Farooq, &amp; Molinari, 2022)"},"properties":{"noteIndex":0},"schema":"https://github.com/citation-style-language/schema/raw/master/csl-citation.json"}</w:instrText>
      </w:r>
      <w:r w:rsidR="00742FB7">
        <w:rPr>
          <w:rFonts w:cs="Calibri"/>
        </w:rPr>
        <w:fldChar w:fldCharType="separate"/>
      </w:r>
      <w:r w:rsidR="00742FB7">
        <w:rPr>
          <w:rFonts w:cs="Calibri"/>
          <w:noProof/>
        </w:rPr>
        <w:t>(de Villiers, Farooq, &amp; Molinari, 2022)</w:t>
      </w:r>
      <w:r w:rsidR="00742FB7">
        <w:rPr>
          <w:rFonts w:cs="Calibri"/>
        </w:rPr>
        <w:fldChar w:fldCharType="end"/>
      </w:r>
      <w:r w:rsidR="00742FB7">
        <w:rPr>
          <w:rFonts w:cs="Calibri"/>
        </w:rPr>
        <w:t xml:space="preserve">. This created a challenge for this research, </w:t>
      </w:r>
      <w:bookmarkStart w:id="657" w:name="_Toc141888854"/>
      <w:bookmarkStart w:id="658" w:name="_Toc98148397"/>
      <w:r w:rsidR="00742FB7">
        <w:rPr>
          <w:rFonts w:cs="Calibri"/>
        </w:rPr>
        <w:t>as the project had aimed to discuss whether people use technology to connect with their community, however, due to the lack of access due to COVID-19, the participants were recruited through hyper-local Facebook pages. This means that</w:t>
      </w:r>
      <w:r>
        <w:rPr>
          <w:rFonts w:cs="Calibri"/>
        </w:rPr>
        <w:t xml:space="preserve"> while </w:t>
      </w:r>
      <w:r w:rsidR="00742FB7">
        <w:rPr>
          <w:rFonts w:cs="Calibri"/>
        </w:rPr>
        <w:t xml:space="preserve">the digital divide is a very important factor within this research, it was impossible to explore with the communities due to the data collection constraints. </w:t>
      </w:r>
    </w:p>
    <w:p w14:paraId="7D820548" w14:textId="77777777" w:rsidR="00787F73" w:rsidRDefault="00787F73" w:rsidP="00866155">
      <w:pPr>
        <w:rPr>
          <w:rFonts w:cs="Calibri"/>
        </w:rPr>
      </w:pPr>
    </w:p>
    <w:p w14:paraId="001199DD" w14:textId="77777777" w:rsidR="00787F73" w:rsidRDefault="00742FB7" w:rsidP="00866155">
      <w:r>
        <w:rPr>
          <w:rFonts w:cs="Calibri"/>
        </w:rPr>
        <w:t xml:space="preserve">When participants logged onto the focus group, there were challenges related to their location. Due to participants joining the call from their homes, there was the potential of distractions </w:t>
      </w:r>
      <w:r>
        <w:fldChar w:fldCharType="begin" w:fldLock="1"/>
      </w:r>
      <w:r>
        <w:rPr>
          <w:rFonts w:cs="Calibri"/>
        </w:rPr>
        <w:instrText>ADDIN CSL_CITATION {"citationItems":[{"id":"ITEM-1","itemData":{"DOI":"10.12688/f1000research.10427.1","ISSN":"1759796X","abstract":"Background Online focus groups have been increasing in use over the last 2 decades, including in biomedical and health-related research. However, most of this research has made use of text-based services such as email, discussion boards, and chat rooms, which do not replicate the experience of face-to-face focus groups. Web conferencing services have the potential to more closely match the face-to-face focus group experience, including important visual and aural cues. This paper provides critical reflections on using a web conferencing service to conduct online focus groups. Methods As part of a broader study, we conducted both online and face-to-face focus groups with participants. The online groups were conducted in real-time using the web conferencing service, Blackboard Collaborate TM. We used reflective practice to assess how the conduct and content of the groups were similar and how they differed across the two platforms. Results We found that further research using such services is warranted, particularly when working with hard-to-reach or geographically dispersed populations. The level of discussion and the quality of the data obtained was similar to that found in face-to-face groups. However, some issues remain, particularly in relation to managing technical issues experienced by participants and ensuring adequate recording quality to facilitate transcription and analysis. Conclusions Our experience with using web conferencing for online focus groups suggests that they have the potential to offer a realistic and comparable alternative to face-to-face focus groups, especially for geographically dispersed populations such as rural and remote health practitioners. Further testing of these services is warranted but researchers should carefully consider the service they use to minimise the impact of technical difficulties.","author":[{"dropping-particle":"","family":"Kite","given":"James","non-dropping-particle":"","parse-names":false,"suffix":""},{"dropping-particle":"","family":"Phongsavan","given":"Philayrath","non-dropping-particle":"","parse-names":false,"suffix":""}],"container-title":"F1000Research","id":"ITEM-1","issue":"122","issued":{"date-parts":[["2017"]]},"page":"1-12","title":"Insights for conducting real-time focus groups online using a web conferencing service","type":"article-journal","volume":"6"},"uris":["http://www.mendeley.com/documents/?uuid=b9cd73b8-db36-4ddd-92db-2c7c6e3fdc04"]}],"mendeley":{"formattedCitation":"(Kite &amp; Phongsavan, 2017)","plainTextFormattedCitation":"(Kite &amp; Phongsavan, 2017)","previouslyFormattedCitation":"(Kite &amp; Phongsavan, 2017)"},"properties":{"noteIndex":0},"schema":"https://github.com/citation-style-language/schema/raw/master/csl-citation.json"}</w:instrText>
      </w:r>
      <w:r>
        <w:rPr>
          <w:rFonts w:cs="Calibri"/>
        </w:rPr>
        <w:fldChar w:fldCharType="separate"/>
      </w:r>
      <w:r>
        <w:rPr>
          <w:rFonts w:cs="Calibri"/>
          <w:noProof/>
        </w:rPr>
        <w:t>(Kite &amp; Phongsavan, 2017)</w:t>
      </w:r>
      <w:r>
        <w:rPr>
          <w:rFonts w:cs="Calibri"/>
        </w:rPr>
        <w:fldChar w:fldCharType="end"/>
      </w:r>
      <w:r>
        <w:rPr>
          <w:rFonts w:cs="Calibri"/>
        </w:rPr>
        <w:t>, such as one community group conversation where someone’s doorbell rang and they had to go and answer it, or another time when a participant went to get a glass of wine mid-focus group.</w:t>
      </w:r>
    </w:p>
    <w:p w14:paraId="3E486CC1" w14:textId="77777777" w:rsidR="00787F73" w:rsidRDefault="00787F73" w:rsidP="00866155">
      <w:pPr>
        <w:rPr>
          <w:rFonts w:cs="Calibri"/>
        </w:rPr>
      </w:pPr>
    </w:p>
    <w:p w14:paraId="7B810E2A" w14:textId="517AED84" w:rsidR="00787F73" w:rsidRDefault="00742FB7" w:rsidP="00866155">
      <w:pPr>
        <w:rPr>
          <w:rFonts w:cs="Calibri"/>
        </w:rPr>
      </w:pPr>
      <w:r>
        <w:rPr>
          <w:rFonts w:cs="Calibri"/>
        </w:rPr>
        <w:t xml:space="preserve">Video focus groups can be more stressful for participants than face-to-face focus groups, due to challenges with the technology. This can include the delay in sending and receiving messages leading to silences on the call, and “Zoom fatigue” referring to the increased levels of close up eye gaze with a screen and increased levels of self-evaluation due to the ability to stare at one’s own image </w:t>
      </w:r>
      <w:r>
        <w:fldChar w:fldCharType="begin" w:fldLock="1"/>
      </w:r>
      <w:r w:rsidR="00974B75">
        <w:rPr>
          <w:rFonts w:cs="Calibri"/>
        </w:rPr>
        <w:instrText>ADDIN CSL_CITATION {"citationItems":[{"id":"ITEM-1","itemData":{"DOI":"10.1108/MEDAR-03-2021-1252","ISSN":"20493738","abstract":"Purpose: This study aims to examine the methodological and method-related challenges and opportunities arising from the use of video interviews in qualitative accounting research, focussed on collecting contextual data and visual cues, enriching communication quality and building and maintaining rapport with interviewees. Design/methodology/approach: Prior literature and the authors’ experiences using video technologies for research, including conducting interviews, inform this research. This study uses a transactional conceptual refinement of information richness theory and channel expansion theory to critically analyse the challenges and opportunities of using video technology to conduct qualitative research interviews. Findings: The ability, need for and significance of collecting contextual data depend on the researchers’ ontological and epistemological assumptions, and are, therefore, influenced by their research design choices. Video technology enables researchers to view research settings by video. In addition, whilst group/panel interviews have their advantages, it is often difficult to get everyone together in person, something video technology can potentially overcome. The feasibility and the quality of video interviews can be improved if both interview participants are experienced with using video technology, as well as with judicious investment in good quality video technology and through testing and practice. We also discuss how rapport building with interviewees can be facilitated by overcoming the video’s sense of disconnect and enhancing interviewees’ willingness to engage. Originality/value: The study builds on the limited prior literature and considers the challenges and opportunities related to methodology and method when conducting video-based qualitative interviews in accounting research. Broadly, qualitative researchers will find the paper useful in considering the use of video interviews and in making research design choices appropriate for video interviews.","author":[{"dropping-particle":"","family":"Villiers","given":"Charl","non-dropping-particle":"de","parse-names":false,"suffix":""},{"dropping-particle":"","family":"Farooq","given":"Muhammad Bilal","non-dropping-particle":"","parse-names":false,"suffix":""},{"dropping-particle":"","family":"Molinari","given":"Matteo","non-dropping-particle":"","parse-names":false,"suffix":""}],"container-title":"Meditari Accountancy Research","id":"ITEM-1","issue":"6","issued":{"date-parts":[["2022"]]},"page":"1764-1782","title":"Qualitative research interviews using online video technology – challenges and opportunities","type":"article-journal","volume":"30"},"uris":["http://www.mendeley.com/documents/?uuid=c4de7261-3bc6-491b-9d45-63f05f250313"]},{"id":"ITEM-2","itemData":{"DOI":"10.1037/tmb0000030","abstract":"For decades, scholars have predicted that videoconference technology will disrupt the practice of commuting daily to and from work and will change the way people socialize. In 2020, the Covid-19 pandemic forced a drastic increase in the number of videoconference meetings, and Zoom became the leading software package because it was free, robust, and easy to use. While the software has been an essential tool for productivity, learning, and social interaction, something about being on videoconference all day seems particularly exhausting, and the term \"Zoom Fatigue\" caught on quickly. In this article, I focus on nonverbal overload as a potential cause for fatigue and provide four arguments outlining how various aspects of the current Zoom interface likely lead to psychological consequences. The arguments are based on academic theory and research, but also have yet to be directly tested in the context of Zoom, and require future experimentation to confirm. Instead of indicting the medium, my goal is to point out these design flaws to isolate research areas for social scientists and to suggest design improvements for technologists.","author":[{"dropping-particle":"","family":"Bailenson","given":"Jeremy N.","non-dropping-particle":"","parse-names":false,"suffix":""}],"container-title":"Technology, Mind, and Behavior","id":"ITEM-2","issue":"1","issued":{"date-parts":[["2021"]]},"page":"1-6","title":"Nonverbal overload: A theoretical argument for the causes of Zoom fatigue.","type":"article-journal","volume":"2"},"uris":["http://www.mendeley.com/documents/?uuid=d2c4b276-613d-4ac9-b41f-13934bb61d91"]}],"mendeley":{"formattedCitation":"(de Villiers, Farooq, &amp; Molinari, 2022; Bailenson, 2021)","plainTextFormattedCitation":"(de Villiers, Farooq, &amp; Molinari, 2022; Bailenson, 2021)","previouslyFormattedCitation":"(de Villiers, Farooq, &amp; Molinari, 2022; Bailenson, 2021)"},"properties":{"noteIndex":0},"schema":"https://github.com/citation-style-language/schema/raw/master/csl-citation.json"}</w:instrText>
      </w:r>
      <w:r>
        <w:rPr>
          <w:rFonts w:cs="Calibri"/>
        </w:rPr>
        <w:fldChar w:fldCharType="separate"/>
      </w:r>
      <w:r>
        <w:rPr>
          <w:rFonts w:cs="Calibri"/>
          <w:noProof/>
        </w:rPr>
        <w:t>(de Villiers, Farooq, &amp; Molinari, 2022; Bailenson, 2021)</w:t>
      </w:r>
      <w:r>
        <w:rPr>
          <w:rFonts w:cs="Calibri"/>
        </w:rPr>
        <w:fldChar w:fldCharType="end"/>
      </w:r>
      <w:r>
        <w:rPr>
          <w:rFonts w:cs="Calibri"/>
        </w:rPr>
        <w:t xml:space="preserve">. This can lead to the focus group becoming more like a group interview, with participants waiting till they are called upon to engage with the discussion, which can prevent the interaction between participants </w:t>
      </w:r>
      <w:r>
        <w:fldChar w:fldCharType="begin" w:fldLock="1"/>
      </w:r>
      <w:r>
        <w:rPr>
          <w:rFonts w:cs="Calibri"/>
        </w:rPr>
        <w:instrText>ADDIN CSL_CITATION {"citationItems":[{"id":"ITEM-1","itemData":{"DOI":"10.12688/f1000research.10427.1","ISSN":"1759796X","abstract":"Background Online focus groups have been increasing in use over the last 2 decades, including in biomedical and health-related research. However, most of this research has made use of text-based services such as email, discussion boards, and chat rooms, which do not replicate the experience of face-to-face focus groups. Web conferencing services have the potential to more closely match the face-to-face focus group experience, including important visual and aural cues. This paper provides critical reflections on using a web conferencing service to conduct online focus groups. Methods As part of a broader study, we conducted both online and face-to-face focus groups with participants. The online groups were conducted in real-time using the web conferencing service, Blackboard Collaborate TM. We used reflective practice to assess how the conduct and content of the groups were similar and how they differed across the two platforms. Results We found that further research using such services is warranted, particularly when working with hard-to-reach or geographically dispersed populations. The level of discussion and the quality of the data obtained was similar to that found in face-to-face groups. However, some issues remain, particularly in relation to managing technical issues experienced by participants and ensuring adequate recording quality to facilitate transcription and analysis. Conclusions Our experience with using web conferencing for online focus groups suggests that they have the potential to offer a realistic and comparable alternative to face-to-face focus groups, especially for geographically dispersed populations such as rural and remote health practitioners. Further testing of these services is warranted but researchers should carefully consider the service they use to minimise the impact of technical difficulties.","author":[{"dropping-particle":"","family":"Kite","given":"James","non-dropping-particle":"","parse-names":false,"suffix":""},{"dropping-particle":"","family":"Phongsavan","given":"Philayrath","non-dropping-particle":"","parse-names":false,"suffix":""}],"container-title":"F1000Research","id":"ITEM-1","issue":"122","issued":{"date-parts":[["2017"]]},"page":"1-12","title":"Insights for conducting real-time focus groups online using a web conferencing service","type":"article-journal","volume":"6"},"uris":["http://www.mendeley.com/documents/?uuid=b9cd73b8-db36-4ddd-92db-2c7c6e3fdc04"]},{"id":"ITEM-2","itemData":{"DOI":"10.29115/sp-2015-0015","ISSN":"2168-0094","abstract":"New technologies continue to push the boundaries of collaboration, bringing together geographically dispersed people into a single, virtual space. Combined with budget pressures, the availability of high-speed Internet and online communication platforms encourage opportunities to use virtual focus groups. Virtual, or online, focus groups may be either asynchronous or synchronous (Mann and Stewart 2001). In asynchronous focus groups, participants access a site to answer moderator-posed questions or respond to other participants’ comments. Participants in synchronous focus groups interact with the moderator and each other “live.”  Despite conditions favoring their use, comparatively little literature exists on using online focus groups for social science research, particularly webinar-type synchronous focus groups. Mayer and colleagues (2006a; 2006b) conducted five such groups with caregivers and providers of pediatric patients and found that participants in the chat-based groups were able to share their experiences and express emotions by using emoticons available in the conferencing system. Participants’ comfort with the messaging technology varied, and some required assistance with technical problems such as logging on or using the software. Underhill and Olmsted (2003) compared transcripts from face-to-face focus groups and chat-based, online focus groups and found no significant differences in participation rates, the number of unique ideas generated, the total number of relevant comments, or participant satisfaction. However, more off-topic comments were generated in the online groups.  What literature exists on this topic originated nearly a decade ago, and technological innovations affecting this data collection method evolve rapidly. In this paper, we draw from our experiences on two recent studies to describe considerations for using online, synchronous focus groups as well as lessons learned from implementing them. ","author":[{"dropping-particle":"","family":"Forrestal","given":"Sarah G.","non-dropping-particle":"","parse-names":false,"suffix":""},{"dropping-particle":"","family":"D’Angelo","given":"Angela Valdovinos","non-dropping-particle":"","parse-names":false,"suffix":""},{"dropping-particle":"","family":"Vogel","given":"Lisa Klein","non-dropping-particle":"","parse-names":false,"suffix":""}],"container-title":"Survey Practice","id":"ITEM-2","issue":"3","issued":{"date-parts":[["2015"]]},"page":"1-8","title":"Considerations for and Lessons Learned from Online, Synchronous Focus Groups","type":"article-journal","volume":"8"},"uris":["http://www.mendeley.com/documents/?uuid=30eb5501-3848-4fe3-954a-a34065f97462"]}],"mendeley":{"formattedCitation":"(Kite &amp; Phongsavan, 2017; Forrestal, D’Angelo, &amp; Vogel, 2015)","plainTextFormattedCitation":"(Kite &amp; Phongsavan, 2017; Forrestal, D’Angelo, &amp; Vogel, 2015)","previouslyFormattedCitation":"(Kite &amp; Phongsavan, 2017; Forrestal, D’Angelo, &amp; Vogel, 2015)"},"properties":{"noteIndex":0},"schema":"https://github.com/citation-style-language/schema/raw/master/csl-citation.json"}</w:instrText>
      </w:r>
      <w:r>
        <w:rPr>
          <w:rFonts w:cs="Calibri"/>
        </w:rPr>
        <w:fldChar w:fldCharType="separate"/>
      </w:r>
      <w:r>
        <w:rPr>
          <w:rFonts w:cs="Calibri"/>
          <w:noProof/>
        </w:rPr>
        <w:t>(Kite &amp; Phongsavan, 2017; Forrestal, D’Angelo, &amp; Vogel, 2015)</w:t>
      </w:r>
      <w:r>
        <w:rPr>
          <w:rFonts w:cs="Calibri"/>
        </w:rPr>
        <w:fldChar w:fldCharType="end"/>
      </w:r>
      <w:r>
        <w:rPr>
          <w:rFonts w:cs="Calibri"/>
        </w:rPr>
        <w:t xml:space="preserve">; however, due to the participants knowing each other prior to the session, they relaxed and started a discussion. </w:t>
      </w:r>
      <w:bookmarkEnd w:id="657"/>
      <w:bookmarkEnd w:id="658"/>
      <w:r w:rsidR="00E16D30">
        <w:rPr>
          <w:rFonts w:cs="Calibri"/>
        </w:rPr>
        <w:t>While</w:t>
      </w:r>
      <w:r>
        <w:rPr>
          <w:rFonts w:cs="Calibri"/>
        </w:rPr>
        <w:t xml:space="preserve"> both the high and low-risk community focus groups would have ideally had more attendees, it was more manageable having two people on the call and enabled each participant to share their experiences in a calm and balanced way. </w:t>
      </w:r>
      <w:r>
        <w:rPr>
          <w:rFonts w:cs="Calibri"/>
        </w:rPr>
        <w:lastRenderedPageBreak/>
        <w:t>This led to more detailed and rich data from each participant, which was analysed using a thematic approach.</w:t>
      </w:r>
    </w:p>
    <w:p w14:paraId="5129B24A" w14:textId="77777777" w:rsidR="003A460D" w:rsidRDefault="003A460D" w:rsidP="00866155"/>
    <w:p w14:paraId="7E7CCE2A" w14:textId="77777777" w:rsidR="00787F73" w:rsidRDefault="00742FB7" w:rsidP="00866155">
      <w:pPr>
        <w:pStyle w:val="Heading2"/>
      </w:pPr>
      <w:bookmarkStart w:id="659" w:name="_Toc98148399"/>
      <w:bookmarkStart w:id="660" w:name="_Toc141888856"/>
      <w:bookmarkStart w:id="661" w:name="_heading=h.49x2ik5"/>
      <w:bookmarkStart w:id="662" w:name="_Toc93336041"/>
      <w:bookmarkStart w:id="663" w:name="_Toc145019986"/>
      <w:bookmarkStart w:id="664" w:name="_Toc153554342"/>
      <w:bookmarkStart w:id="665" w:name="_Toc145281049"/>
      <w:bookmarkStart w:id="666" w:name="_Toc147765765"/>
      <w:bookmarkStart w:id="667" w:name="_Toc193367224"/>
      <w:bookmarkEnd w:id="659"/>
      <w:bookmarkEnd w:id="660"/>
      <w:bookmarkEnd w:id="661"/>
      <w:bookmarkEnd w:id="662"/>
      <w:r>
        <w:rPr>
          <w:rFonts w:ascii="Calibri" w:hAnsi="Calibri" w:cs="Calibri"/>
        </w:rPr>
        <w:t>3.4: Data analysis</w:t>
      </w:r>
      <w:bookmarkEnd w:id="663"/>
      <w:bookmarkEnd w:id="664"/>
      <w:bookmarkEnd w:id="665"/>
      <w:bookmarkEnd w:id="666"/>
      <w:bookmarkEnd w:id="667"/>
    </w:p>
    <w:p w14:paraId="14FE1E64" w14:textId="77777777" w:rsidR="00B03E8E" w:rsidRDefault="00742FB7" w:rsidP="00B03E8E">
      <w:bookmarkStart w:id="668" w:name="_Hlk142410338"/>
      <w:bookmarkStart w:id="669" w:name="_Toc933360411"/>
      <w:bookmarkStart w:id="670" w:name="_Toc1418888561"/>
      <w:bookmarkStart w:id="671" w:name="_Toc981483991"/>
      <w:bookmarkEnd w:id="668"/>
      <w:bookmarkEnd w:id="669"/>
      <w:bookmarkEnd w:id="670"/>
      <w:bookmarkEnd w:id="671"/>
      <w:r>
        <w:rPr>
          <w:rFonts w:cs="Calibri"/>
        </w:rPr>
        <w:t>Once the data had been collected (recordings taken of interviews and focus groups) it was stored on a password protected laptop and then sent to a transcription service to be transcribed; I then checked the transcriptions and undertook a thematic analysis</w:t>
      </w:r>
      <w:r w:rsidR="000D493E">
        <w:rPr>
          <w:rFonts w:cs="Calibri"/>
        </w:rPr>
        <w:t xml:space="preserve"> using NVivo 12</w:t>
      </w:r>
      <w:r>
        <w:rPr>
          <w:rFonts w:cs="Calibri"/>
        </w:rPr>
        <w:t>.</w:t>
      </w:r>
      <w:r w:rsidR="00B03E8E">
        <w:rPr>
          <w:rFonts w:cs="Calibri"/>
        </w:rPr>
        <w:t xml:space="preserve"> I uploaded all the documents and audio transcripts to NVivo 12 and conducted the coding. I then printed off the codes and conducted a manual sorting of the codes, which I then updated on NVivo. </w:t>
      </w:r>
    </w:p>
    <w:p w14:paraId="0BD9BAC0" w14:textId="77777777" w:rsidR="00787F73" w:rsidRDefault="00787F73" w:rsidP="00B03E8E">
      <w:pPr>
        <w:rPr>
          <w:rFonts w:cs="Calibri"/>
        </w:rPr>
      </w:pPr>
    </w:p>
    <w:p w14:paraId="3ADE0E86" w14:textId="77777777" w:rsidR="00787F73" w:rsidRDefault="00B03E8E" w:rsidP="00866155">
      <w:r>
        <w:rPr>
          <w:rFonts w:cs="Calibri"/>
        </w:rPr>
        <w:t xml:space="preserve">A thematic analysis relies on the researcher’s subjectivity and personal insight on the topic to interpret the data, which fits within the interpretivist approach of this project </w:t>
      </w:r>
      <w:r>
        <w:fldChar w:fldCharType="begin" w:fldLock="1"/>
      </w:r>
      <w:r>
        <w:rPr>
          <w:rFonts w:cs="Calibri"/>
        </w:rPr>
        <w:instrText>ADDIN CSL_CITATION {"citationItems":[{"id":"ITEM-1","itemData":{"DOI":"10.5430/jnep.v6n5p100","author":[{"dropping-particle":"","family":"Vaismoradi","given":"Mojtaba","non-dropping-particle":"","parse-names":false,"suffix":""},{"dropping-particle":"","family":"Jones","given":"Jacqueline","non-dropping-particle":"","parse-names":false,"suffix":""},{"dropping-particle":"","family":"Turunen","given":"Hannele","non-dropping-particle":"","parse-names":false,"suffix":""},{"dropping-particle":"","family":"Snelgrove","given":"Sherrill","non-dropping-particle":"","parse-names":false,"suffix":""}],"container-title":"Journal of Nursing Education and Practice","id":"ITEM-1","issue":"5","issued":{"date-parts":[["2016"]]},"page":"100 - 110","title":"Theme development in qualitative content analysis and thematic analysis","type":"article-journal","volume":"6"},"uris":["http://www.mendeley.com/documents/?uuid=63405386-94d0-4355-8efa-a93355f85b98"]},{"id":"ITEM-2","itemData":{"DOI":"10.1080/26895269.2022.2129597","author":[{"dropping-particle":"","family":"Braun","given":"Virginia","non-dropping-particle":"","parse-names":false,"suffix":""},{"dropping-particle":"","family":"Clarke","given":"Victoria","non-dropping-particle":"","parse-names":false,"suffix":""}],"container-title":"International Journal of Transgender Health","id":"ITEM-2","issue":"1","issued":{"date-parts":[["2023"]]},"page":"1-6","title":"Toward good practice in thematic analysis: Avoiding common problems and be(com)ing a knowing researcher","type":"article-journal","volume":"24"},"uris":["http://www.mendeley.com/documents/?uuid=d0e76ad6-ec60-48a8-ac5d-112ef6747ff7"]}],"mendeley":{"formattedCitation":"(Braun &amp; Clarke, 2023; Vaismoradi et al., 2016)","plainTextFormattedCitation":"(Braun &amp; Clarke, 2023; Vaismoradi et al., 2016)","previouslyFormattedCitation":"(Braun &amp; Clarke, 2023; Vaismoradi et al., 2016)"},"properties":{"noteIndex":0},"schema":"https://github.com/citation-style-language/schema/raw/master/csl-citation.json"}</w:instrText>
      </w:r>
      <w:r>
        <w:rPr>
          <w:rFonts w:cs="Calibri"/>
        </w:rPr>
        <w:fldChar w:fldCharType="separate"/>
      </w:r>
      <w:r>
        <w:rPr>
          <w:rFonts w:cs="Calibri"/>
          <w:noProof/>
        </w:rPr>
        <w:t>(Braun &amp; Clarke, 2023; Vaismoradi et al., 2016)</w:t>
      </w:r>
      <w:r>
        <w:rPr>
          <w:rFonts w:cs="Calibri"/>
        </w:rPr>
        <w:fldChar w:fldCharType="end"/>
      </w:r>
      <w:r>
        <w:rPr>
          <w:rFonts w:cs="Calibri"/>
        </w:rPr>
        <w:t xml:space="preserve">. Thematic analysis can be described as a family of approaches, with some using small q qualitative analysis, and others using big Q qualitative analysis; this describes the spectrum of analysis that can have a slight positivist approach (small q) to a more reflexive and interpretive approach (big Q) </w:t>
      </w:r>
      <w:r>
        <w:fldChar w:fldCharType="begin" w:fldLock="1"/>
      </w:r>
      <w:r>
        <w:rPr>
          <w:rFonts w:cs="Calibri"/>
        </w:rPr>
        <w:instrText>ADDIN CSL_CITATION {"citationItems":[{"id":"ITEM-1","itemData":{"DOI":"10.1080/26895269.2022.2129597","author":[{"dropping-particle":"","family":"Braun","given":"Virginia","non-dropping-particle":"","parse-names":false,"suffix":""},{"dropping-particle":"","family":"Clarke","given":"Victoria","non-dropping-particle":"","parse-names":false,"suffix":""}],"container-title":"International Journal of Transgender Health","id":"ITEM-1","issue":"1","issued":{"date-parts":[["2023"]]},"page":"1-6","title":"Toward good practice in thematic analysis: Avoiding common problems and be(com)ing a knowing researcher","type":"article-journal","volume":"24"},"uris":["http://www.mendeley.com/documents/?uuid=d0e76ad6-ec60-48a8-ac5d-112ef6747ff7"]}],"mendeley":{"formattedCitation":"(Braun &amp; Clarke, 2023)","plainTextFormattedCitation":"(Braun &amp; Clarke, 2023)","previouslyFormattedCitation":"(Braun &amp; Clarke, 2023)"},"properties":{"noteIndex":0},"schema":"https://github.com/citation-style-language/schema/raw/master/csl-citation.json"}</w:instrText>
      </w:r>
      <w:r>
        <w:rPr>
          <w:rFonts w:cs="Calibri"/>
        </w:rPr>
        <w:fldChar w:fldCharType="separate"/>
      </w:r>
      <w:r>
        <w:rPr>
          <w:rFonts w:cs="Calibri"/>
          <w:noProof/>
        </w:rPr>
        <w:t>(Braun &amp; Clarke, 2023)</w:t>
      </w:r>
      <w:r>
        <w:rPr>
          <w:rFonts w:cs="Calibri"/>
        </w:rPr>
        <w:fldChar w:fldCharType="end"/>
      </w:r>
      <w:r>
        <w:rPr>
          <w:rFonts w:cs="Calibri"/>
        </w:rPr>
        <w:t xml:space="preserve">. This requires an understanding of how themes are viewed, either as topic summaries (small q), or interpretive storytelling (big Q) </w:t>
      </w:r>
      <w:r>
        <w:fldChar w:fldCharType="begin" w:fldLock="1"/>
      </w:r>
      <w:r>
        <w:rPr>
          <w:rFonts w:cs="Calibri"/>
        </w:rPr>
        <w:instrText>ADDIN CSL_CITATION {"citationItems":[{"id":"ITEM-1","itemData":{"DOI":"10.1080/26895269.2022.2129597","author":[{"dropping-particle":"","family":"Braun","given":"Virginia","non-dropping-particle":"","parse-names":false,"suffix":""},{"dropping-particle":"","family":"Clarke","given":"Victoria","non-dropping-particle":"","parse-names":false,"suffix":""}],"container-title":"International Journal of Transgender Health","id":"ITEM-1","issue":"1","issued":{"date-parts":[["2023"]]},"page":"1-6","title":"Toward good practice in thematic analysis: Avoiding common problems and be(com)ing a knowing researcher","type":"article-journal","volume":"24"},"uris":["http://www.mendeley.com/documents/?uuid=d0e76ad6-ec60-48a8-ac5d-112ef6747ff7"]}],"mendeley":{"formattedCitation":"(Braun &amp; Clarke, 2023)","plainTextFormattedCitation":"(Braun &amp; Clarke, 2023)","previouslyFormattedCitation":"(Braun &amp; Clarke, 2023)"},"properties":{"noteIndex":0},"schema":"https://github.com/citation-style-language/schema/raw/master/csl-citation.json"}</w:instrText>
      </w:r>
      <w:r>
        <w:rPr>
          <w:rFonts w:cs="Calibri"/>
        </w:rPr>
        <w:fldChar w:fldCharType="separate"/>
      </w:r>
      <w:r>
        <w:rPr>
          <w:rFonts w:cs="Calibri"/>
          <w:noProof/>
        </w:rPr>
        <w:t>(Braun &amp; Clarke, 2023)</w:t>
      </w:r>
      <w:r>
        <w:rPr>
          <w:rFonts w:cs="Calibri"/>
        </w:rPr>
        <w:fldChar w:fldCharType="end"/>
      </w:r>
      <w:r>
        <w:rPr>
          <w:rFonts w:cs="Calibri"/>
        </w:rPr>
        <w:t xml:space="preserve">. This project used an abductive approach and therefore the theory and wider literature was used both inductively and deductively, such as prior knowledge of parliamentary acts (e.g., the Civil Contingencies Act), and combined with more interpretive storytelling, with themes such as </w:t>
      </w:r>
      <w:r>
        <w:rPr>
          <w:rFonts w:cs="Calibri"/>
          <w:i/>
          <w:iCs/>
        </w:rPr>
        <w:t xml:space="preserve">responsibility </w:t>
      </w:r>
      <w:r>
        <w:fldChar w:fldCharType="begin" w:fldLock="1"/>
      </w:r>
      <w:r>
        <w:rPr>
          <w:rFonts w:cs="Calibri"/>
          <w:i/>
          <w:iCs/>
        </w:rPr>
        <w:instrText>ADDIN CSL_CITATION {"citationItems":[{"id":"ITEM-1","itemData":{"DOI":"10.1080/26895269.2022.2129597","author":[{"dropping-particle":"","family":"Braun","given":"Virginia","non-dropping-particle":"","parse-names":false,"suffix":""},{"dropping-particle":"","family":"Clarke","given":"Victoria","non-dropping-particle":"","parse-names":false,"suffix":""}],"container-title":"International Journal of Transgender Health","id":"ITEM-1","issue":"1","issued":{"date-parts":[["2023"]]},"page":"1-6","title":"Toward good practice in thematic analysis: Avoiding common problems and be(com)ing a knowing researcher","type":"article-journal","volume":"24"},"uris":["http://www.mendeley.com/documents/?uuid=d0e76ad6-ec60-48a8-ac5d-112ef6747ff7"]}],"mendeley":{"formattedCitation":"(Braun &amp; Clarke, 2023)","plainTextFormattedCitation":"(Braun &amp; Clarke, 2023)","previouslyFormattedCitation":"(Braun &amp; Clarke, 2023)"},"properties":{"noteIndex":0},"schema":"https://github.com/citation-style-language/schema/raw/master/csl-citation.json"}</w:instrText>
      </w:r>
      <w:r>
        <w:rPr>
          <w:rFonts w:cs="Calibri"/>
          <w:i/>
          <w:iCs/>
        </w:rPr>
        <w:fldChar w:fldCharType="separate"/>
      </w:r>
      <w:r>
        <w:rPr>
          <w:rFonts w:cs="Calibri"/>
          <w:noProof/>
        </w:rPr>
        <w:t>(Braun &amp; Clarke, 2023)</w:t>
      </w:r>
      <w:r>
        <w:rPr>
          <w:rFonts w:cs="Calibri"/>
          <w:i/>
          <w:iCs/>
        </w:rPr>
        <w:fldChar w:fldCharType="end"/>
      </w:r>
      <w:r>
        <w:rPr>
          <w:rFonts w:cs="Calibri"/>
        </w:rPr>
        <w:t xml:space="preserve">. </w:t>
      </w:r>
    </w:p>
    <w:p w14:paraId="72D56299" w14:textId="77777777" w:rsidR="00787F73" w:rsidRPr="000D493E" w:rsidRDefault="00742FB7" w:rsidP="000D493E">
      <w:pPr>
        <w:rPr>
          <w:rFonts w:cs="Calibri"/>
        </w:rPr>
      </w:pPr>
      <w:bookmarkStart w:id="672" w:name="_Hlk1424103381"/>
      <w:bookmarkEnd w:id="672"/>
      <w:r>
        <w:rPr>
          <w:rFonts w:cs="Calibri"/>
        </w:rPr>
        <w:t xml:space="preserve">This project used the thematic analysis method set out by Braun et al. (2018), focusing on the six phases of familiarisation, generating codes, constructing themes, revising and defining themes, and producing the report </w:t>
      </w:r>
      <w:r>
        <w:fldChar w:fldCharType="begin" w:fldLock="1"/>
      </w:r>
      <w:r>
        <w:rPr>
          <w:rFonts w:cs="Calibri"/>
        </w:rPr>
        <w:instrText>ADDIN CSL_CITATION {"citationItems":[{"id":"ITEM-1","itemData":{"ISBN":"9789811027796","author":[{"dropping-particle":"","family":"Braun","given":"Virginia","non-dropping-particle":"","parse-names":false,"suffix":""},{"dropping-particle":"","family":"Clarke","given":"Victoria","non-dropping-particle":"","parse-names":false,"suffix":""},{"dropping-particle":"","family":"Hayfield","given":"Nikki","non-dropping-particle":"","parse-names":false,"suffix":""},{"dropping-particle":"","family":"Terry","given":"Gareth","non-dropping-particle":"","parse-names":false,"suffix":""}],"container-title":"Handbook of Research Methods in Health Social Sciences","editor":[{"dropping-particle":"","family":"Liamputtong","given":"Pranee","non-dropping-particle":"","parse-names":false,"suffix":""}],"id":"ITEM-1","issued":{"date-parts":[["2018"]]},"page":"1-18","publisher":"Springer","publisher-place":"Singapore","title":"Thematic Analysis","type":"chapter"},"uris":["http://www.mendeley.com/documents/?uuid=2d27c7fb-1c0a-4d0d-8cad-2b27b10d8e91"]}],"mendeley":{"formattedCitation":"(Braun et al., 2018)","plainTextFormattedCitation":"(Braun et al., 2018)","previouslyFormattedCitation":"(Braun et al., 2018)"},"properties":{"noteIndex":0},"schema":"https://github.com/citation-style-language/schema/raw/master/csl-citation.json"}</w:instrText>
      </w:r>
      <w:r>
        <w:rPr>
          <w:rFonts w:cs="Calibri"/>
        </w:rPr>
        <w:fldChar w:fldCharType="separate"/>
      </w:r>
      <w:r>
        <w:rPr>
          <w:rFonts w:cs="Calibri"/>
          <w:noProof/>
        </w:rPr>
        <w:t>(Braun et al., 2018)</w:t>
      </w:r>
      <w:r>
        <w:rPr>
          <w:rFonts w:cs="Calibri"/>
        </w:rPr>
        <w:fldChar w:fldCharType="end"/>
      </w:r>
      <w:r>
        <w:rPr>
          <w:rFonts w:cs="Calibri"/>
        </w:rPr>
        <w:t xml:space="preserve">. This was done through listening to the recordings and reading the documents multiple times (familiarisation), then over the course of the project generating codes (the analytical unit) and constructing prototype themes based on my interpretation of the data, which can be multifaceted </w:t>
      </w:r>
      <w:r>
        <w:fldChar w:fldCharType="begin" w:fldLock="1"/>
      </w:r>
      <w:r w:rsidR="006A0F18">
        <w:rPr>
          <w:rFonts w:cs="Calibri"/>
        </w:rPr>
        <w:instrText>ADDIN CSL_CITATION {"citationItems":[{"id":"ITEM-1","itemData":{"ISBN":"9789811027796","author":[{"dropping-particle":"","family":"Braun","given":"Virginia","non-dropping-particle":"","parse-names":false,"suffix":""},{"dropping-particle":"","family":"Clarke","given":"Victoria","non-dropping-particle":"","parse-names":false,"suffix":""},{"dropping-particle":"","family":"Hayfield","given":"Nikki","non-dropping-particle":"","parse-names":false,"suffix":""},{"dropping-particle":"","family":"Terry","given":"Gareth","non-dropping-particle":"","parse-names":false,"suffix":""}],"container-title":"Handbook of Research Methods in Health Social Sciences","editor":[{"dropping-particle":"","family":"Liamputtong","given":"Pranee","non-dropping-particle":"","parse-names":false,"suffix":""}],"id":"ITEM-1","issued":{"date-parts":[["2018"]]},"page":"1-18","publisher":"Springer","publisher-place":"Singapore","title":"Thematic Analysis","type":"chapter"},"uris":["http://www.mendeley.com/documents/?uuid=2d27c7fb-1c0a-4d0d-8cad-2b27b10d8e91"]},{"id":"ITEM-2","itemData":{"DOI":"10.1080/26895269.2022.2129597","author":[{"dropping-particle":"","family":"Braun","given":"Virginia","non-dropping-particle":"","parse-names":false,"suffix":""},{"dropping-particle":"","family":"Clarke","given":"Victoria","non-dropping-particle":"","parse-names":false,"suffix":""}],"container-title":"International Journal of Transgender Health","id":"ITEM-2","issue":"1","issued":{"date-parts":[["2023"]]},"page":"1-6","title":"Toward good practice in thematic analysis: Avoiding common problems and be(com)ing a knowing researcher","type":"article-journal","volume":"24"},"uris":["http://www.mendeley.com/documents/?uuid=d0e76ad6-ec60-48a8-ac5d-112ef6747ff7"]},{"id":"ITEM-3","itemData":{"DOI":"10.1080/14780887.2020.1769238","author":[{"dropping-particle":"","family":"Braun","given":"Virginia","non-dropping-particle":"","parse-names":false,"suffix":""},{"dropping-particle":"","family":"Clarke","given":"Victoria","non-dropping-particle":"","parse-names":false,"suffix":""}],"container-title":"Qualitative Research in Psychology","id":"ITEM-3","issue":"3","issued":{"date-parts":[["2021"]]},"page":"328-352","title":"One size fits all? What counts as quality practice in (reflexive) thematic analysis?","type":"article-journal","volume":"18"},"uris":["http://www.mendeley.com/documents/?uuid=283ebd65-6da5-47f7-b202-e703a3efd84e"]}],"mendeley":{"formattedCitation":"(Braun &amp; Clarke, 2021b, 2023; Braun et al., 2018)","plainTextFormattedCitation":"(Braun &amp; Clarke, 2021b, 2023; Braun et al., 2018)","previouslyFormattedCitation":"(Braun &amp; Clarke, 2021b, 2023; Braun et al., 2018)"},"properties":{"noteIndex":0},"schema":"https://github.com/citation-style-language/schema/raw/master/csl-citation.json"}</w:instrText>
      </w:r>
      <w:r>
        <w:rPr>
          <w:rFonts w:cs="Calibri"/>
        </w:rPr>
        <w:fldChar w:fldCharType="separate"/>
      </w:r>
      <w:r w:rsidR="0080267A" w:rsidRPr="0080267A">
        <w:rPr>
          <w:rFonts w:cs="Calibri"/>
          <w:noProof/>
        </w:rPr>
        <w:t>(Braun &amp; Clarke, 2021b, 2023; Braun et al., 2018)</w:t>
      </w:r>
      <w:r>
        <w:rPr>
          <w:rFonts w:cs="Calibri"/>
        </w:rPr>
        <w:fldChar w:fldCharType="end"/>
      </w:r>
      <w:r>
        <w:rPr>
          <w:rFonts w:cs="Calibri"/>
        </w:rPr>
        <w:t xml:space="preserve">, such as trust and responsibility. </w:t>
      </w:r>
    </w:p>
    <w:p w14:paraId="7F348CBA" w14:textId="77777777" w:rsidR="00787F73" w:rsidRDefault="00787F73" w:rsidP="000D493E">
      <w:pPr>
        <w:rPr>
          <w:rFonts w:cs="Calibri"/>
        </w:rPr>
      </w:pPr>
    </w:p>
    <w:p w14:paraId="1E07B33C" w14:textId="2B82467B" w:rsidR="00787F73" w:rsidRDefault="00742FB7" w:rsidP="00866155">
      <w:r>
        <w:rPr>
          <w:rFonts w:cs="Calibri"/>
        </w:rPr>
        <w:lastRenderedPageBreak/>
        <w:t xml:space="preserve">This approach supported the analysis of institutional logics, enabling an examination of patterns in the data, which can be described as a set of symbols and beliefs expressed in verbal, visual or written discourses and can be identified as institutional logics </w:t>
      </w:r>
      <w:r>
        <w:fldChar w:fldCharType="begin" w:fldLock="1"/>
      </w:r>
      <w:r>
        <w:rPr>
          <w:rFonts w:cs="Calibri"/>
        </w:rPr>
        <w:instrText>ADDIN CSL_CITATION {"citationItems":[{"id":"ITEM-1","itemData":{"DOI":"10.1177/1476127015589981","author":[{"dropping-particle":"","family":"Reay","given":"Trish","non-dropping-particle":"","parse-names":false,"suffix":""},{"dropping-particle":"","family":"Jones","given":"Candace","non-dropping-particle":"","parse-names":false,"suffix":""}],"container-title":"Strategic Organization","id":"ITEM-1","issue":"4","issued":{"date-parts":[["2016"]]},"page":"441 - 454","title":"Qualitatively capturing institutional logics","type":"article-journal","volume":"14"},"uris":["http://www.mendeley.com/documents/?uuid=4878ad0c-874d-46a5-9871-26e4841eb77c"]}],"mendeley":{"formattedCitation":"(Reay &amp; Jones, 2016)","plainTextFormattedCitation":"(Reay &amp; Jones, 2016)","previouslyFormattedCitation":"(Reay &amp; Jones, 2016)"},"properties":{"noteIndex":0},"schema":"https://github.com/citation-style-language/schema/raw/master/csl-citation.json"}</w:instrText>
      </w:r>
      <w:r>
        <w:rPr>
          <w:rFonts w:cs="Calibri"/>
        </w:rPr>
        <w:fldChar w:fldCharType="separate"/>
      </w:r>
      <w:r>
        <w:rPr>
          <w:rFonts w:cs="Calibri"/>
          <w:noProof/>
        </w:rPr>
        <w:t>(Reay &amp; Jones, 2016)</w:t>
      </w:r>
      <w:r>
        <w:rPr>
          <w:rFonts w:cs="Calibri"/>
        </w:rPr>
        <w:fldChar w:fldCharType="end"/>
      </w:r>
      <w:r>
        <w:rPr>
          <w:rFonts w:cs="Calibri"/>
        </w:rPr>
        <w:t xml:space="preserve">. This thesis used a pattern inducing approach, focusing on an interpretivist approach to data analysis, but also with the understanding that there are elements of pattern deducing within the work (Reay &amp; Jones, 2016). </w:t>
      </w:r>
      <w:r w:rsidR="00E16D30">
        <w:rPr>
          <w:rFonts w:cs="Calibri"/>
        </w:rPr>
        <w:t>While</w:t>
      </w:r>
      <w:r>
        <w:rPr>
          <w:rFonts w:cs="Calibri"/>
        </w:rPr>
        <w:t xml:space="preserve"> a mainly inductive approach to data analysis </w:t>
      </w:r>
      <w:r w:rsidR="00C02F78">
        <w:rPr>
          <w:rFonts w:cs="Calibri"/>
        </w:rPr>
        <w:t>was</w:t>
      </w:r>
      <w:r>
        <w:rPr>
          <w:rFonts w:cs="Calibri"/>
        </w:rPr>
        <w:t xml:space="preserve"> used, letting the text show the reality, there is always an element of deduction. For example, when I saw certain words such as </w:t>
      </w:r>
      <w:r>
        <w:rPr>
          <w:rFonts w:cs="Calibri"/>
          <w:i/>
        </w:rPr>
        <w:t>prevention</w:t>
      </w:r>
      <w:r>
        <w:rPr>
          <w:rFonts w:cs="Calibri"/>
        </w:rPr>
        <w:t xml:space="preserve"> or </w:t>
      </w:r>
      <w:r>
        <w:rPr>
          <w:rFonts w:cs="Calibri"/>
          <w:i/>
        </w:rPr>
        <w:t>statutory obligation</w:t>
      </w:r>
      <w:r>
        <w:rPr>
          <w:rFonts w:cs="Calibri"/>
        </w:rPr>
        <w:t xml:space="preserve">, they were logics which I expected to see within conversations with the Fire and Rescue service due to the contextual work (literature review) I conducted prior to the data collection phase. </w:t>
      </w:r>
    </w:p>
    <w:p w14:paraId="2873BB6C" w14:textId="77777777" w:rsidR="00787F73" w:rsidRDefault="00787F73" w:rsidP="00866155">
      <w:pPr>
        <w:rPr>
          <w:rFonts w:cs="Calibri"/>
        </w:rPr>
      </w:pPr>
    </w:p>
    <w:p w14:paraId="7AE9E1AB" w14:textId="77777777" w:rsidR="00787F73" w:rsidRDefault="00742FB7" w:rsidP="00866155">
      <w:r>
        <w:rPr>
          <w:rFonts w:cs="Calibri"/>
        </w:rPr>
        <w:t>As argued earlier, one can never truly have an inductive research project during a PhD due to the nature of the program</w:t>
      </w:r>
      <w:r w:rsidR="00E20E26">
        <w:rPr>
          <w:rFonts w:cs="Calibri"/>
        </w:rPr>
        <w:t>me</w:t>
      </w:r>
      <w:r>
        <w:rPr>
          <w:rFonts w:cs="Calibri"/>
        </w:rPr>
        <w:t xml:space="preserve">, requiring a research proposal with an extensive literature review prior to data collection, the researcher is always expecting to find or challenge something related to their literature review. Data collection took place over multiple years, which meant that the process of revising and defining themes happened throughout the project, until the data collection had concluded, with the analysis following an iterative process </w:t>
      </w:r>
      <w:r>
        <w:fldChar w:fldCharType="begin" w:fldLock="1"/>
      </w:r>
      <w:r w:rsidR="00B52275">
        <w:rPr>
          <w:rFonts w:cs="Calibri"/>
        </w:rPr>
        <w:instrText>ADDIN CSL_CITATION {"citationItems":[{"id":"ITEM-1","itemData":{"DOI":"10.1080/14780887.2020.1769238","author":[{"dropping-particle":"","family":"Braun","given":"Virginia","non-dropping-particle":"","parse-names":false,"suffix":""},{"dropping-particle":"","family":"Clarke","given":"Victoria","non-dropping-particle":"","parse-names":false,"suffix":""}],"container-title":"Qualitative Research in Psychology","id":"ITEM-1","issue":"3","issued":{"date-parts":[["2021"]]},"page":"328-352","title":"One size fits all? What counts as quality practice in (reflexive) thematic analysis?","type":"article-journal","volume":"18"},"uris":["http://www.mendeley.com/documents/?uuid=283ebd65-6da5-47f7-b202-e703a3efd84e"]}],"mendeley":{"formattedCitation":"(Braun &amp; Clarke, 2021b)","plainTextFormattedCitation":"(Braun &amp; Clarke, 2021b)","previouslyFormattedCitation":"(Braun &amp; Clarke, 2021b)"},"properties":{"noteIndex":0},"schema":"https://github.com/citation-style-language/schema/raw/master/csl-citation.json"}</w:instrText>
      </w:r>
      <w:r>
        <w:rPr>
          <w:rFonts w:cs="Calibri"/>
        </w:rPr>
        <w:fldChar w:fldCharType="separate"/>
      </w:r>
      <w:r w:rsidR="0067686A" w:rsidRPr="0067686A">
        <w:rPr>
          <w:rFonts w:cs="Calibri"/>
          <w:noProof/>
        </w:rPr>
        <w:t>(Braun &amp; Clarke, 2021b)</w:t>
      </w:r>
      <w:r>
        <w:rPr>
          <w:rFonts w:cs="Calibri"/>
        </w:rPr>
        <w:fldChar w:fldCharType="end"/>
      </w:r>
      <w:r>
        <w:rPr>
          <w:rFonts w:cs="Calibri"/>
        </w:rPr>
        <w:t xml:space="preserve">. When the themes had been suitably defined and explored, the final phase of writing up the document was then completed (Braun et al., 2018). </w:t>
      </w:r>
    </w:p>
    <w:p w14:paraId="7983493D" w14:textId="77777777" w:rsidR="00787F73" w:rsidRDefault="00787F73" w:rsidP="00866155">
      <w:pPr>
        <w:rPr>
          <w:rFonts w:cs="Calibri"/>
        </w:rPr>
      </w:pPr>
    </w:p>
    <w:p w14:paraId="3C9DAD8F" w14:textId="77777777" w:rsidR="00787F73" w:rsidRDefault="00742FB7" w:rsidP="00866155">
      <w:pPr>
        <w:pStyle w:val="Heading2"/>
      </w:pPr>
      <w:bookmarkStart w:id="673" w:name="_heading=h.3o7alnk"/>
      <w:bookmarkStart w:id="674" w:name="_heading=h.2grqrue"/>
      <w:bookmarkStart w:id="675" w:name="_heading=h.2p2csry"/>
      <w:bookmarkStart w:id="676" w:name="_heading=h.147n2zr"/>
      <w:bookmarkStart w:id="677" w:name="_heading=h.3fwokq0"/>
      <w:bookmarkStart w:id="678" w:name="_Toc145019987"/>
      <w:bookmarkStart w:id="679" w:name="_Toc153554343"/>
      <w:bookmarkStart w:id="680" w:name="_Toc147765766"/>
      <w:bookmarkStart w:id="681" w:name="_Toc98148410"/>
      <w:bookmarkStart w:id="682" w:name="_Toc141888867"/>
      <w:bookmarkStart w:id="683" w:name="_Toc93336043"/>
      <w:bookmarkStart w:id="684" w:name="_Toc145281050"/>
      <w:bookmarkStart w:id="685" w:name="_Toc193367225"/>
      <w:bookmarkEnd w:id="673"/>
      <w:bookmarkEnd w:id="674"/>
      <w:bookmarkEnd w:id="675"/>
      <w:bookmarkEnd w:id="676"/>
      <w:bookmarkEnd w:id="677"/>
      <w:r>
        <w:rPr>
          <w:rFonts w:ascii="Calibri" w:hAnsi="Calibri" w:cs="Calibri"/>
        </w:rPr>
        <w:t>3.5: Ethics</w:t>
      </w:r>
      <w:bookmarkEnd w:id="678"/>
      <w:bookmarkEnd w:id="679"/>
      <w:bookmarkEnd w:id="680"/>
      <w:bookmarkEnd w:id="681"/>
      <w:bookmarkEnd w:id="682"/>
      <w:bookmarkEnd w:id="683"/>
      <w:bookmarkEnd w:id="684"/>
      <w:bookmarkEnd w:id="685"/>
    </w:p>
    <w:p w14:paraId="08181F4B" w14:textId="77777777" w:rsidR="00787F73" w:rsidRDefault="00742FB7" w:rsidP="00866155">
      <w:r>
        <w:rPr>
          <w:rFonts w:eastAsia="Calibri" w:cs="Calibri"/>
          <w:color w:val="000000"/>
        </w:rPr>
        <w:t>This project was approved by The University of Sheffield's Ethics Board on the 18</w:t>
      </w:r>
      <w:r>
        <w:rPr>
          <w:rFonts w:eastAsia="Calibri" w:cs="Calibri"/>
          <w:color w:val="000000"/>
          <w:vertAlign w:val="superscript"/>
        </w:rPr>
        <w:t>th</w:t>
      </w:r>
      <w:r>
        <w:rPr>
          <w:rFonts w:eastAsia="Calibri" w:cs="Calibri"/>
          <w:color w:val="000000"/>
        </w:rPr>
        <w:t xml:space="preserve"> January 2019. I adhered to the ethics application, which was initially approved in January 2019, though it had various amendments throughout the project due to the limitations imposed by the COVID-19 social distancing restrictions. These included moving the collection of data online, including an online consent form, and telephone or video interviews.</w:t>
      </w:r>
    </w:p>
    <w:p w14:paraId="207539A5" w14:textId="77777777" w:rsidR="00787F73" w:rsidRDefault="00787F73" w:rsidP="00866155">
      <w:pPr>
        <w:rPr>
          <w:rFonts w:eastAsia="Calibri" w:cs="Calibri"/>
          <w:color w:val="000000"/>
        </w:rPr>
      </w:pPr>
    </w:p>
    <w:p w14:paraId="4C3127A9" w14:textId="77777777" w:rsidR="00787F73" w:rsidRDefault="00742FB7" w:rsidP="00866155">
      <w:r>
        <w:rPr>
          <w:rFonts w:eastAsia="Calibri" w:cs="Calibri"/>
          <w:color w:val="000000"/>
        </w:rPr>
        <w:t xml:space="preserve">I was also mindful that the topic could be distressing to some participants if they had experienced a disaster event, and the guidance set out by a variety of organisations was followed, such as the online ethics guidance from the British Psychological Society </w:t>
      </w:r>
      <w:r>
        <w:fldChar w:fldCharType="begin" w:fldLock="1"/>
      </w:r>
      <w:r>
        <w:rPr>
          <w:rFonts w:eastAsia="Calibri" w:cs="Calibri"/>
          <w:color w:val="000000"/>
        </w:rPr>
        <w:instrText>ADDIN CSL_CITATION {"citationItems":[{"id":"ITEM-1","itemData":{"author":[{"dropping-particle":"","family":"British Psychological Society","given":"","non-dropping-particle":"","parse-names":false,"suffix":""}],"id":"ITEM-1","issued":{"date-parts":[["2017"]]},"number-of-pages":"1-24","publisher-place":"Leicester","title":"Ethics Guidelines for Internet-mediated Research","type":"report"},"uris":["http://www.mendeley.com/documents/?uuid=0a20eb7c-97ad-4c9b-8aff-3149ef12e111"]}],"mendeley":{"formattedCitation":"(British Psychological Society, 2017)","plainTextFormattedCitation":"(British Psychological Society, 2017)","previouslyFormattedCitation":"(British Psychological Society, 2017)"},"properties":{"noteIndex":0},"schema":"https://github.com/citation-style-language/schema/raw/master/csl-citation.json"}</w:instrText>
      </w:r>
      <w:r>
        <w:rPr>
          <w:rFonts w:eastAsia="Calibri" w:cs="Calibri"/>
          <w:color w:val="000000"/>
        </w:rPr>
        <w:fldChar w:fldCharType="separate"/>
      </w:r>
      <w:r>
        <w:rPr>
          <w:rFonts w:eastAsia="Calibri" w:cs="Calibri"/>
          <w:noProof/>
          <w:color w:val="000000"/>
        </w:rPr>
        <w:t xml:space="preserve">(British </w:t>
      </w:r>
      <w:r>
        <w:rPr>
          <w:rFonts w:eastAsia="Calibri" w:cs="Calibri"/>
          <w:noProof/>
          <w:color w:val="000000"/>
        </w:rPr>
        <w:lastRenderedPageBreak/>
        <w:t>Psychological Society, 2017)</w:t>
      </w:r>
      <w:r>
        <w:rPr>
          <w:rFonts w:eastAsia="Calibri" w:cs="Calibri"/>
          <w:color w:val="000000"/>
        </w:rPr>
        <w:fldChar w:fldCharType="end"/>
      </w:r>
      <w:r>
        <w:rPr>
          <w:rFonts w:eastAsia="Calibri" w:cs="Calibri"/>
          <w:color w:val="000000"/>
        </w:rPr>
        <w:t xml:space="preserve">. However, the project was deemed to be low risk, and the participants were happy to participate throughout. This project also adhered to situation ethics, with the understanding that ethics is not a singular bureaucratic event, but a process throughout the project </w:t>
      </w:r>
      <w:r>
        <w:fldChar w:fldCharType="begin" w:fldLock="1"/>
      </w:r>
      <w:r>
        <w:rPr>
          <w:rFonts w:eastAsia="Calibri" w:cs="Calibri"/>
          <w:color w:val="000000"/>
        </w:rPr>
        <w:instrText>ADDIN CSL_CITATION {"citationItems":[{"id":"ITEM-1","itemData":{"DOI":"http://dx.doi.org/10.4135/978144627305014533917 ©2014","ISBN":"9781473950788","abstract":"This case describes a qualitative social science research project that was conducted in 2009 and that examined the experiences of recent migrants to Northern Ireland. While background to the research and key findings are presented, the topic forms a backdrop to the case. The following aspects of the study are presented: the theoretical context; formulating the research question, design and methodology; key methodological issues; data collection and analysis; project dissemination; and research funding and reporting. The case pays particular attention to the needs and impact of different groups including the researcher, the funding body, the researcher's employer and the researched. The significance of access, language and ethics to this study are examined. Finally, the way in which the research unfolded in an often- unpredictable way throughout the implementation process is highlighted in the narrative.","author":[{"dropping-particle":"","family":"Mcareavey","given":"Contributors Ruth","non-dropping-particle":"","parse-names":false,"suffix":""}],"container-title":"SAGE Research Methods Cases","id":"ITEM-1","issued":{"date-parts":[["2014"]]},"page":"1-13","title":"Doing Focus Groups and Interviews with Recent Migrants to Northern Ireland: A Dynamic Interplay of Ethics, Language and Access","type":"legal_case"},"suppress-author":1,"uris":["http://www.mendeley.com/documents/?uuid=23f91937-f9f5-4a1f-84e7-5aa5920d3a9b"]}],"mendeley":{"formattedCitation":"(Mcareavey, 2014)","manualFormatting":"(McAreavey, 2014)","plainTextFormattedCitation":"(Mcareavey, 2014)","previouslyFormattedCitation":"(Mcareavey, 2014)"},"properties":{"noteIndex":0},"schema":"https://github.com/citation-style-language/schema/raw/master/csl-citation.json"}</w:instrText>
      </w:r>
      <w:r>
        <w:rPr>
          <w:rFonts w:eastAsia="Calibri" w:cs="Calibri"/>
          <w:color w:val="000000"/>
        </w:rPr>
        <w:fldChar w:fldCharType="separate"/>
      </w:r>
      <w:r>
        <w:rPr>
          <w:rFonts w:eastAsia="Calibri" w:cs="Calibri"/>
          <w:noProof/>
          <w:color w:val="000000"/>
        </w:rPr>
        <w:t>(McAreavey, 2014)</w:t>
      </w:r>
      <w:r>
        <w:rPr>
          <w:rFonts w:eastAsia="Calibri" w:cs="Calibri"/>
          <w:color w:val="000000"/>
        </w:rPr>
        <w:fldChar w:fldCharType="end"/>
      </w:r>
      <w:r>
        <w:rPr>
          <w:rFonts w:eastAsia="Calibri" w:cs="Calibri"/>
          <w:color w:val="000000"/>
        </w:rPr>
        <w:t>.</w:t>
      </w:r>
    </w:p>
    <w:p w14:paraId="14CB6B7E" w14:textId="77777777" w:rsidR="00787F73" w:rsidRDefault="00787F73" w:rsidP="00866155">
      <w:pPr>
        <w:rPr>
          <w:rFonts w:eastAsia="Calibri" w:cs="Calibri"/>
          <w:color w:val="000000"/>
        </w:rPr>
      </w:pPr>
    </w:p>
    <w:p w14:paraId="5AE7863B" w14:textId="77777777" w:rsidR="00787F73" w:rsidRDefault="00742FB7" w:rsidP="00866155">
      <w:r>
        <w:rPr>
          <w:rFonts w:eastAsia="Calibri" w:cs="Calibri"/>
          <w:color w:val="000000"/>
        </w:rPr>
        <w:t xml:space="preserve">This project collected data with participants, via interviews and focus groups, but also data from social media. All have different ethical principles and challenges and are discussed separately. </w:t>
      </w:r>
    </w:p>
    <w:p w14:paraId="7F156DE1" w14:textId="77777777" w:rsidR="00787F73" w:rsidRDefault="00787F73" w:rsidP="00866155">
      <w:pPr>
        <w:rPr>
          <w:rFonts w:eastAsia="Calibri" w:cs="Calibri"/>
          <w:color w:val="000000"/>
        </w:rPr>
      </w:pPr>
    </w:p>
    <w:p w14:paraId="742558E1" w14:textId="77777777" w:rsidR="00787F73" w:rsidRDefault="00742FB7" w:rsidP="00866155">
      <w:pPr>
        <w:pStyle w:val="Heading3"/>
      </w:pPr>
      <w:bookmarkStart w:id="686" w:name="_Toc145281051"/>
      <w:bookmarkStart w:id="687" w:name="_Toc153554344"/>
      <w:bookmarkStart w:id="688" w:name="_Toc147765767"/>
      <w:bookmarkStart w:id="689" w:name="_Toc193367226"/>
      <w:r>
        <w:rPr>
          <w:rFonts w:ascii="Calibri" w:hAnsi="Calibri" w:cs="Calibri"/>
        </w:rPr>
        <w:t>3.5.1: Qualitative data collection</w:t>
      </w:r>
      <w:bookmarkEnd w:id="686"/>
      <w:bookmarkEnd w:id="687"/>
      <w:bookmarkEnd w:id="688"/>
      <w:bookmarkEnd w:id="689"/>
    </w:p>
    <w:p w14:paraId="57CFB196" w14:textId="77777777" w:rsidR="00787F73" w:rsidRDefault="00742FB7" w:rsidP="00866155">
      <w:r>
        <w:rPr>
          <w:rFonts w:eastAsia="Calibri" w:cs="Calibri"/>
          <w:color w:val="000000"/>
        </w:rPr>
        <w:t xml:space="preserve">Within all research, ethical considerations need to be a guiding principle, following the three main ethical principles of autonomy, beneficence, and justice </w:t>
      </w:r>
      <w:r>
        <w:fldChar w:fldCharType="begin" w:fldLock="1"/>
      </w:r>
      <w:r>
        <w:rPr>
          <w:rFonts w:eastAsia="Calibri" w:cs="Calibri"/>
          <w:color w:val="000000"/>
        </w:rPr>
        <w:instrText>ADDIN CSL_CITATION {"citationItems":[{"id":"ITEM-1","itemData":{"DOI":"10.1017/CBO9781107415324.004","ISBN":"9781473913912","ISSN":"1098-6596","PMID":"25246403","author":[{"dropping-particle":"","family":"Orb","given":"Angelica","non-dropping-particle":"","parse-names":false,"suffix":""},{"dropping-particle":"","family":"Eisenhauer","given":"Laurel","non-dropping-particle":"","parse-names":false,"suffix":""},{"dropping-particle":"","family":"Wynade","given":"Dianne","non-dropping-particle":"","parse-names":false,"suffix":""}],"container-title":"Journal of nursing scholarship","id":"ITEM-1","issue":"1","issued":{"date-parts":[["2000"]]},"page":"93-96","title":"Ethics in qualitative research methods","type":"article-journal","volume":"33"},"uris":["http://www.mendeley.com/documents/?uuid=93707a11-cd80-4d74-a08b-b25a3a69e02e"]}],"mendeley":{"formattedCitation":"(Orb, Eisenhauer, &amp; Wynade, 2000)","plainTextFormattedCitation":"(Orb, Eisenhauer, &amp; Wynade, 2000)","previouslyFormattedCitation":"(Orb, Eisenhauer, &amp; Wynade, 2000)"},"properties":{"noteIndex":0},"schema":"https://github.com/citation-style-language/schema/raw/master/csl-citation.json"}</w:instrText>
      </w:r>
      <w:r>
        <w:rPr>
          <w:rFonts w:eastAsia="Calibri" w:cs="Calibri"/>
          <w:color w:val="000000"/>
        </w:rPr>
        <w:fldChar w:fldCharType="separate"/>
      </w:r>
      <w:r>
        <w:rPr>
          <w:rFonts w:eastAsia="Calibri" w:cs="Calibri"/>
          <w:noProof/>
          <w:color w:val="000000"/>
        </w:rPr>
        <w:t>(Orb, Eisenhauer, &amp; Wynade, 2000)</w:t>
      </w:r>
      <w:r>
        <w:rPr>
          <w:rFonts w:eastAsia="Calibri" w:cs="Calibri"/>
          <w:color w:val="000000"/>
        </w:rPr>
        <w:fldChar w:fldCharType="end"/>
      </w:r>
      <w:r>
        <w:rPr>
          <w:rFonts w:eastAsia="Calibri" w:cs="Calibri"/>
          <w:color w:val="000000"/>
        </w:rPr>
        <w:t xml:space="preserve">. This was done by ensuring that informed consent was gathered from the participants taking part in the IE or the focus groups throughout the data collection process. </w:t>
      </w:r>
      <w:r>
        <w:rPr>
          <w:rFonts w:cs="Calibri"/>
        </w:rPr>
        <w:t xml:space="preserve">Consent is an agreement which is constantly renegotiated, and can only be considered informed if based on current information and responsive to changing circumstances </w:t>
      </w:r>
      <w:r>
        <w:fldChar w:fldCharType="begin" w:fldLock="1"/>
      </w:r>
      <w:r>
        <w:rPr>
          <w:rFonts w:cs="Calibri"/>
        </w:rPr>
        <w:instrText>ADDIN CSL_CITATION {"citationItems":[{"id":"ITEM-1","itemData":{"DOI":"10.3390/educsci10080206","ISSN":"22277102","abstract":"This article explores the complex relationship between researcher and respondent through shared experience and interaction in the interview processes. Ethical considerations related to the balance of power and potential for change in respondents’ professional actions and decisions post-interview are discussed whilst problematizing the concept of truly informed consent. Informed by critical incident analysis, the article draws on the researcher’s experience of undertaking a qualitative-based study founded in the principles of phenomenological hermeneutics. Concluded in 2016, the research investigates the impact of pedagogical training programs on respondents’ teaching practice and engagement with professional learning. Respondents, experienced lecturers working in the adult education sectors in Scotland and Wales, contacted the researcher to share their post-interview experiences. The research was not designed to elicit change in respondents, nor influence professional choice or practice. However, each communication received attributed participating in the research as the source for renewed interest and engagement in professional learning. Although research interviews becoming an enriching experience for respondents is a recorded phenomenon the ascribed effects were profound, potentially life-changing, and not fully anticipated. Ethical considerations for researchers designing and undertaking interview-based research are considered alongside the potential for engagement in research interviews as a catalyst for professional learning in practice.","author":[{"dropping-particle":"","family":"Husband","given":"Gary","non-dropping-particle":"","parse-names":false,"suffix":""}],"container-title":"Education Sciences","id":"ITEM-1","issue":"8","issued":{"date-parts":[["2020"]]},"page":"1-12","title":"Ethical data collection and recognizing the impact of semi-structured interviews on research respondents","type":"article-journal","volume":"10"},"uris":["http://www.mendeley.com/documents/?uuid=7de3cfa4-286f-475b-9693-8293034806f6"]},{"id":"ITEM-2","itemData":{"DOI":"10.1111/1467-9752.00230","ISBN":"0309-8249","ISSN":"03098249","abstract":"The obligation to inform and obtain the consent of human subjects is axiomatic in social and medical research. Yet educational researchers are often reluctant to inform their subjects: class teachers and headteachers, for example, are often used as gatekeepers, and investigators sometimes do not so much seek consent as assume it. This chapter discusses the principle of informed consent, in particular that of children. It proposes guidelines for gatekeepers who may be called upon to authorise research and to grant to investigators access to children in their care.","author":[{"dropping-particle":"","family":"Homan","given":"Roger","non-dropping-particle":"","parse-names":false,"suffix":""}],"container-title":"Journal of Philosophy of Education","id":"ITEM-2","issue":"3","issued":{"date-parts":[["2001"]]},"page":"329 - 343","title":"The principle of assumed consent: The ethics of gatekeeping","type":"article-journal","volume":"35"},"uris":["http://www.mendeley.com/documents/?uuid=ba99c8c0-da93-45ec-99f2-d5e27345292f"]}],"mendeley":{"formattedCitation":"(Husband, 2020; Homan, 2001)","plainTextFormattedCitation":"(Husband, 2020; Homan, 2001)","previouslyFormattedCitation":"(Husband, 2020; Homan, 2001)"},"properties":{"noteIndex":0},"schema":"https://github.com/citation-style-language/schema/raw/master/csl-citation.json"}</w:instrText>
      </w:r>
      <w:r>
        <w:rPr>
          <w:rFonts w:cs="Calibri"/>
        </w:rPr>
        <w:fldChar w:fldCharType="separate"/>
      </w:r>
      <w:r>
        <w:rPr>
          <w:rFonts w:cs="Calibri"/>
          <w:noProof/>
        </w:rPr>
        <w:t>(Husband, 2020; Homan, 2001)</w:t>
      </w:r>
      <w:r>
        <w:rPr>
          <w:rFonts w:cs="Calibri"/>
        </w:rPr>
        <w:fldChar w:fldCharType="end"/>
      </w:r>
      <w:r>
        <w:rPr>
          <w:rFonts w:cs="Calibri"/>
        </w:rPr>
        <w:t>.</w:t>
      </w:r>
      <w:r>
        <w:rPr>
          <w:rFonts w:eastAsia="Calibri" w:cs="Calibri"/>
          <w:color w:val="000000"/>
        </w:rPr>
        <w:t xml:space="preserve"> When I had found potential participants, they were either given (in person) or sent (online) the information sheet and consent form (Appendices 2 and 3) to complete prior to the start of the interview or focus group. Prior to conducting any data collection, I ensured that the participant had plenty of opportunities to ask questions about the research or the process and that they understood their right to withdraw at any stage. </w:t>
      </w:r>
    </w:p>
    <w:p w14:paraId="10A99791" w14:textId="77777777" w:rsidR="00787F73" w:rsidRDefault="00742FB7" w:rsidP="00866155">
      <w:r>
        <w:rPr>
          <w:rFonts w:eastAsia="Calibri" w:cs="Calibri"/>
          <w:color w:val="000000"/>
        </w:rPr>
        <w:t xml:space="preserve">When the participants had read the information sheet and signed the consent form, they were sent the link for the interview or focus group or were invited to attend an interview in person. All participants agreed to being recorded, so all the interviews and focus groups were recorded using a voice recorder. </w:t>
      </w:r>
      <w:r w:rsidR="00BC0904">
        <w:rPr>
          <w:rFonts w:eastAsia="Calibri" w:cs="Calibri"/>
          <w:color w:val="000000"/>
        </w:rPr>
        <w:t>These</w:t>
      </w:r>
      <w:r>
        <w:rPr>
          <w:rFonts w:eastAsia="Calibri" w:cs="Calibri"/>
          <w:color w:val="000000"/>
        </w:rPr>
        <w:t xml:space="preserve"> data were all stored on a password protected laptop and were backed up to the University networked files servers, adhering to data protection rules and regulations, both within The University of Sheffield and under the British Government, including the General Data Protection Regulations (GDPR).</w:t>
      </w:r>
    </w:p>
    <w:p w14:paraId="552841A8" w14:textId="77777777" w:rsidR="00787F73" w:rsidRDefault="00787F73" w:rsidP="00866155">
      <w:pPr>
        <w:rPr>
          <w:rFonts w:eastAsia="Calibri" w:cs="Calibri"/>
          <w:color w:val="000000"/>
        </w:rPr>
      </w:pPr>
    </w:p>
    <w:p w14:paraId="046BBBC7" w14:textId="77777777" w:rsidR="00787F73" w:rsidRDefault="00742FB7" w:rsidP="00866155">
      <w:r>
        <w:rPr>
          <w:rFonts w:eastAsia="Calibri" w:cs="Calibri"/>
          <w:color w:val="000000"/>
        </w:rPr>
        <w:t xml:space="preserve">After the data were collected, it was transcribed and then anonymised, ensuring that the community participants and locations were unable to be traced. However, due to the </w:t>
      </w:r>
      <w:r>
        <w:rPr>
          <w:rFonts w:eastAsia="Calibri" w:cs="Calibri"/>
          <w:color w:val="000000"/>
        </w:rPr>
        <w:lastRenderedPageBreak/>
        <w:t>partnership with SYFR, the people who were interviewed were asked how they would like to be referred to in the text, some chose their job title, and others wanted to be known as a team member of the department they worked in.</w:t>
      </w:r>
    </w:p>
    <w:p w14:paraId="340F6A6E" w14:textId="77777777" w:rsidR="00787F73" w:rsidRDefault="00787F73" w:rsidP="00866155">
      <w:pPr>
        <w:rPr>
          <w:rFonts w:eastAsia="Calibri" w:cs="Calibri"/>
          <w:color w:val="000000"/>
        </w:rPr>
      </w:pPr>
    </w:p>
    <w:p w14:paraId="4E72CD16" w14:textId="77777777" w:rsidR="00787F73" w:rsidRDefault="00742FB7" w:rsidP="00866155">
      <w:pPr>
        <w:pStyle w:val="Heading3"/>
      </w:pPr>
      <w:bookmarkStart w:id="690" w:name="_Toc153554345"/>
      <w:bookmarkStart w:id="691" w:name="_Toc145281052"/>
      <w:bookmarkStart w:id="692" w:name="_Toc147765768"/>
      <w:bookmarkStart w:id="693" w:name="_Toc193367227"/>
      <w:r>
        <w:rPr>
          <w:rFonts w:ascii="Calibri" w:hAnsi="Calibri" w:cs="Calibri"/>
        </w:rPr>
        <w:t>3.5.2: Social media data collection</w:t>
      </w:r>
      <w:bookmarkEnd w:id="690"/>
      <w:bookmarkEnd w:id="691"/>
      <w:bookmarkEnd w:id="692"/>
      <w:bookmarkEnd w:id="693"/>
    </w:p>
    <w:p w14:paraId="253297A4" w14:textId="3FD69FF8" w:rsidR="00787F73" w:rsidRDefault="00E16D30" w:rsidP="00866155">
      <w:r>
        <w:rPr>
          <w:rFonts w:cs="Calibri"/>
        </w:rPr>
        <w:t>While</w:t>
      </w:r>
      <w:r w:rsidR="00742FB7">
        <w:rPr>
          <w:rFonts w:eastAsia="Calibri" w:cs="Calibri"/>
          <w:color w:val="000000"/>
        </w:rPr>
        <w:t xml:space="preserve"> the guiding ethical principles are important for all research, there are different practicalities with different methods, such as data collected on social media. The main ethical challenges are due to informed consent, due to the volume of data collected and the practicalities of contacting account holders. </w:t>
      </w:r>
    </w:p>
    <w:p w14:paraId="20F02F78" w14:textId="77777777" w:rsidR="00787F73" w:rsidRDefault="00787F73" w:rsidP="00866155">
      <w:pPr>
        <w:rPr>
          <w:rFonts w:eastAsia="Calibri" w:cs="Calibri"/>
          <w:color w:val="000000"/>
        </w:rPr>
      </w:pPr>
    </w:p>
    <w:p w14:paraId="3959CD9C" w14:textId="77777777" w:rsidR="00787F73" w:rsidRDefault="00742FB7" w:rsidP="00866155">
      <w:r>
        <w:rPr>
          <w:rFonts w:eastAsia="Calibri" w:cs="Calibri"/>
          <w:color w:val="000000"/>
        </w:rPr>
        <w:t xml:space="preserve">The Association of Internet Researchers compiled ethical guidelines which aim to support researchers to ensure their ethical conduct is viewed with the same scrutiny as in-person and more traditionally collected data. Within their third set of guidelines, they describe the ethical dilemmas with data collected via APIs, with the collection of personal or sensitive information </w:t>
      </w:r>
      <w:r>
        <w:fldChar w:fldCharType="begin" w:fldLock="1"/>
      </w:r>
      <w:r w:rsidR="00D35A26">
        <w:rPr>
          <w:rFonts w:eastAsia="Calibri" w:cs="Calibri"/>
          <w:color w:val="000000"/>
        </w:rPr>
        <w:instrText>ADDIN CSL_CITATION {"citationItems":[{"id":"ITEM-1","itemData":{"author":[{"dropping-particle":"","family":"Franzke","given":"aline shakti","non-dropping-particle":"","parse-names":false,"suffix":""},{"dropping-particle":"","family":"Bechmann","given":"Anja","non-dropping-particle":"","parse-names":false,"suffix":""},{"dropping-particle":"","family":"Zimmer","given":"Michael","non-dropping-particle":"","parse-names":false,"suffix":""},{"dropping-particle":"","family":"Ess","given":"Charles M","non-dropping-particle":"","parse-names":false,"suffix":""}],"id":"ITEM-1","issued":{"date-parts":[["2020"]]},"number-of-pages":"1 - 83","title":"Internet Research: Ethical Guidelines 3.0 Association of Internet Researchers","type":"report"},"uris":["http://www.mendeley.com/documents/?uuid=5ab43591-9de5-4518-9a59-b723a6b5c6f6"]}],"mendeley":{"formattedCitation":"(Franzke et al., 2020)","plainTextFormattedCitation":"(Franzke et al., 2020)","previouslyFormattedCitation":"(Franzke et al., 2020)"},"properties":{"noteIndex":0},"schema":"https://github.com/citation-style-language/schema/raw/master/csl-citation.json"}</w:instrText>
      </w:r>
      <w:r>
        <w:rPr>
          <w:rFonts w:eastAsia="Calibri" w:cs="Calibri"/>
          <w:color w:val="000000"/>
        </w:rPr>
        <w:fldChar w:fldCharType="separate"/>
      </w:r>
      <w:r>
        <w:rPr>
          <w:rFonts w:eastAsia="Calibri" w:cs="Calibri"/>
          <w:noProof/>
          <w:color w:val="000000"/>
        </w:rPr>
        <w:t>(Franzke et al., 2020)</w:t>
      </w:r>
      <w:r>
        <w:rPr>
          <w:rFonts w:eastAsia="Calibri" w:cs="Calibri"/>
          <w:color w:val="000000"/>
        </w:rPr>
        <w:fldChar w:fldCharType="end"/>
      </w:r>
      <w:r>
        <w:rPr>
          <w:rFonts w:eastAsia="Calibri" w:cs="Calibri"/>
          <w:color w:val="000000"/>
        </w:rPr>
        <w:t xml:space="preserve">. Due to the data that was collected (aggregated location data, with no usernames or personal identifiable information), it would be challenging to link the accounts to the data points in the set, not only because I created uniformed names, such as </w:t>
      </w:r>
      <w:r>
        <w:rPr>
          <w:rFonts w:eastAsia="Calibri" w:cs="Calibri"/>
          <w:i/>
          <w:iCs/>
          <w:color w:val="000000"/>
        </w:rPr>
        <w:t>Sheffield, South Yorkshire</w:t>
      </w:r>
      <w:r>
        <w:rPr>
          <w:rFonts w:eastAsia="Calibri" w:cs="Calibri"/>
          <w:color w:val="000000"/>
        </w:rPr>
        <w:t>, but also because the data were collected in 2020 and SYFR’s followers may have stopped following them, changed their location, or deleted their Twitter account.</w:t>
      </w:r>
    </w:p>
    <w:p w14:paraId="4531AA4B" w14:textId="77777777" w:rsidR="00787F73" w:rsidRDefault="00787F73" w:rsidP="00866155">
      <w:pPr>
        <w:rPr>
          <w:rFonts w:eastAsia="Calibri" w:cs="Calibri"/>
          <w:color w:val="000000"/>
        </w:rPr>
      </w:pPr>
    </w:p>
    <w:p w14:paraId="1D5EEA2C" w14:textId="77777777" w:rsidR="00787F73" w:rsidRDefault="00742FB7" w:rsidP="00866155">
      <w:r>
        <w:rPr>
          <w:rFonts w:eastAsia="Calibri" w:cs="Calibri"/>
          <w:color w:val="000000"/>
        </w:rPr>
        <w:t>When examining the ethics of the project, there also needs to be an understanding of the researcher, their positionality, and their experience of the research, such as the challenges of conducting research during COVID-19.</w:t>
      </w:r>
    </w:p>
    <w:p w14:paraId="5D4A552D" w14:textId="77777777" w:rsidR="00787F73" w:rsidRDefault="00787F73" w:rsidP="00866155">
      <w:pPr>
        <w:spacing w:after="160"/>
        <w:rPr>
          <w:rFonts w:eastAsia="Calibri" w:cs="Calibri"/>
          <w:color w:val="000000"/>
        </w:rPr>
      </w:pPr>
    </w:p>
    <w:p w14:paraId="07B28C39" w14:textId="77777777" w:rsidR="00787F73" w:rsidRDefault="00742FB7" w:rsidP="00866155">
      <w:pPr>
        <w:pStyle w:val="Heading3"/>
      </w:pPr>
      <w:bookmarkStart w:id="694" w:name="_heading=h.1v1yuxt"/>
      <w:bookmarkStart w:id="695" w:name="_heading=h.19c6y18"/>
      <w:bookmarkStart w:id="696" w:name="_Toc153554346"/>
      <w:bookmarkStart w:id="697" w:name="_Toc147765769"/>
      <w:bookmarkStart w:id="698" w:name="_Toc193367228"/>
      <w:bookmarkEnd w:id="694"/>
      <w:bookmarkEnd w:id="695"/>
      <w:r>
        <w:rPr>
          <w:rFonts w:ascii="Calibri" w:hAnsi="Calibri" w:cs="Calibri"/>
        </w:rPr>
        <w:t>3.5.3: Researchers’ reflections and positionality</w:t>
      </w:r>
      <w:bookmarkEnd w:id="696"/>
      <w:bookmarkEnd w:id="697"/>
      <w:bookmarkEnd w:id="698"/>
    </w:p>
    <w:p w14:paraId="67BA1742" w14:textId="1D5A48FF" w:rsidR="00787F73" w:rsidRDefault="00742FB7" w:rsidP="00866155">
      <w:r>
        <w:rPr>
          <w:rFonts w:eastAsia="Calibri" w:cs="Calibri"/>
          <w:color w:val="000000"/>
        </w:rPr>
        <w:t xml:space="preserve">Within all research, it is crucial to be aware of one’s positionality and how that may impact on the research process. This can include the researcher’s philosophical assumptions, and those about human nature and agency, and can influence how the research is conducted in terms of the design, data collection, and results </w:t>
      </w:r>
      <w:r>
        <w:fldChar w:fldCharType="begin" w:fldLock="1"/>
      </w:r>
      <w:r>
        <w:rPr>
          <w:rFonts w:eastAsia="Calibri" w:cs="Calibri"/>
          <w:color w:val="000000"/>
        </w:rPr>
        <w:instrText>ADDIN CSL_CITATION {"citationItems":[{"id":"ITEM-1","itemData":{"DOI":"10.34293/education.v8i4.3232","ISSN":"2320-2653","abstract":"Masters and PhD student researchers in the social sciences are often required to explore and explain their positionality, as, in the social world, it is recognized that their ontological and epistemological beliefs influence their research. Yet novice researchers often struggle with identifying their positionality. This paper explores researcher positionality and its influence on and place in the research process. Its purpose is to help new postgraduate researchers better understand positionality so that they may incorporate a reflexive approach to their research and start to clarify their positionality.","author":[{"dropping-particle":"","family":"Holmes","given":"Andrew Gary Darwin","non-dropping-particle":"","parse-names":false,"suffix":""}],"container-title":"International Journal of Education","id":"ITEM-1","issue":"4","issued":{"date-parts":[["2020"]]},"page":"1-10","title":"Researcher Positionality - A Consideration of Its Influence and Place in Qualitative Research - A New Researcher Guide","type":"article-journal","volume":"8"},"uris":["http://www.mendeley.com/documents/?uuid=bfb922a9-7e82-4c00-9d9c-fcca55d56c85"]}],"mendeley":{"formattedCitation":"(Holmes, 2020)","plainTextFormattedCitation":"(Holmes, 2020)","previouslyFormattedCitation":"(Holmes, 2020)"},"properties":{"noteIndex":0},"schema":"https://github.com/citation-style-language/schema/raw/master/csl-citation.json"}</w:instrText>
      </w:r>
      <w:r>
        <w:rPr>
          <w:rFonts w:eastAsia="Calibri" w:cs="Calibri"/>
          <w:color w:val="000000"/>
        </w:rPr>
        <w:fldChar w:fldCharType="separate"/>
      </w:r>
      <w:r>
        <w:rPr>
          <w:rFonts w:eastAsia="Calibri" w:cs="Calibri"/>
          <w:noProof/>
          <w:color w:val="000000"/>
        </w:rPr>
        <w:t>(Holmes, 2020)</w:t>
      </w:r>
      <w:r>
        <w:rPr>
          <w:rFonts w:eastAsia="Calibri" w:cs="Calibri"/>
          <w:color w:val="000000"/>
        </w:rPr>
        <w:fldChar w:fldCharType="end"/>
      </w:r>
      <w:r>
        <w:rPr>
          <w:rFonts w:eastAsia="Calibri" w:cs="Calibri"/>
          <w:color w:val="000000"/>
        </w:rPr>
        <w:t xml:space="preserve">. Examining one’s </w:t>
      </w:r>
      <w:r>
        <w:rPr>
          <w:rFonts w:eastAsia="Calibri" w:cs="Calibri"/>
          <w:color w:val="000000"/>
        </w:rPr>
        <w:lastRenderedPageBreak/>
        <w:t xml:space="preserve">positionality can be done by focusing on three different subjects </w:t>
      </w:r>
      <w:r>
        <w:fldChar w:fldCharType="begin" w:fldLock="1"/>
      </w:r>
      <w:r>
        <w:rPr>
          <w:rFonts w:eastAsia="Calibri" w:cs="Calibri"/>
          <w:color w:val="000000"/>
        </w:rPr>
        <w:instrText>ADDIN CSL_CITATION {"citationItems":[{"id":"ITEM-1","itemData":{"DOI":"10.34293/education.v8i4.3232","ISSN":"2320-2653","abstract":"Masters and PhD student researchers in the social sciences are often required to explore and explain their positionality, as, in the social world, it is recognized that their ontological and epistemological beliefs influence their research. Yet novice researchers often struggle with identifying their positionality. This paper explores researcher positionality and its influence on and place in the research process. Its purpose is to help new postgraduate researchers better understand positionality so that they may incorporate a reflexive approach to their research and start to clarify their positionality.","author":[{"dropping-particle":"","family":"Holmes","given":"Andrew Gary Darwin","non-dropping-particle":"","parse-names":false,"suffix":""}],"container-title":"International Journal of Education","id":"ITEM-1","issue":"4","issued":{"date-parts":[["2020"]]},"page":"1-10","title":"Researcher Positionality - A Consideration of Its Influence and Place in Qualitative Research - A New Researcher Guide","type":"article-journal","volume":"8"},"uris":["http://www.mendeley.com/documents/?uuid=bfb922a9-7e82-4c00-9d9c-fcca55d56c85"]}],"mendeley":{"formattedCitation":"(Holmes, 2020)","manualFormatting":"(Savin-Baden &amp; Major, 2013 cited in Holmes, 2020)","plainTextFormattedCitation":"(Holmes, 2020)","previouslyFormattedCitation":"(Holmes, 2020)"},"properties":{"noteIndex":0},"schema":"https://github.com/citation-style-language/schema/raw/master/csl-citation.json"}</w:instrText>
      </w:r>
      <w:r>
        <w:rPr>
          <w:rFonts w:eastAsia="Calibri" w:cs="Calibri"/>
          <w:color w:val="000000"/>
        </w:rPr>
        <w:fldChar w:fldCharType="separate"/>
      </w:r>
      <w:r>
        <w:rPr>
          <w:rFonts w:eastAsia="Calibri" w:cs="Calibri"/>
          <w:noProof/>
          <w:color w:val="000000"/>
        </w:rPr>
        <w:t>(Savin-Baden &amp; Major, 2013 cited in Holmes, 2020)</w:t>
      </w:r>
      <w:r>
        <w:rPr>
          <w:rFonts w:eastAsia="Calibri" w:cs="Calibri"/>
          <w:color w:val="000000"/>
        </w:rPr>
        <w:fldChar w:fldCharType="end"/>
      </w:r>
      <w:r>
        <w:rPr>
          <w:rFonts w:eastAsia="Calibri" w:cs="Calibri"/>
          <w:color w:val="000000"/>
        </w:rPr>
        <w:t>: the topic</w:t>
      </w:r>
      <w:r w:rsidR="00E2662F">
        <w:rPr>
          <w:rFonts w:eastAsia="Calibri" w:cs="Calibri"/>
          <w:color w:val="000000"/>
        </w:rPr>
        <w:t>;</w:t>
      </w:r>
      <w:r>
        <w:rPr>
          <w:rFonts w:eastAsia="Calibri" w:cs="Calibri"/>
          <w:color w:val="000000"/>
        </w:rPr>
        <w:t xml:space="preserve"> the participants</w:t>
      </w:r>
      <w:r w:rsidR="00E2662F">
        <w:rPr>
          <w:rFonts w:eastAsia="Calibri" w:cs="Calibri"/>
          <w:color w:val="000000"/>
        </w:rPr>
        <w:t xml:space="preserve">; </w:t>
      </w:r>
      <w:r>
        <w:rPr>
          <w:rFonts w:eastAsia="Calibri" w:cs="Calibri"/>
          <w:color w:val="000000"/>
        </w:rPr>
        <w:t xml:space="preserve">and the context and process. </w:t>
      </w:r>
    </w:p>
    <w:p w14:paraId="539EAD0A" w14:textId="77777777" w:rsidR="00787F73" w:rsidRDefault="00742FB7" w:rsidP="00866155">
      <w:r>
        <w:rPr>
          <w:rFonts w:eastAsia="Calibri" w:cs="Calibri"/>
          <w:color w:val="000000"/>
        </w:rPr>
        <w:t>Within the topic, my previous experiences in work (paid and unpaid) will have influenced the topic of the project, as I have previously worked within a communications team. This mean</w:t>
      </w:r>
      <w:r w:rsidR="006912CD">
        <w:rPr>
          <w:rFonts w:eastAsia="Calibri" w:cs="Calibri"/>
          <w:color w:val="000000"/>
        </w:rPr>
        <w:t>t</w:t>
      </w:r>
      <w:r>
        <w:rPr>
          <w:rFonts w:eastAsia="Calibri" w:cs="Calibri"/>
          <w:color w:val="000000"/>
        </w:rPr>
        <w:t xml:space="preserve"> that I possess</w:t>
      </w:r>
      <w:r w:rsidR="006912CD">
        <w:rPr>
          <w:rFonts w:eastAsia="Calibri" w:cs="Calibri"/>
          <w:color w:val="000000"/>
        </w:rPr>
        <w:t>ed</w:t>
      </w:r>
      <w:r>
        <w:rPr>
          <w:rFonts w:eastAsia="Calibri" w:cs="Calibri"/>
          <w:color w:val="000000"/>
        </w:rPr>
        <w:t xml:space="preserve"> some of the field logics that influences communications teams, perhaps affecting my ability to view them; however, by using a researcher diary I was able to effectively reflect on my own experiences. </w:t>
      </w:r>
    </w:p>
    <w:p w14:paraId="09613E9D" w14:textId="77777777" w:rsidR="00787F73" w:rsidRDefault="00787F73" w:rsidP="00866155">
      <w:pPr>
        <w:rPr>
          <w:rFonts w:eastAsia="Calibri" w:cs="Calibri"/>
          <w:color w:val="000000"/>
        </w:rPr>
      </w:pPr>
    </w:p>
    <w:p w14:paraId="72ABC8AD" w14:textId="7AB20206" w:rsidR="00787F73" w:rsidRDefault="00742FB7" w:rsidP="00866155">
      <w:pPr>
        <w:rPr>
          <w:rFonts w:eastAsia="Calibri" w:cs="Calibri"/>
          <w:color w:val="000000"/>
        </w:rPr>
      </w:pPr>
      <w:r>
        <w:rPr>
          <w:rFonts w:eastAsia="Calibri" w:cs="Calibri"/>
          <w:color w:val="000000"/>
        </w:rPr>
        <w:t xml:space="preserve">The topic will also have been influenced by </w:t>
      </w:r>
      <w:r w:rsidR="006912CD">
        <w:rPr>
          <w:rFonts w:eastAsia="Calibri" w:cs="Calibri"/>
          <w:color w:val="000000"/>
        </w:rPr>
        <w:t>my</w:t>
      </w:r>
      <w:r>
        <w:rPr>
          <w:rFonts w:eastAsia="Calibri" w:cs="Calibri"/>
          <w:color w:val="000000"/>
        </w:rPr>
        <w:t xml:space="preserve"> education, as each discipline teaches students to view the world and events in certain ways. For instance, my undergraduate degree was in Geography which places a focus on viewing events and processes through various scales, including time and space</w:t>
      </w:r>
      <w:r w:rsidR="00E2662F">
        <w:rPr>
          <w:rFonts w:eastAsia="Calibri" w:cs="Calibri"/>
          <w:color w:val="000000"/>
        </w:rPr>
        <w:t>.</w:t>
      </w:r>
      <w:r>
        <w:rPr>
          <w:rFonts w:eastAsia="Calibri" w:cs="Calibri"/>
          <w:color w:val="000000"/>
        </w:rPr>
        <w:t xml:space="preserve"> </w:t>
      </w:r>
      <w:r w:rsidR="00E2662F">
        <w:rPr>
          <w:rFonts w:eastAsia="Calibri" w:cs="Calibri"/>
          <w:color w:val="000000"/>
        </w:rPr>
        <w:t>This</w:t>
      </w:r>
      <w:r>
        <w:rPr>
          <w:rFonts w:eastAsia="Calibri" w:cs="Calibri"/>
          <w:color w:val="000000"/>
        </w:rPr>
        <w:t xml:space="preserve"> lent itself to this research process focusing on the changing nature of logics and the role of the institutions from a national to a local level. </w:t>
      </w:r>
    </w:p>
    <w:p w14:paraId="433E852A" w14:textId="77777777" w:rsidR="00E2662F" w:rsidRDefault="00E2662F" w:rsidP="00866155"/>
    <w:p w14:paraId="508780E3" w14:textId="77777777" w:rsidR="00787F73" w:rsidRDefault="00742FB7" w:rsidP="00866155">
      <w:r>
        <w:rPr>
          <w:rFonts w:eastAsia="Calibri" w:cs="Calibri"/>
          <w:lang w:eastAsia="en-US"/>
        </w:rPr>
        <w:t xml:space="preserve">It is important to reflect on how one views oneself and how others may view you. Suggesting that positionality and research can be </w:t>
      </w:r>
      <w:r>
        <w:rPr>
          <w:rFonts w:eastAsia="Calibri" w:cs="Calibri"/>
          <w:color w:val="000000"/>
        </w:rPr>
        <w:t xml:space="preserve">affected by a variety of other social intersections; however, this project holds an interpretivist philosophical paradigm and believes that every social interaction and life experience shapes how we view the world, and therefore there will inevitably be knock-on implications for any research as social research does not exist in a vacuum. This was also the case for the context in which the research was conducting the research, namely during the COVID-19 pandemic. </w:t>
      </w:r>
    </w:p>
    <w:p w14:paraId="79685C21" w14:textId="77777777" w:rsidR="00787F73" w:rsidRDefault="00787F73" w:rsidP="00866155">
      <w:pPr>
        <w:rPr>
          <w:rFonts w:eastAsia="Calibri" w:cs="Calibri"/>
          <w:color w:val="000000"/>
        </w:rPr>
      </w:pPr>
    </w:p>
    <w:p w14:paraId="33A34BC2" w14:textId="77777777" w:rsidR="00787F73" w:rsidRDefault="00742FB7" w:rsidP="00866155">
      <w:pPr>
        <w:pStyle w:val="Heading4"/>
        <w:spacing w:line="360" w:lineRule="auto"/>
      </w:pPr>
      <w:bookmarkStart w:id="699" w:name="_Toc147765770"/>
      <w:r>
        <w:rPr>
          <w:rFonts w:ascii="Calibri" w:hAnsi="Calibri" w:cs="Calibri"/>
        </w:rPr>
        <w:t>The challenges of COVID-19</w:t>
      </w:r>
      <w:bookmarkEnd w:id="699"/>
    </w:p>
    <w:p w14:paraId="1A9E2F5D" w14:textId="77777777" w:rsidR="00787F73" w:rsidRDefault="00742FB7" w:rsidP="00866155">
      <w:r>
        <w:rPr>
          <w:rFonts w:cs="Calibri"/>
          <w:lang w:eastAsia="en-US"/>
        </w:rPr>
        <w:t xml:space="preserve">COVID-19 provided a challenge to the design and functionality of the research project with both the data collected with SYFR and the community. Initially, this project had intended for the SYFR internship to be conducted over the course of a year, however, this was reduced to 12 days in person. It had also been the aim to continue the engaged scholarship approach in working with the community groups, using Participatory Action Research (PAR). However, due to the challenges with recruiting participants due to lockdown measures, this became impossible. It meant that instead of community workshops bringing a wide range of </w:t>
      </w:r>
      <w:r>
        <w:rPr>
          <w:rFonts w:cs="Calibri"/>
          <w:lang w:eastAsia="en-US"/>
        </w:rPr>
        <w:lastRenderedPageBreak/>
        <w:t xml:space="preserve">stakeholders together to discuss the community’s resilience, this project adapted to use smaller focus groups. </w:t>
      </w:r>
    </w:p>
    <w:p w14:paraId="418BCD1D" w14:textId="77777777" w:rsidR="00787F73" w:rsidRDefault="00787F73" w:rsidP="00866155">
      <w:pPr>
        <w:rPr>
          <w:rFonts w:eastAsia="Calibri" w:cs="Calibri"/>
          <w:color w:val="000000"/>
        </w:rPr>
      </w:pPr>
    </w:p>
    <w:p w14:paraId="2B48B292" w14:textId="77777777" w:rsidR="00787F73" w:rsidRDefault="00742FB7" w:rsidP="00866155">
      <w:r>
        <w:rPr>
          <w:rFonts w:cs="Calibri"/>
        </w:rPr>
        <w:t xml:space="preserve">Not only was the project influenced by COVID-19, but so was I. When I initially started the PhD looking at community disaster resilience, I had the mindset that I would be an outsider to the disaster, examining how people were preparing for disasters that were separate from their lived experience. This changed with COVID-19, as I was no longer an outsider to the disaster, but a participant. </w:t>
      </w:r>
    </w:p>
    <w:p w14:paraId="1EF74722" w14:textId="77777777" w:rsidR="00787F73" w:rsidRDefault="00787F73" w:rsidP="00866155">
      <w:pPr>
        <w:rPr>
          <w:rFonts w:cs="Calibri"/>
        </w:rPr>
      </w:pPr>
    </w:p>
    <w:p w14:paraId="0F70B0C1" w14:textId="77777777" w:rsidR="00787F73" w:rsidRDefault="00742FB7" w:rsidP="00866155">
      <w:r>
        <w:rPr>
          <w:rFonts w:cs="Calibri"/>
        </w:rPr>
        <w:t xml:space="preserve">These challenges shifted the dynamic and nature of the project, however, due to the close partnership with SYFR, I was able to adapt to an online environment and continue to collect data. Reflexivity and the exploration of </w:t>
      </w:r>
      <w:r w:rsidR="006912CD">
        <w:rPr>
          <w:rFonts w:cs="Calibri"/>
        </w:rPr>
        <w:t>my</w:t>
      </w:r>
      <w:r>
        <w:rPr>
          <w:rFonts w:cs="Calibri"/>
        </w:rPr>
        <w:t xml:space="preserve"> positionality was an ongoing process throughout the research and was routinely examined throughout the PhD process.</w:t>
      </w:r>
    </w:p>
    <w:p w14:paraId="7139A7F0" w14:textId="77777777" w:rsidR="00787F73" w:rsidRDefault="00787F73" w:rsidP="00866155">
      <w:pPr>
        <w:rPr>
          <w:rFonts w:eastAsia="Calibri" w:cs="Calibri"/>
          <w:color w:val="000000"/>
        </w:rPr>
      </w:pPr>
    </w:p>
    <w:p w14:paraId="4BEC9B7F" w14:textId="77777777" w:rsidR="00787F73" w:rsidRDefault="00742FB7" w:rsidP="00866155">
      <w:pPr>
        <w:pStyle w:val="Heading2"/>
      </w:pPr>
      <w:bookmarkStart w:id="700" w:name="_heading=h.3tbugp1"/>
      <w:bookmarkStart w:id="701" w:name="_Toc145281057"/>
      <w:bookmarkStart w:id="702" w:name="_Toc98148416"/>
      <w:bookmarkStart w:id="703" w:name="_Toc93336046"/>
      <w:bookmarkStart w:id="704" w:name="_Toc147765771"/>
      <w:bookmarkStart w:id="705" w:name="_Toc153554347"/>
      <w:bookmarkStart w:id="706" w:name="_Toc141888873"/>
      <w:bookmarkStart w:id="707" w:name="_Toc145019989"/>
      <w:bookmarkStart w:id="708" w:name="_Toc193367229"/>
      <w:bookmarkEnd w:id="700"/>
      <w:r>
        <w:rPr>
          <w:rFonts w:ascii="Calibri" w:hAnsi="Calibri" w:cs="Calibri"/>
        </w:rPr>
        <w:t>3.6: Conclusion</w:t>
      </w:r>
      <w:bookmarkEnd w:id="701"/>
      <w:bookmarkEnd w:id="702"/>
      <w:bookmarkEnd w:id="703"/>
      <w:bookmarkEnd w:id="704"/>
      <w:bookmarkEnd w:id="705"/>
      <w:bookmarkEnd w:id="706"/>
      <w:bookmarkEnd w:id="707"/>
      <w:bookmarkEnd w:id="708"/>
    </w:p>
    <w:p w14:paraId="4F1633F9" w14:textId="77777777" w:rsidR="00787F73" w:rsidRDefault="00742FB7" w:rsidP="00866155">
      <w:r>
        <w:rPr>
          <w:rFonts w:cs="Calibri"/>
        </w:rPr>
        <w:t xml:space="preserve">This chapter provided an overview to the methodological process of this thesis. It started with the philosophical grounding of the project, exploring the interpretivist philosophical paradigm and how this shaped </w:t>
      </w:r>
      <w:r w:rsidR="006912CD">
        <w:rPr>
          <w:rFonts w:cs="Calibri"/>
        </w:rPr>
        <w:t>my</w:t>
      </w:r>
      <w:r>
        <w:rPr>
          <w:rFonts w:cs="Calibri"/>
        </w:rPr>
        <w:t xml:space="preserve"> understanding and perception of ontology and epistemology. This led to the research strategy and a discussion of the practice of engaged scholarship within this thesis, including both a PAR and transdisciplinary research approach. This section was divided into two, examining the different methods used for data collection with SYFR and the South Yorkshire communities. For SYFR, the data collection focused on the IE approach, using semi-structured interviews, observations, and texts, as well as the use of data collected via Twitter. For the communities, this centred on the use of focus groups, and the context for the high risk, and low risk community groups. </w:t>
      </w:r>
    </w:p>
    <w:p w14:paraId="21D4B352" w14:textId="77777777" w:rsidR="00787F73" w:rsidRDefault="00787F73" w:rsidP="00866155">
      <w:pPr>
        <w:rPr>
          <w:rFonts w:cs="Calibri"/>
        </w:rPr>
      </w:pPr>
    </w:p>
    <w:p w14:paraId="5BC9B7A9" w14:textId="77777777" w:rsidR="004D6DD9" w:rsidRDefault="00742FB7" w:rsidP="006E36C4">
      <w:pPr>
        <w:rPr>
          <w:rFonts w:cs="Calibri"/>
        </w:rPr>
      </w:pPr>
      <w:r>
        <w:rPr>
          <w:rFonts w:cs="Calibri"/>
        </w:rPr>
        <w:t xml:space="preserve">After discussing the research strategy, this chapter presented a description of the data analysis and the use of a thematic analysis. This led into the ethics sections which provided a brief overview of the main ethical elements within this project, including the use of social media data and the positionality of the researcher. This chapter has provided an explanation of how and why the research was conducted in this way, and explained the assumptions </w:t>
      </w:r>
      <w:r>
        <w:rPr>
          <w:rFonts w:cs="Calibri"/>
        </w:rPr>
        <w:lastRenderedPageBreak/>
        <w:t xml:space="preserve">that underlie the research strategy and design. The data that was collected and analysed from this methodology will be explored in Chapters 4, 5 and </w:t>
      </w:r>
      <w:r w:rsidR="004D6DD9">
        <w:rPr>
          <w:rFonts w:cs="Calibri"/>
        </w:rPr>
        <w:t>6.</w:t>
      </w:r>
    </w:p>
    <w:p w14:paraId="1B51765F" w14:textId="77777777" w:rsidR="004D6DD9" w:rsidRDefault="004D6DD9" w:rsidP="00A0151B">
      <w:pPr>
        <w:rPr>
          <w:rFonts w:eastAsia="DengXian Light" w:cs="Calibri"/>
          <w:color w:val="385623"/>
          <w:sz w:val="32"/>
          <w:szCs w:val="32"/>
        </w:rPr>
      </w:pPr>
      <w:bookmarkStart w:id="709" w:name="_Toc153554348"/>
      <w:bookmarkStart w:id="710" w:name="_Toc157970994"/>
      <w:bookmarkStart w:id="711" w:name="_Toc157970779"/>
      <w:bookmarkEnd w:id="709"/>
      <w:r>
        <w:rPr>
          <w:rFonts w:cs="Calibri"/>
        </w:rPr>
        <w:br w:type="page"/>
      </w:r>
    </w:p>
    <w:p w14:paraId="71525CE9" w14:textId="5581136C" w:rsidR="00787F73" w:rsidRDefault="00742FB7" w:rsidP="00A0151B">
      <w:pPr>
        <w:pStyle w:val="Heading1"/>
        <w:spacing w:before="0"/>
        <w:jc w:val="center"/>
      </w:pPr>
      <w:bookmarkStart w:id="712" w:name="_Toc193367230"/>
      <w:r>
        <w:rPr>
          <w:rFonts w:ascii="Calibri" w:hAnsi="Calibri" w:cs="Calibri"/>
        </w:rPr>
        <w:lastRenderedPageBreak/>
        <w:t>Chapter 4: What is SYFR’s communication strategy for building community disaster resilience?</w:t>
      </w:r>
      <w:bookmarkEnd w:id="710"/>
      <w:bookmarkEnd w:id="711"/>
      <w:bookmarkEnd w:id="712"/>
    </w:p>
    <w:p w14:paraId="7FC3496E" w14:textId="77777777" w:rsidR="00787F73" w:rsidRDefault="00787F73" w:rsidP="00866155"/>
    <w:p w14:paraId="01E50BA8" w14:textId="77777777" w:rsidR="00787F73" w:rsidRDefault="00742FB7" w:rsidP="00866155">
      <w:pPr>
        <w:pStyle w:val="Heading2"/>
      </w:pPr>
      <w:bookmarkStart w:id="713" w:name="_Toc156227619"/>
      <w:bookmarkStart w:id="714" w:name="_Toc157970995"/>
      <w:bookmarkStart w:id="715" w:name="_Toc157970780"/>
      <w:bookmarkStart w:id="716" w:name="_Toc193367231"/>
      <w:r>
        <w:t>4.1: Introduction</w:t>
      </w:r>
      <w:bookmarkEnd w:id="713"/>
      <w:bookmarkEnd w:id="714"/>
      <w:bookmarkEnd w:id="715"/>
      <w:bookmarkEnd w:id="716"/>
    </w:p>
    <w:p w14:paraId="4AFCE7E6" w14:textId="77777777" w:rsidR="00787F73" w:rsidRDefault="00742FB7" w:rsidP="00866155">
      <w:r>
        <w:t xml:space="preserve">The aim of this thesis was to evaluate how SYFR can use social media for community disaster resilience, and to do that effectively, there needs to be an understanding of SYFR’s strategy. The purpose of this chapter is to answer the first research question, </w:t>
      </w:r>
      <w:r>
        <w:rPr>
          <w:i/>
          <w:iCs/>
        </w:rPr>
        <w:t>what is SYFR’s communication strategy for building community resilience?</w:t>
      </w:r>
      <w:r>
        <w:t xml:space="preserve"> This was chosen as the first research question to gain an understanding of how SYFR view and work within the community resilience field, and more specifically how they currently work with the citizens of South Yorkshire. </w:t>
      </w:r>
    </w:p>
    <w:p w14:paraId="6359416A" w14:textId="77777777" w:rsidR="00787F73" w:rsidRDefault="00787F73" w:rsidP="00866155"/>
    <w:p w14:paraId="722F6EB3" w14:textId="34A2E61B" w:rsidR="00787F73" w:rsidRDefault="00742FB7" w:rsidP="008C6995">
      <w:r>
        <w:t xml:space="preserve">This chapter begins by exploring how SYFR view and incorporate resilience. It is crucial to understand how SYFR view resilience, as </w:t>
      </w:r>
      <w:r>
        <w:rPr>
          <w:i/>
          <w:iCs/>
        </w:rPr>
        <w:t>resilience</w:t>
      </w:r>
      <w:r>
        <w:t xml:space="preserve"> is a highly contested term</w:t>
      </w:r>
      <w:r w:rsidR="008C6995">
        <w:t>.</w:t>
      </w:r>
      <w:r>
        <w:t xml:space="preserve"> </w:t>
      </w:r>
      <w:r w:rsidR="008C6995" w:rsidRPr="008C6995">
        <w:t xml:space="preserve">The literature is divided on whether resilience explains a process or an outcome. </w:t>
      </w:r>
      <w:r>
        <w:fldChar w:fldCharType="begin" w:fldLock="1"/>
      </w:r>
      <w:r w:rsidR="00974B75">
        <w:instrText>ADDIN CSL_CITATION {"citationItems":[{"id":"ITEM-1","itemData":{"DOI":"10.1007/s10464-007-9156-6","ISBN":"0091-0562 (Print)","ISSN":"00910562","PMID":"18157631","abstract":"Communities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unknowns.","author":[{"dropping-particle":"","family":"Norris","given":"Fran H.","non-dropping-particle":"","parse-names":false,"suffix":""},{"dropping-particle":"","family":"Stevens","given":"Susan P.","non-dropping-particle":"","parse-names":false,"suffix":""},{"dropping-particle":"","family":"Pfefferbaum","given":"Betty","non-dropping-particle":"","parse-names":false,"suffix":""},{"dropping-particle":"","family":"Wyche","given":"Karen F.","non-dropping-particle":"","parse-names":false,"suffix":""},{"dropping-particle":"","family":"Pfefferbaum","given":"Rose L.","non-dropping-particle":"","parse-names":false,"suffix":""}],"container-title":"American Journal of Community Psychology","id":"ITEM-1","issued":{"date-parts":[["2008"]]},"page":"127-150","title":"Community resilience as a metaphor, theory, set of capacities, and strategy for disaster readiness","type":"article-journal","volume":"41"},"uris":["http://www.mendeley.com/documents/?uuid=ce971e9c-40de-4c41-9d71-39c5bbe61334"]},{"id":"ITEM-2","itemData":{"DOI":"10.1007/s10464-011-9427-0","ISBN":"1573-2770 (Electronic)\\r0091-0562 (Linking)","ISSN":"00910562","PMID":"21287261","abstract":"In this paper we draw on the findings of a critical, multi-sited ethnographic study of two rural communities affected by a wildfire in British Columbia, Canada to examine the salience of place, identity, and social capital to the disaster recovery process and community disaster resilience. We argue that a reconfiguration of disaster recovery is required that more meaningfully considers the role of place in the disaster recovery process and opens up the space for a more reflective and intentional consideration of the disorientation and disruption associated with disasters and our organized response to that disorientation. We describe a social-psychological process, reorientation, in which affected individuals and communities navigate the psychological, social and emotional responses to the symbolic and material changes to social and geographic place that result from the fire's destruction. The reorientation process emphasizes the critical importance of place not only as an orienting framework in recovery but also as the ground upon which social capital and community disaster resilience are built. This approach to understanding and responding to the disorientation of disasters has implications for community psychologists and other service providers engaged in supporting disaster survivors. This includes the need to consider the complex dynamic of contextual and cultural factors that influence the disaster recovery process.","author":[{"dropping-particle":"","family":"Cox","given":"Robin S.","non-dropping-particle":"","parse-names":false,"suffix":""},{"dropping-particle":"","family":"Perry","given":"Karen Marie Elah","non-dropping-particle":"","parse-names":false,"suffix":""}],"container-title":"American Journal of Community Psychology","id":"ITEM-2","issued":{"date-parts":[["2011"]]},"page":"395-411","title":"Like a Fish Out of Water: Reconsidering Disaster Recovery and the Role of Place and Social Capital in Community Disaster Resilience","type":"article-journal","volume":"48"},"uris":["http://www.mendeley.com/documents/?uuid=7cc0bc64-5b6c-47d3-b8e2-087a2c2fd9f6"]},{"id":"ITEM-3","itemData":{"DOI":"10.1146/annurev.energy.32.051807.090348","ISBN":"1708-3087","ISSN":"0954-5794","PMID":"7615","abstract":"Despite the recent popularity and frequent use of the disaster resilience concept in the academic, re- search, and policy programs, there is a limited theoretical understanding of this concept. For instance, it is not clear how this concept should be operationalized and what its determinant factors are or how they can be measured. Al- though the recent literatures on hazard and disaster frequently refer to resilience concept as a guiding principle behind an effective hazard risk management, making it operational for policies raises critical challenges in terms of its as- sessment. This paper is an attempt to develop a conceptual and methodological framework for the analysis, measure- ment, and mapping of community disaster resilience. The paper specifically intends to archive three objectives. Firstly, it examines the general definitional issues of the concept of resilience with a focus on community disaster re- silience. Secondly, it reviews the frameworks that are currently used to measure community resilience. Thirdly, it evaluates the existing methods that are used to develop resilience indices, and based on this review, a methodology on how to measure community disaster resilience is proposed. Finally, it summarizes the limitations and recommen- dations for further improvement of the methodology.","author":[{"dropping-particle":"","family":"Mayunga","given":"Joseph S","non-dropping-particle":"","parse-names":false,"suffix":""}],"container-title":"Summer academy for social vulnerability and resilience building","id":"ITEM-3","issue":"1","issued":{"date-parts":[["2007"]]},"number-of-pages":"1-16","publisher-place":"Munich","title":"Understanding and Applying the Concept of Community Disaster Resilience : A capital-based approach","type":"report"},"uris":["http://www.mendeley.com/documents/?uuid=8d9105d9-093b-4ab1-98f2-8230311a4cbf"]},{"id":"ITEM-4","itemData":{"DOI":"10.1016/j.ijdrr.2021.102664","ISBN":"2548607003","ISSN":"22124209","abstract":"Against the backdrop of the COVID-19 pandemic, there is widespread agreement in the field of public health that community resilience should be maintained and strengthened. However, there are significant differences in the pandemic prevention effects between different communities in different areas. To explore the main influencing factors on community resilience and the magnitude of their impact during the pandemic, this study collected 650 valid questionnaires from Shanghai, Wuhan and Chengdu by using the Communities Advancing Resilience Toolkit Assessment Survey (CART). Data collection was conducted from February to March 2020 when this three cities activated a Level One public health emergency response. The data were analyzed by using multiple linear regression analysis and structural equation model. Results indicate that: (1) Domains such as Information and Communication, and Connection and Caring scored higher, while Disaster Management, Resources and Transformative Potential scored lower; (2) A community got higher resilience scores if it took more effective measures to prevent and control the pandemic(Shanghai &gt; Chengdu &gt; Wuhan), people within the community participated more actively in disaster risk reduction activities and activities of volunteer responder groups, and people were more closely connected with the community; (3) Variables such as the participation in affiliated volunteer responder groups, and community disaster risk reduction activities exerted the biggest impact on community resilience. Therefore, it is urgent to establish a community-based, resilience-centered framework of community resilience in the post-pandemic era. This framework will strengthen a community's capacity to cope with disasters and risks.","author":[{"dropping-particle":"","family":"Fenxia","given":"Zhang","non-dropping-particle":"","parse-names":false,"suffix":""}],"container-title":"International Journal of Disaster Risk Reduction","id":"ITEM-4","issued":{"date-parts":[["2022"]]},"page":"1 - 17","title":"The community resilience measurement throughout the COVID-19 pandemic and beyond -an empirical study based on data from Shanghai, Wuhan and Chengdu","type":"article-journal","volume":"67"},"uris":["http://www.mendeley.com/documents/?uuid=75366718-c1b6-4e53-8728-6262ea99eff8"]}],"mendeley":{"formattedCitation":"(Fenxia, 2022; Cox &amp; Perry, 2011; Norris et al., 2008; Mayunga, 2007)","plainTextFormattedCitation":"(Fenxia, 2022; Cox &amp; Perry, 2011; Norris et al., 2008; Mayunga, 2007)","previouslyFormattedCitation":"(Fenxia, 2022; Cox &amp; Perry, 2011; Norris et al., 2008; Mayunga, 2007)"},"properties":{"noteIndex":0},"schema":"https://github.com/citation-style-language/schema/raw/master/csl-citation.json"}</w:instrText>
      </w:r>
      <w:r>
        <w:fldChar w:fldCharType="separate"/>
      </w:r>
      <w:r>
        <w:rPr>
          <w:noProof/>
        </w:rPr>
        <w:t>(Fenxia, 2022; Cox &amp; Perry, 2011; Norris et al., 2008; Mayunga, 2007)</w:t>
      </w:r>
      <w:r>
        <w:fldChar w:fldCharType="end"/>
      </w:r>
      <w:r>
        <w:t xml:space="preserve">. This ambiguity in the resilience literature extends to how resilience is measured and recorded and therefore it is of great importance to first understand what definition or approach to resilience is being taken. How an organisation views resilience will influence their strategy and approach and how they interact with community and disaster management stakeholders. </w:t>
      </w:r>
      <w:r>
        <w:rPr>
          <w:rFonts w:cs="Calibri"/>
        </w:rPr>
        <w:t xml:space="preserve">This chapter first examines how SYFR discussed and incorporated resilience into their operations, focusing on the work of the Business Continuity and Resilience, Community Safety, and Communications teams, all of whom planned or worked directly with the community in different ways. This section emphasises a substantive issue within both resilience policy and theory, namely the challenge of working with communities without a shared understanding or definition of resilience. Under the CCA (2004), SYFR </w:t>
      </w:r>
      <w:r w:rsidRPr="00F84689">
        <w:rPr>
          <w:rFonts w:cs="Calibri"/>
        </w:rPr>
        <w:t xml:space="preserve">are </w:t>
      </w:r>
      <w:r w:rsidRPr="00F84689">
        <w:t>statutor</w:t>
      </w:r>
      <w:r w:rsidRPr="00F84689">
        <w:rPr>
          <w:rFonts w:cs="Calibri"/>
        </w:rPr>
        <w:t xml:space="preserve">ily obligated </w:t>
      </w:r>
      <w:r>
        <w:rPr>
          <w:rFonts w:cs="Calibri"/>
        </w:rPr>
        <w:t xml:space="preserve">to work in partnership with other disaster management stakeholders, and therefore there needs to be a shared understanding of the parameters, measures, and impact of their work with the community. This section provides a contribution to the literature, emphasising that SYFR have a focus on </w:t>
      </w:r>
      <w:r>
        <w:rPr>
          <w:rFonts w:cs="Calibri"/>
          <w:i/>
          <w:iCs/>
        </w:rPr>
        <w:t>prevention</w:t>
      </w:r>
      <w:r>
        <w:rPr>
          <w:rFonts w:cs="Calibri"/>
        </w:rPr>
        <w:t xml:space="preserve"> rather than </w:t>
      </w:r>
      <w:r>
        <w:rPr>
          <w:rFonts w:cs="Calibri"/>
          <w:i/>
          <w:iCs/>
        </w:rPr>
        <w:t>resilience</w:t>
      </w:r>
      <w:r w:rsidR="008C6995">
        <w:rPr>
          <w:rFonts w:cs="Calibri"/>
        </w:rPr>
        <w:t>.</w:t>
      </w:r>
      <w:r>
        <w:rPr>
          <w:rFonts w:cs="Calibri"/>
        </w:rPr>
        <w:t xml:space="preserve"> </w:t>
      </w:r>
      <w:r w:rsidR="008C6995">
        <w:rPr>
          <w:rFonts w:cs="Calibri"/>
        </w:rPr>
        <w:t>This means</w:t>
      </w:r>
      <w:r>
        <w:rPr>
          <w:rFonts w:cs="Calibri"/>
        </w:rPr>
        <w:t xml:space="preserve"> they are adopting an </w:t>
      </w:r>
      <w:r>
        <w:rPr>
          <w:rFonts w:cs="Calibri"/>
          <w:i/>
          <w:iCs/>
        </w:rPr>
        <w:t>outcome</w:t>
      </w:r>
      <w:r>
        <w:rPr>
          <w:rFonts w:cs="Calibri"/>
        </w:rPr>
        <w:t xml:space="preserve"> view of </w:t>
      </w:r>
      <w:r>
        <w:rPr>
          <w:rFonts w:cs="Calibri"/>
        </w:rPr>
        <w:lastRenderedPageBreak/>
        <w:t>resilience within their fire prevention work, and a process approach to resilience for other categories of disasters.</w:t>
      </w:r>
    </w:p>
    <w:p w14:paraId="20B6B826" w14:textId="77777777" w:rsidR="00787F73" w:rsidRDefault="00787F73" w:rsidP="00866155">
      <w:pPr>
        <w:rPr>
          <w:rFonts w:cs="Calibri"/>
        </w:rPr>
      </w:pPr>
    </w:p>
    <w:p w14:paraId="1CC34BAB" w14:textId="68627C69" w:rsidR="00787F73" w:rsidRDefault="00742FB7" w:rsidP="00866155">
      <w:r>
        <w:rPr>
          <w:rFonts w:cs="Calibri"/>
        </w:rPr>
        <w:t xml:space="preserve">The data in this chapter </w:t>
      </w:r>
      <w:r w:rsidR="008C6995">
        <w:rPr>
          <w:rFonts w:cs="Calibri"/>
        </w:rPr>
        <w:t xml:space="preserve">are </w:t>
      </w:r>
      <w:r>
        <w:rPr>
          <w:rFonts w:cs="Calibri"/>
        </w:rPr>
        <w:t xml:space="preserve">based on the IE, as discussed in Chapter 3, and includes quotes from various team members in SYFR, including an Emergency Planning Officer (EPO), Strategic communication manager (SM), Campaigns manager (CM) and a Community Safety Officer (CS). There is a focus on the Public Information Campaigns (PICs) that SYFR run through an examination of their annual campaign calendars and exploring some of the data themes and the analysis reveals SYFR’s focus on quantification, the challenges of changing algorithms, and the importance of trust. The findings are a contribution to the literature as there have not been studies of this nature about an FRS within England. </w:t>
      </w:r>
    </w:p>
    <w:p w14:paraId="0B3AAC00" w14:textId="77777777" w:rsidR="00787F73" w:rsidRDefault="00787F73" w:rsidP="00866155">
      <w:pPr>
        <w:rPr>
          <w:rFonts w:cs="Calibri"/>
        </w:rPr>
      </w:pPr>
    </w:p>
    <w:p w14:paraId="64E53D69" w14:textId="77777777" w:rsidR="00787F73" w:rsidRDefault="00742FB7" w:rsidP="00866155">
      <w:pPr>
        <w:pStyle w:val="Heading3"/>
      </w:pPr>
      <w:bookmarkStart w:id="717" w:name="_Toc157970781"/>
      <w:bookmarkStart w:id="718" w:name="_Toc157970996"/>
      <w:bookmarkStart w:id="719" w:name="_Toc193367232"/>
      <w:r>
        <w:t>4.1.1: Contribution to the literature</w:t>
      </w:r>
      <w:bookmarkEnd w:id="717"/>
      <w:bookmarkEnd w:id="718"/>
      <w:bookmarkEnd w:id="719"/>
    </w:p>
    <w:p w14:paraId="4971D4F0" w14:textId="254BC9D9" w:rsidR="00787F73" w:rsidRDefault="00742FB7" w:rsidP="00866155">
      <w:bookmarkStart w:id="720" w:name="_heading=h.1fob9te"/>
      <w:bookmarkStart w:id="721" w:name="_Toc1535543481"/>
      <w:bookmarkEnd w:id="720"/>
      <w:bookmarkEnd w:id="721"/>
      <w:r>
        <w:rPr>
          <w:rFonts w:cs="Calibri"/>
        </w:rPr>
        <w:t xml:space="preserve">This chapter makes a series of contributions to the literature, not only to Public Information Campaigns, examining how they are created and their effectiveness </w:t>
      </w:r>
      <w:r>
        <w:fldChar w:fldCharType="begin" w:fldLock="1"/>
      </w:r>
      <w:r>
        <w:rPr>
          <w:rFonts w:cs="Calibri"/>
        </w:rPr>
        <w:instrText>ADDIN CSL_CITATION {"citationItems":[{"id":"ITEM-1","itemData":{"DOI":"10.1017/S1474747213000310","ISBN":"1474747213","ISSN":"14753022","abstract":"We present the results of a survey experiment where the treatment group was provided with an information brochure regarding recently implemented changes in the Norwegian pension system, whereas a control group was not. We find that those who received the information are more likely to respond correctly to questions regarding the new pension system. The information effect is larger for those with high education, but only for the most complex aspect of the reform. Despite greater knowledge of the reform in the treatment group, we find no differences between the treatment and control group in their preferences regarding when to retire or whether to combine work and pension uptake. © Cambridge University Press 2013.","author":[{"dropping-particle":"","family":"Finseraas","given":"Henning","non-dropping-particle":"","parse-names":false,"suffix":""},{"dropping-particle":"","family":"Jakobsson","given":"Niklas","non-dropping-particle":"","parse-names":false,"suffix":""}],"container-title":"Journal of Pension Economics and Finance","id":"ITEM-1","issue":"3","issued":{"date-parts":[["2014"]]},"page":"250-271","title":"Does information about the pension system affect knowledge and retirement plans? Evidence from a survey experiment","type":"article-journal","volume":"13"},"uris":["http://www.mendeley.com/documents/?uuid=b09c03fd-4d72-4808-86d5-4cc79adaa5aa"]},{"id":"ITEM-2","itemData":{"DOI":"10.1080/13504851.2014.922660","ISSN":"14664291","abstract":"We present the results of a survey experiment where the respondents were randomly assigned the opportunity to read an information brochure regarding recently implemented changes in the Norwegian pension system. We find that those given the opportunity to read the information material are more likely to believe that the reform has made the pension system easier to understand.","author":[{"dropping-particle":"","family":"Finseraas","given":"Henning","non-dropping-particle":"","parse-names":false,"suffix":""},{"dropping-particle":"","family":"Jakobsson","given":"Niklas","non-dropping-particle":"","parse-names":false,"suffix":""}],"container-title":"Applied Economics Letters","id":"ITEM-2","issue":"18","issued":{"date-parts":[["2014"]]},"page":"1266-1268","publisher":"Routledge","title":"Does a simple information intervention change the perception of a reform?","type":"article-journal","volume":"21"},"uris":["http://www.mendeley.com/documents/?uuid=f3c6caf6-44ba-40be-b402-a47314735193"]},{"id":"ITEM-3","itemData":{"DOI":"10.1017/S1474747215000098","ISBN":"1474747215000","ISSN":"14753022","abstract":"Government authorities use resources on information campaigns in order to inform citizens about relevant policy changes. The motivation is usually that individuals sometimes are ill-informed about the public policies relevant for their choices. In a survey experiment where the treatment group was provided with public information material on the social security system, we assess the short- and medium-term knowledge effects. We show that the short run effects of the information on knowledge disappear completely within 4 months. The findings illustrate the limits of public information campaigns to improve knowledge about relevant policy reforms.","author":[{"dropping-particle":"","family":"Finseraas","given":"Henning","non-dropping-particle":"","parse-names":false,"suffix":""},{"dropping-particle":"","family":"Jakobsson","given":"Niklas","non-dropping-particle":"","parse-names":false,"suffix":""},{"dropping-particle":"","family":"Svensson","given":"Mikael","non-dropping-particle":"","parse-names":false,"suffix":""}],"container-title":"Journal of Pension Economics and Finance","id":"ITEM-3","issue":"1","issued":{"date-parts":[["2017"]]},"page":"108-117","title":"Do knowledge gains from public information campaigns persist over time? Results from a survey experiment on the Norwegian pension reform","type":"article-journal","volume":"16"},"uris":["http://www.mendeley.com/documents/?uuid=d9dbed88-c694-49dd-a174-2531c9ca6d3f"]}],"mendeley":{"formattedCitation":"(Finseraas, Jakobsson, &amp; Svensson, 2017; Finseraas &amp; Jakobsson, 2014a, 2014b)","plainTextFormattedCitation":"(Finseraas, Jakobsson, &amp; Svensson, 2017; Finseraas &amp; Jakobsson, 2014a, 2014b)","previouslyFormattedCitation":"(Finseraas, Jakobsson, &amp; Svensson, 2017; Finseraas &amp; Jakobsson, 2014a, 2014b)"},"properties":{"noteIndex":0},"schema":"https://github.com/citation-style-language/schema/raw/master/csl-citation.json"}</w:instrText>
      </w:r>
      <w:r>
        <w:rPr>
          <w:rFonts w:cs="Calibri"/>
        </w:rPr>
        <w:fldChar w:fldCharType="separate"/>
      </w:r>
      <w:r>
        <w:rPr>
          <w:rFonts w:cs="Calibri"/>
          <w:noProof/>
        </w:rPr>
        <w:t>(Finseraas, Jakobsson, &amp; Svensson, 2017; Finseraas &amp; Jakobsson, 2014a, 2014b)</w:t>
      </w:r>
      <w:r>
        <w:rPr>
          <w:rFonts w:cs="Calibri"/>
        </w:rPr>
        <w:fldChar w:fldCharType="end"/>
      </w:r>
      <w:r>
        <w:rPr>
          <w:rFonts w:cs="Calibri"/>
        </w:rPr>
        <w:t>, but also more widely by examining the communication and operations of a FRS and how organisations can be involved within the creation or maintenance of resilience.</w:t>
      </w:r>
    </w:p>
    <w:p w14:paraId="2F02D554" w14:textId="77777777" w:rsidR="00787F73" w:rsidRDefault="00787F73" w:rsidP="00866155">
      <w:pPr>
        <w:rPr>
          <w:rFonts w:cs="Calibri"/>
        </w:rPr>
      </w:pPr>
    </w:p>
    <w:p w14:paraId="1ABEBEB3" w14:textId="24FF81BD" w:rsidR="00787F73" w:rsidRDefault="00742FB7" w:rsidP="00866155">
      <w:r>
        <w:rPr>
          <w:rFonts w:cs="Calibri"/>
        </w:rPr>
        <w:t xml:space="preserve">Extant research examining FRS and their operations have focused predominantly on the response and recovery phases of the </w:t>
      </w:r>
      <w:r w:rsidR="0038275C">
        <w:rPr>
          <w:rFonts w:cs="Calibri"/>
        </w:rPr>
        <w:t>Disaster Management Cycle</w:t>
      </w:r>
      <w:r>
        <w:rPr>
          <w:rFonts w:cs="Calibri"/>
        </w:rPr>
        <w:t xml:space="preserve">. Work has been conducted into how decisions are made within responsive environments </w:t>
      </w:r>
      <w:r>
        <w:fldChar w:fldCharType="begin" w:fldLock="1"/>
      </w:r>
      <w:r>
        <w:rPr>
          <w:rFonts w:cs="Calibri"/>
        </w:rPr>
        <w:instrText>ADDIN CSL_CITATION {"citationItems":[{"id":"ITEM-1","itemData":{"DOI":"10.1177/0018720815578266","ISBN":"00187208 (ISSN)","ISSN":"15478181","PMID":"25875155","abstract":"OBJECTIVE: The aim of this study was to better understand the nature of decision making at operational incidents in order to inform operational guidance and training.\\n\\nBACKGROUND: Normative models of decision making have been adopted in the guidance and training for emergency services. In these models, it is assumed that decision makers assess the current situation, formulate plans, and then execute the plans. However, our understanding of how decision making unfolds at operational incidents remains limited.\\n\\nMETHOD: Incident commanders, attending 33 incidents across six U.K. Fire and Rescue Services, were fitted with helmet-mounted cameras, and the resulting video footage was later independently coded and used to prompt participants to provide a running commentary concerning their decisions.\\n\\nRESULTS: The analysis revealed that assessment of the operational situation was most often followed by plan execution rather than plan formulation, and there was little evidence of prospection about the potential consequences of actions. This pattern of results was consistent across different types of incident, characterized by level of risk and time pressure, but was affected by the operational experience of the participants.\\n\\nCONCLUSION: Decision making did not follow the sequence of phases assumed by normative models and conveyed in current operational guidance but instead was influenced by both reflective and reflexive processes.\\n\\nAPPLICATION: These results have clear implications for understanding operational decision making as it occurs in situ and suggest a need for future guidance and training to acknowledge the role of reflexive processes.","author":[{"dropping-particle":"","family":"Cohen-Hatton","given":"Sabrina R.","non-dropping-particle":"","parse-names":false,"suffix":""},{"dropping-particle":"","family":"Butler","given":"Philip C.","non-dropping-particle":"","parse-names":false,"suffix":""},{"dropping-particle":"","family":"Honey","given":"Robert C.","non-dropping-particle":"","parse-names":false,"suffix":""}],"container-title":"Human Factors","id":"ITEM-1","issue":"5","issued":{"date-parts":[["2015"]]},"page":"793-804","title":"An Investigation of Operational Decision Making in Situ: Incident Command in the U.K. Fire and Rescue Service","type":"article-journal","volume":"57"},"uris":["http://www.mendeley.com/documents/?uuid=b2b772fd-5950-4959-8d9e-b958e76929c5"]},{"id":"ITEM-2","itemData":{"DOI":"10.1037/xap0000061","ISSN":"1076898X","abstract":"Decisions made by operational commanders at emergency incidents have been characterized as involving a period of information gathering followed by courses of action that are often generated without explicit plan formulation. We examined the efficacy of goal-oriented training in engendering explicit planning that would enable better communication at emergency incidents. While standard training mirrored current operational guidance, goal-oriented training incorporated \"decision controls\" that highlighted the importance of evaluating goals, anticipated consequences, and risk/benefit analyses once a potential course of action has been identified. In Experiment 1, 3 scenarios (a house fire, road traffic collision, and skip fire) were presented in a virtual environment, and in Experiment 2 they were recreated on the fireground. In Experiment 3, the house fire was recreated as a \"live burn,\" and incident commanders and their crews responded to this scenario as an emergency incident. In all experiments, groups given standard training showed the reported tendency to move directly from information gathering to action, whereas those given goal-oriented training were more likely to develop explicit plans and show anticipatory situational awareness. These results indicate that training can be readily modified to promote explicit plan formulation that could facilitate plan sharing between incident commanders and their teams. (PsycINFO Database Record","author":[{"dropping-particle":"","family":"Cohen-Hatton","given":"Sabrina R.","non-dropping-particle":"","parse-names":false,"suffix":""},{"dropping-particle":"","family":"Honey","given":"R. C.","non-dropping-particle":"","parse-names":false,"suffix":""}],"container-title":"Journal of Experimental Psychology: Applied","id":"ITEM-2","issue":"4","issued":{"date-parts":[["2015"]]},"page":"395-406","title":"Goal-oriented training affects decision-making processes in virtual and simulated fire and rescue environments","type":"article-journal","volume":"21"},"uris":["http://www.mendeley.com/documents/?uuid=fe666ab7-48c3-4d6c-bafe-5487577c2d6e"]}],"mendeley":{"formattedCitation":"(Cohen-Hatton &amp; Honey, 2015; Cohen-Hatton, Butler, &amp; Honey, 2015)","plainTextFormattedCitation":"(Cohen-Hatton &amp; Honey, 2015; Cohen-Hatton, Butler, &amp; Honey, 2015)","previouslyFormattedCitation":"(Cohen-Hatton &amp; Honey, 2015; Cohen-Hatton, Butler, &amp; Honey, 2015)"},"properties":{"noteIndex":0},"schema":"https://github.com/citation-style-language/schema/raw/master/csl-citation.json"}</w:instrText>
      </w:r>
      <w:r>
        <w:rPr>
          <w:rFonts w:cs="Calibri"/>
        </w:rPr>
        <w:fldChar w:fldCharType="separate"/>
      </w:r>
      <w:r>
        <w:rPr>
          <w:rFonts w:cs="Calibri"/>
          <w:noProof/>
        </w:rPr>
        <w:t>(Cohen-Hatton &amp; Honey, 2015; Cohen-Hatton, Butler, &amp; Honey, 2015)</w:t>
      </w:r>
      <w:r>
        <w:rPr>
          <w:rFonts w:cs="Calibri"/>
        </w:rPr>
        <w:fldChar w:fldCharType="end"/>
      </w:r>
      <w:r>
        <w:rPr>
          <w:rFonts w:cs="Calibri"/>
        </w:rPr>
        <w:t xml:space="preserve">, and the challenges and roles of multi-agency responses </w:t>
      </w:r>
      <w:r>
        <w:fldChar w:fldCharType="begin" w:fldLock="1"/>
      </w:r>
      <w:r w:rsidR="00974B75">
        <w:rPr>
          <w:rFonts w:cs="Calibri"/>
        </w:rPr>
        <w:instrText>ADDIN CSL_CITATION {"citationItems":[{"id":"ITEM-1","itemData":{"DOI":"10.1007/s10796-009-9174-z","ISSN":"13873326","abstract":"Information Exchange","author":[{"dropping-particle":"","family":"Bharosa","given":"Nitesh","non-dropping-particle":"","parse-names":false,"suffix":""},{"dropping-particle":"","family":"Lee","given":"Jinkyu","non-dropping-particle":"","parse-names":false,"suffix":""},{"dropping-particle":"","family":"Janssen","given":"Marijn","non-dropping-particle":"","parse-names":false,"suffix":""}],"container-title":"Information Systems Frontiers","id":"ITEM-1","issued":{"date-parts":[["2010"]]},"page":"49-65","title":"Challenges and obstacles in sharing and coordinating information during multi-agency disaster response: Propositions from field exercises","type":"article-journal","volume":"12"},"uris":["http://www.mendeley.com/documents/?uuid=d8dcd0f5-9b44-4b82-811e-2369995ed5ba"]},{"id":"ITEM-2","itemData":{"abstract":"Major emergencies are extreme team decision making environments. They are complex, dynamic, high-stakes and fast paced events, wherein successful resolution is contingent upon effective teamwork. Not only do emergency teams coordinate at the intrateam level (e.g., police team), but they are increasingly required to operate at the interteam level (e.g., police, fire and ambulance teams). This is in response to the desire for networked and cost-effective practice and due to the evolving nature of modern threats, such as extreme weather events and terrorist attacks, which require a multi- rather than single-agency response. Yet the capacity for interoperability between emergency teams is under researched and poorly understood. Much of the teamwork research is based on student-samples or in artificial lab settings, reducing the salient contextual demands of emergencies (e.g., high-stakes, meaningful risk). Furthermore, the minimal research that has been conducted has tended to provide broad descriptive accounts of challenges faced during emergencies, but failed to develop and test solutions. This article identifies what is known about emergency teams and highlights why it is an important and timely area for research. It will focus on the challenges and solutions to three areas of team processing: cooperation, coordination, and communication. Future research must have a solutions-focused approach. This can be oriented around areas: training, sociotechnical networks, and policies/procedural guidelines. Greater collaboration between academics and practitioners can grow knowledge in this domain, ensuring that interventions to improve emergency teamwork are both contextually grounded and empirically validated. (PsycINFO Database Record (c) 2018 APA, all rights reserved)","author":[{"dropping-particle":"","family":"Power","given":"Nicola","non-dropping-particle":"","parse-names":false,"suffix":""}],"container-title":"American Psychologist","id":"ITEM-2","issue":"4","issued":{"date-parts":[["2018"]]},"page":"478 - 490","title":"Extreme Teams: Towards a Greater Understanding of Multi-Agency Teamwork During Major Emergencies and Disasters","type":"article-journal","volume":"73"},"uris":["http://www.mendeley.com/documents/?uuid=4ed4931c-7401-4c4f-b968-a3d5c9245406"]},{"id":"ITEM-3","itemData":{"DOI":"10.1111/1468-5973.12260","ISSN":"14685973","author":[{"dropping-particle":"","family":"Wilkinson","given":"Byron","non-dropping-particle":"","parse-names":false,"suffix":""},{"dropping-particle":"","family":"Cohen-Hatton","given":"Sabrina R.","non-dropping-particle":"","parse-names":false,"suffix":""},{"dropping-particle":"","family":"Honey","given":"Robert C.","non-dropping-particle":"","parse-names":false,"suffix":""}],"container-title":"Journal of Contingencies and Crisis Management","id":"ITEM-3","issue":"4","issued":{"date-parts":[["2019"]]},"page":"306 - 316","title":"Decision-making in multi-agency groups at simulated major incident emergencies: In situ analysis of adherence to UK doctrine","type":"article-journal","volume":"27"},"uris":["http://www.mendeley.com/documents/?uuid=5865008d-3380-46e7-8538-63d9fdcb0b9a"]}],"mendeley":{"formattedCitation":"(Wilkinson, Cohen-Hatton, &amp; Honey, 2019; Power, 2018; Bharosa, Lee, &amp; Janssen, 2010)","plainTextFormattedCitation":"(Wilkinson, Cohen-Hatton, &amp; Honey, 2019; Power, 2018; Bharosa, Lee, &amp; Janssen, 2010)","previouslyFormattedCitation":"(Wilkinson, Cohen-Hatton, &amp; Honey, 2019; Power, 2018; Bharosa, Lee, &amp; Janssen, 2010)"},"properties":{"noteIndex":0},"schema":"https://github.com/citation-style-language/schema/raw/master/csl-citation.json"}</w:instrText>
      </w:r>
      <w:r>
        <w:rPr>
          <w:rFonts w:cs="Calibri"/>
        </w:rPr>
        <w:fldChar w:fldCharType="separate"/>
      </w:r>
      <w:r>
        <w:rPr>
          <w:rFonts w:cs="Calibri"/>
          <w:noProof/>
        </w:rPr>
        <w:t>(Wilkinson, Cohen-Hatton, &amp; Honey, 2019; Power, 2018; Bharosa, Lee, &amp; Janssen, 2010)</w:t>
      </w:r>
      <w:r>
        <w:rPr>
          <w:rFonts w:cs="Calibri"/>
        </w:rPr>
        <w:fldChar w:fldCharType="end"/>
      </w:r>
      <w:r>
        <w:rPr>
          <w:rFonts w:cs="Calibri"/>
        </w:rPr>
        <w:t xml:space="preserve">, including a focus on flooding </w:t>
      </w:r>
      <w:r>
        <w:fldChar w:fldCharType="begin" w:fldLock="1"/>
      </w:r>
      <w:r>
        <w:rPr>
          <w:rFonts w:cs="Calibri"/>
        </w:rPr>
        <w:instrText>ADDIN CSL_CITATION {"citationItems":[{"id":"ITEM-1","itemData":{"DOI":"10.1016/j.apergo.2011.03.006","ISBN":"0003-6870","ISSN":"18729126","PMID":"21570058","abstract":"This paper presents an investigation of command and control during Multi-Agency Operations; the purpose of this study was to elaborate on known themes associated with multi-agency emergency response, through a study of the successful combined military and civilian defence of Walham electricity substation from rising flood water in July 2007.This case study demonstrates that effective coordination during major emergencies requires the development of a deeper, shared understanding of the incident and a high level of trust between responding organisations, both of which are effortful to achieve and difficult to support with current communications systems. Adoption of a sociotechnical systems approach during the development process may enable future communications systems to support these important social processes. © 2011 Elsevier Ltd and The Ergonomics Society.","author":[{"dropping-particle":"","family":"McMaster","given":"Richard","non-dropping-particle":"","parse-names":false,"suffix":""},{"dropping-particle":"","family":"Baber","given":"Chris","non-dropping-particle":"","parse-names":false,"suffix":""}],"container-title":"Applied Ergonomics","id":"ITEM-1","issue":"1","issued":{"date-parts":[["2012"]]},"page":"38-47","publisher":"Elsevier Ltd","title":"Multi-agency operations: Cooperation during flooding","type":"article-journal","volume":"43"},"uris":["http://www.mendeley.com/documents/?uuid=8d1ce16d-1e6f-4dff-b47d-622ab1801073"]}],"mendeley":{"formattedCitation":"(McMaster &amp; Baber, 2012)","plainTextFormattedCitation":"(McMaster &amp; Baber, 2012)","previouslyFormattedCitation":"(McMaster &amp; Baber, 2012)"},"properties":{"noteIndex":0},"schema":"https://github.com/citation-style-language/schema/raw/master/csl-citation.json"}</w:instrText>
      </w:r>
      <w:r>
        <w:rPr>
          <w:rFonts w:cs="Calibri"/>
        </w:rPr>
        <w:fldChar w:fldCharType="separate"/>
      </w:r>
      <w:r>
        <w:rPr>
          <w:rFonts w:cs="Calibri"/>
          <w:noProof/>
        </w:rPr>
        <w:t>(McMaster &amp; Baber, 2012)</w:t>
      </w:r>
      <w:r>
        <w:rPr>
          <w:rFonts w:cs="Calibri"/>
        </w:rPr>
        <w:fldChar w:fldCharType="end"/>
      </w:r>
      <w:r>
        <w:rPr>
          <w:rFonts w:cs="Calibri"/>
        </w:rPr>
        <w:t xml:space="preserve">. </w:t>
      </w:r>
    </w:p>
    <w:p w14:paraId="22A6A1EF" w14:textId="77777777" w:rsidR="00787F73" w:rsidRDefault="00787F73" w:rsidP="00866155">
      <w:pPr>
        <w:rPr>
          <w:rFonts w:cs="Calibri"/>
        </w:rPr>
      </w:pPr>
    </w:p>
    <w:p w14:paraId="6D9F1D8C" w14:textId="77777777" w:rsidR="00787F73" w:rsidRDefault="00742FB7" w:rsidP="00866155">
      <w:r>
        <w:rPr>
          <w:rFonts w:cs="Calibri"/>
        </w:rPr>
        <w:t xml:space="preserve">There have been studies examining FRS within pre-disaster phases, but they have focused on the use of mobile phones to examine population density </w:t>
      </w:r>
      <w:r>
        <w:fldChar w:fldCharType="begin" w:fldLock="1"/>
      </w:r>
      <w:r>
        <w:rPr>
          <w:rFonts w:cs="Calibri"/>
        </w:rPr>
        <w:instrText>ADDIN CSL_CITATION {"citationItems":[{"id":"ITEM-1","itemData":{"DOI":"10.1080/10630731003597330","ISBN":"1063073100359","ISSN":"10630732","abstract":"This paper focuses on how calculating and visualizing mobile phone density would assist fire and rescue services in Helsinki, Finland. Studying the relationship between population distributions (over time) and population density hot spots can lead to better emergency preparedness and the more efficient allocation of fire and rescue services. Current data are restricted to the administrative boundaries of census data and limited in their time dimension. Data acquired from mobile phone locations have a high temporal and spatial dimension and are better suited for the purpose of showing changing population density hotspots over time. Viewing population density as a continuous surface, using kernel density estimations, and visualizing it as a ?landscape? can support the understanding of density distributions, which are of particular importance in the planning of fire and rescue services.\\nThis paper focuses on how calculating and visualizing mobile phone density would assist fire and rescue services in Helsinki, Finland. Studying the relationship between population distributions (over time) and population density hot spots can lead to better emergency preparedness and the more efficient allocation of fire and rescue services. Current data are restricted to the administrative boundaries of census data and limited in their time dimension. Data acquired from mobile phone locations have a high temporal and spatial dimension and are better suited for the purpose of showing changing population density hotspots over time. Viewing population density as a continuous surface, using kernel density estimations, and visualizing it as a ?landscape? can support the understanding of density distributions, which are of particular importance in the planning of fire and rescue services.","author":[{"dropping-particle":"","family":"Krisp","given":"Jukka M.","non-dropping-particle":"","parse-names":false,"suffix":""}],"container-title":"Journal of Urban Technology","id":"ITEM-1","issue":"1","issued":{"date-parts":[["2010"]]},"page":"61-69","title":"Planning fire and rescue services by visualizing mobile phone density","type":"article-journal","volume":"17"},"uris":["http://www.mendeley.com/documents/?uuid=0e8be45f-5ece-4ae2-b0d8-e608bf2d1430"]}],"mendeley":{"formattedCitation":"(Krisp, 2010)","plainTextFormattedCitation":"(Krisp, 2010)","previouslyFormattedCitation":"(Krisp, 2010)"},"properties":{"noteIndex":0},"schema":"https://github.com/citation-style-language/schema/raw/master/csl-citation.json"}</w:instrText>
      </w:r>
      <w:r>
        <w:rPr>
          <w:rFonts w:cs="Calibri"/>
        </w:rPr>
        <w:fldChar w:fldCharType="separate"/>
      </w:r>
      <w:r>
        <w:rPr>
          <w:rFonts w:cs="Calibri"/>
          <w:noProof/>
        </w:rPr>
        <w:t>(Krisp, 2010)</w:t>
      </w:r>
      <w:r>
        <w:rPr>
          <w:rFonts w:cs="Calibri"/>
        </w:rPr>
        <w:fldChar w:fldCharType="end"/>
      </w:r>
      <w:r>
        <w:rPr>
          <w:rFonts w:cs="Calibri"/>
        </w:rPr>
        <w:t xml:space="preserve"> or on collaborations with agencies focusing on older adults </w:t>
      </w:r>
      <w:r>
        <w:fldChar w:fldCharType="begin" w:fldLock="1"/>
      </w:r>
      <w:r w:rsidR="00974B75">
        <w:rPr>
          <w:rFonts w:cs="Calibri"/>
        </w:rPr>
        <w:instrText>ADDIN CSL_CITATION {"citationItems":[{"id":"ITEM-1","itemData":{"DOI":"10.1186/1472-6963-10-327","ISBN":"1472-6963","ISSN":"14726963","PMID":"21129185","abstract":"BACKGROUND: Older adults are at increased risk both of falling and of experiencing accidental domestic fire. In addition to advanced age, these adverse events share the risk factors of balance or mobility problems, cognitive impairment and socioeconomic deprivation. For both events, the consequences include significant injury and death, and considerable socioeconomic costs for the individual and informal carers, as well as for emergency services, health and social care agencies.Secondary prevention services for older people who have fallen or who are identifiable as being at high risk of falling include NHS Falls clinics, where a multidisciplinary team offers an individualised multifactorial targeted intervention including strength and balance exercise programmes, medication changes and home hazard modification. A similar preventative approach is employed by most Fire and Rescue Services who conduct Home Fire Safety Visits to assess and, if necessary, remedy domestic fire risk, fit free smoke alarms with instruction for use and maintenance, and plan an escape route. We propose that the similarity of population at risk, location, specific risk factors and the commonality of preventative approaches employed could offer net gains in terms of feasibility, effectiveness and acceptability if activities within these two preventative approaches were to be combined.\\n\\nMETHODS/DESIGN: This prospective proof of concept study, currently being conducted in two London boroughs, (Southwark and Lambeth) aims to reduce the incidence of both fires and falls in community-dwelling older adults. It comprises two concurrent 12-month interventions: the integration of 1) fall risk assessments into the Brigade's Home Fire Safety Visit and 2) fire risk assessments into Falls services by inviting older clinic attendees to book a Visit. Our primary objective is to examine the feasibility and effectiveness of these interventions. Furthermore, we are evaluating their acceptability and value to key stakeholders and services users.\\n\\nDISCUSSION: If our approach proves feasible and the risk assessment is both effective and acceptable, we envisage advocating a partnership model of working more broadly to fire and rescue services and health services in Britain, such that effective integration of preventative services for older people becomes routine for an ageing population.","author":[{"dropping-particle":"","family":"Lowton","given":"Karen","non-dropping-particle":"","parse-names":false,"suffix":""},{"dropping-particle":"","family":"Laybourne","given":"Anne H.","non-dropping-particle":"","parse-names":false,"suffix":""},{"dropping-particle":"","family":"Whiting","given":"David G.","non-dropping-particle":"","parse-names":false,"suffix":""},{"dropping-particle":"","family":"Martin","given":"Finbarr C.","non-dropping-particle":"","parse-names":false,"suffix":""}],"container-title":"BMC Health Services Research","id":"ITEM-1","issued":{"date-parts":[["2010"]]},"page":"327 - 336","publisher":"BioMed Central Ltd","title":"Can Fire and Rescue Services and the National Health Service work together to improve the safety and wellbeing of vulnerable older people? Design of a proof of concept study","type":"article-journal","volume":"10"},"uris":["http://www.mendeley.com/documents/?uuid=7df1ce4f-178c-400e-9b1c-c8ace50b2915"]}],"mendeley":{"formattedCitation":"(Lowton et al., 2010)","plainTextFormattedCitation":"(Lowton et al., 2010)","previouslyFormattedCitation":"(Lowton et al., 2010)"},"properties":{"noteIndex":0},"schema":"https://github.com/citation-style-language/schema/raw/master/csl-citation.json"}</w:instrText>
      </w:r>
      <w:r>
        <w:rPr>
          <w:rFonts w:cs="Calibri"/>
        </w:rPr>
        <w:fldChar w:fldCharType="separate"/>
      </w:r>
      <w:r>
        <w:rPr>
          <w:rFonts w:cs="Calibri"/>
          <w:noProof/>
        </w:rPr>
        <w:t>(Lowton et al., 2010)</w:t>
      </w:r>
      <w:r>
        <w:rPr>
          <w:rFonts w:cs="Calibri"/>
        </w:rPr>
        <w:fldChar w:fldCharType="end"/>
      </w:r>
      <w:r>
        <w:rPr>
          <w:rFonts w:cs="Calibri"/>
        </w:rPr>
        <w:t xml:space="preserve">. The closest research to this research question was a piece that examined fire prevention within Merseyside FRS, which focussed on how they are targeting their services towards individuals </w:t>
      </w:r>
      <w:r>
        <w:rPr>
          <w:rFonts w:cs="Calibri"/>
        </w:rPr>
        <w:lastRenderedPageBreak/>
        <w:t xml:space="preserve">at risk of fire, however, this thesis has not only examined fire prevention but has also examined how a FRS can communicate for resilience. </w:t>
      </w:r>
    </w:p>
    <w:p w14:paraId="0C3D67E4" w14:textId="77777777" w:rsidR="00787F73" w:rsidRDefault="00787F73" w:rsidP="00866155">
      <w:pPr>
        <w:rPr>
          <w:rFonts w:cs="Calibri"/>
        </w:rPr>
      </w:pPr>
    </w:p>
    <w:p w14:paraId="2AC75C30" w14:textId="28F4B03A" w:rsidR="00787F73" w:rsidRDefault="00742FB7" w:rsidP="00866155">
      <w:r>
        <w:rPr>
          <w:rFonts w:cs="Calibri"/>
        </w:rPr>
        <w:t xml:space="preserve">This research builds on the literature surrounding SYFR, as they have taken part in research on the Premonition project, which used an </w:t>
      </w:r>
      <w:r w:rsidR="00912954">
        <w:rPr>
          <w:rFonts w:cs="Calibri"/>
        </w:rPr>
        <w:t>A</w:t>
      </w:r>
      <w:r w:rsidR="004F7B90">
        <w:rPr>
          <w:rFonts w:cs="Calibri"/>
        </w:rPr>
        <w:t>gent</w:t>
      </w:r>
      <w:r>
        <w:rPr>
          <w:rFonts w:cs="Calibri"/>
        </w:rPr>
        <w:t>-</w:t>
      </w:r>
      <w:r w:rsidR="00912954">
        <w:rPr>
          <w:rFonts w:cs="Calibri"/>
        </w:rPr>
        <w:t>B</w:t>
      </w:r>
      <w:r w:rsidR="004F7B90">
        <w:rPr>
          <w:rFonts w:cs="Calibri"/>
        </w:rPr>
        <w:t xml:space="preserve">ased </w:t>
      </w:r>
      <w:r w:rsidR="00912954">
        <w:rPr>
          <w:rFonts w:cs="Calibri"/>
        </w:rPr>
        <w:t>M</w:t>
      </w:r>
      <w:r w:rsidR="004F7B90">
        <w:rPr>
          <w:rFonts w:cs="Calibri"/>
        </w:rPr>
        <w:t xml:space="preserve">odelling </w:t>
      </w:r>
      <w:r>
        <w:rPr>
          <w:rFonts w:cs="Calibri"/>
        </w:rPr>
        <w:t xml:space="preserve">approach to examine changing household behaviours and fire risks </w:t>
      </w:r>
      <w:r>
        <w:fldChar w:fldCharType="begin" w:fldLock="1"/>
      </w:r>
      <w:r>
        <w:rPr>
          <w:rFonts w:cs="Calibri"/>
        </w:rPr>
        <w:instrText>ADDIN CSL_CITATION {"citationItems":[{"id":"ITEM-1","itemData":{"author":[{"dropping-particle":"","family":"Breslin","given":"Dermot","non-dropping-particle":"","parse-names":false,"suffix":""},{"dropping-particle":"","family":"Burkitt","given":"Mark","non-dropping-particle":"","parse-names":false,"suffix":""},{"dropping-particle":"","family":"Dobson","given":"Stephen","non-dropping-particle":"","parse-names":false,"suffix":""},{"dropping-particle":"","family":"Romano","given":"Daniela","non-dropping-particle":"","parse-names":false,"suffix":""}],"container-title":"European Academy of Management Conference","id":"ITEM-1","issued":{"date-parts":[["2016"]]},"page":"1-16","publisher":"European Academy of Management Conference","publisher-place":"Paris","title":"Modelling Connectivity and Co-evolution : The ‘ Premonition ’ Study of Domestic Fire Risk Behaviours","type":"paper-conference"},"uris":["http://www.mendeley.com/documents/?uuid=fce27c29-fdfb-4b13-b16e-96a1be03c357"]}],"mendeley":{"formattedCitation":"(Breslin et al., 2016)","plainTextFormattedCitation":"(Breslin et al., 2016)","previouslyFormattedCitation":"(Breslin et al., 2016)"},"properties":{"noteIndex":0},"schema":"https://github.com/citation-style-language/schema/raw/master/csl-citation.json"}</w:instrText>
      </w:r>
      <w:r>
        <w:rPr>
          <w:rFonts w:cs="Calibri"/>
        </w:rPr>
        <w:fldChar w:fldCharType="separate"/>
      </w:r>
      <w:r>
        <w:rPr>
          <w:rFonts w:cs="Calibri"/>
          <w:noProof/>
        </w:rPr>
        <w:t>(Breslin et al., 2016)</w:t>
      </w:r>
      <w:r>
        <w:rPr>
          <w:rFonts w:cs="Calibri"/>
        </w:rPr>
        <w:fldChar w:fldCharType="end"/>
      </w:r>
      <w:r>
        <w:rPr>
          <w:rFonts w:cs="Calibri"/>
        </w:rPr>
        <w:t xml:space="preserve">. </w:t>
      </w:r>
      <w:r w:rsidR="00E16D30">
        <w:rPr>
          <w:rFonts w:cs="Calibri"/>
        </w:rPr>
        <w:t>While</w:t>
      </w:r>
      <w:r>
        <w:rPr>
          <w:rFonts w:cs="Calibri"/>
        </w:rPr>
        <w:t xml:space="preserve"> that study examined risk within South Yorkshire, it focused on social change, rather than the use of th</w:t>
      </w:r>
      <w:r w:rsidR="00BC0904">
        <w:rPr>
          <w:rFonts w:cs="Calibri"/>
        </w:rPr>
        <w:t>e</w:t>
      </w:r>
      <w:r>
        <w:rPr>
          <w:rFonts w:cs="Calibri"/>
        </w:rPr>
        <w:t>s</w:t>
      </w:r>
      <w:r w:rsidR="00BC0904">
        <w:rPr>
          <w:rFonts w:cs="Calibri"/>
        </w:rPr>
        <w:t>e</w:t>
      </w:r>
      <w:r>
        <w:rPr>
          <w:rFonts w:cs="Calibri"/>
        </w:rPr>
        <w:t xml:space="preserve"> </w:t>
      </w:r>
      <w:r w:rsidR="00500023">
        <w:rPr>
          <w:rFonts w:cs="Calibri"/>
        </w:rPr>
        <w:t>findings</w:t>
      </w:r>
      <w:r>
        <w:rPr>
          <w:rFonts w:cs="Calibri"/>
        </w:rPr>
        <w:t xml:space="preserve"> within an operational context. It also focused on quantitative measures, whereas this PhD uses a largely qualitative approach. Therefore, this thesis can be combined with existing research to further understand the links between SYFR’s work and behaviour change. </w:t>
      </w:r>
    </w:p>
    <w:p w14:paraId="3D28666B" w14:textId="77777777" w:rsidR="00787F73" w:rsidRDefault="00787F73" w:rsidP="00866155">
      <w:pPr>
        <w:rPr>
          <w:rFonts w:cs="Calibri"/>
        </w:rPr>
      </w:pPr>
    </w:p>
    <w:p w14:paraId="51EDED90" w14:textId="77777777" w:rsidR="00787F73" w:rsidRDefault="00742FB7" w:rsidP="00866155">
      <w:pPr>
        <w:pStyle w:val="Heading2"/>
      </w:pPr>
      <w:bookmarkStart w:id="722" w:name="_Toc153554351"/>
      <w:bookmarkStart w:id="723" w:name="_Toc151994223"/>
      <w:bookmarkStart w:id="724" w:name="_Toc151994198"/>
      <w:bookmarkStart w:id="725" w:name="_Toc157970997"/>
      <w:bookmarkStart w:id="726" w:name="_Toc157970782"/>
      <w:bookmarkStart w:id="727" w:name="_Toc193367233"/>
      <w:r>
        <w:t xml:space="preserve">4.2: How do SYFR discuss and incorporate </w:t>
      </w:r>
      <w:r>
        <w:rPr>
          <w:i/>
          <w:iCs/>
        </w:rPr>
        <w:t xml:space="preserve">resilience </w:t>
      </w:r>
      <w:r>
        <w:t>into their operations</w:t>
      </w:r>
      <w:bookmarkEnd w:id="722"/>
      <w:bookmarkEnd w:id="723"/>
      <w:bookmarkEnd w:id="724"/>
      <w:r>
        <w:t>?</w:t>
      </w:r>
      <w:bookmarkEnd w:id="725"/>
      <w:bookmarkEnd w:id="726"/>
      <w:bookmarkEnd w:id="727"/>
    </w:p>
    <w:p w14:paraId="7AFA9DD2" w14:textId="4E197A89" w:rsidR="00B97CA3" w:rsidRDefault="00742FB7" w:rsidP="00866155">
      <w:pPr>
        <w:rPr>
          <w:rFonts w:cs="Calibri"/>
        </w:rPr>
      </w:pPr>
      <w:r>
        <w:rPr>
          <w:rFonts w:cs="Calibri"/>
        </w:rPr>
        <w:t>This project was created and designed in collaboration with SYFR, and from the outset focused on community resilience, indicating that SYFR wanted to explore this phenomenon. This placed an importance on understanding how SYFR view and discuss resilience, as this would impact how they communicate and support the resilience of the South Yorkshire community.</w:t>
      </w:r>
    </w:p>
    <w:p w14:paraId="49728B37" w14:textId="77777777" w:rsidR="00B97CA3" w:rsidRDefault="00B97CA3" w:rsidP="00866155"/>
    <w:p w14:paraId="375DF6A4" w14:textId="427EAEF7" w:rsidR="00787F73" w:rsidRDefault="00742FB7" w:rsidP="0013548C">
      <w:r>
        <w:rPr>
          <w:rFonts w:cs="Calibri"/>
        </w:rPr>
        <w:t xml:space="preserve">Discussions with various team members in SYFR suggested that </w:t>
      </w:r>
      <w:r w:rsidR="00E16D30">
        <w:rPr>
          <w:rFonts w:cs="Calibri"/>
        </w:rPr>
        <w:t xml:space="preserve">while </w:t>
      </w:r>
      <w:r>
        <w:rPr>
          <w:rFonts w:cs="Calibri"/>
        </w:rPr>
        <w:t xml:space="preserve">this project was designed with SYFR to focus on community resilience, their operational language and approach focused more on the institutional drivers of prevention and reduction. This created a challenge for this research regarding whether examining resilience was an appropriate basis of analysis; this will be discussed in detail at the end of this section. </w:t>
      </w:r>
    </w:p>
    <w:p w14:paraId="2ACBB7CA" w14:textId="77777777" w:rsidR="00787F73" w:rsidRDefault="00787F73" w:rsidP="00866155">
      <w:pPr>
        <w:rPr>
          <w:rFonts w:cs="Calibri"/>
        </w:rPr>
      </w:pPr>
    </w:p>
    <w:p w14:paraId="64567B6D" w14:textId="77777777" w:rsidR="00787F73" w:rsidRDefault="00742FB7" w:rsidP="00866155">
      <w:r>
        <w:rPr>
          <w:rFonts w:cs="Calibri"/>
        </w:rPr>
        <w:t xml:space="preserve">To explore how SYFR discuss and use resilience, I spoke to team members from the Business Continuity and Resilience team, as well as the Communications team. In my interview with an Emergency Planning Officer (EPO), we discussed their role within the Emergency Planning and </w:t>
      </w:r>
      <w:bookmarkStart w:id="728" w:name="_Hlk155711910"/>
      <w:r>
        <w:rPr>
          <w:rFonts w:cs="Calibri"/>
        </w:rPr>
        <w:t>Resilience team at SYFR and whether they had a specific definition of resilience, they acknowledged it is a contested topic:</w:t>
      </w:r>
    </w:p>
    <w:p w14:paraId="64C9E388" w14:textId="77777777" w:rsidR="00787F73" w:rsidRDefault="00742FB7" w:rsidP="00866155">
      <w:pPr>
        <w:spacing w:before="200"/>
        <w:ind w:left="720" w:right="864"/>
      </w:pPr>
      <w:r>
        <w:rPr>
          <w:rStyle w:val="QuoteChar"/>
          <w:rFonts w:cs="Calibri"/>
        </w:rPr>
        <w:lastRenderedPageBreak/>
        <w:t>“I don’t think we do, to be fair. I don’t know (…) a definitions of resilience book. There are 365 different definitions in there (…) The two main things that we’d look at is business resilience and personal resilience. They’re always intertwined. Our Business Continuity plans might be good, but they’re only as good as the people that know how to do things with them. You’ve got to have people who are resilient to be able to implement the other plans as well. I don’t think we work to any one particular thing at the moment.”</w:t>
      </w:r>
      <w:r>
        <w:rPr>
          <w:rFonts w:cs="Calibri"/>
          <w:i/>
        </w:rPr>
        <w:t xml:space="preserve"> </w:t>
      </w:r>
      <w:r>
        <w:rPr>
          <w:rFonts w:cs="Calibri"/>
        </w:rPr>
        <w:t>(EPO</w:t>
      </w:r>
      <w:r w:rsidR="006A7A2E">
        <w:rPr>
          <w:rFonts w:cs="Calibri"/>
        </w:rPr>
        <w:t xml:space="preserve"> interview,</w:t>
      </w:r>
      <w:r>
        <w:rPr>
          <w:rFonts w:cs="Calibri"/>
        </w:rPr>
        <w:t xml:space="preserve"> – 10.12.20)</w:t>
      </w:r>
      <w:bookmarkEnd w:id="728"/>
    </w:p>
    <w:p w14:paraId="302AB791" w14:textId="77777777" w:rsidR="00787F73" w:rsidRDefault="00742FB7" w:rsidP="00B97CA3">
      <w:pPr>
        <w:spacing w:before="200"/>
        <w:ind w:right="96"/>
        <w:rPr>
          <w:rFonts w:cs="Calibri"/>
        </w:rPr>
      </w:pPr>
      <w:r>
        <w:rPr>
          <w:rFonts w:cs="Calibri"/>
        </w:rPr>
        <w:t xml:space="preserve">As explored in the literature review, resilience is a highly contested term, with a wide variety of literature focusing on different characteristics of communities and whether they are resilient. The EPO mentions a book which has a variety of definitions; however, they did not delve into any of the definitions to indicate what elements they focussed on when they examined resilience, other than mentioning the role of individual resilience. The wider resilience literature examines these elements, as explored in Chapter 2, with Patel et al.’s (2017) systematic literature review suggesting 9 key elements and 19 sub-elements. </w:t>
      </w:r>
    </w:p>
    <w:p w14:paraId="01192511" w14:textId="77777777" w:rsidR="00B97CA3" w:rsidRDefault="00B97CA3" w:rsidP="00A0151B">
      <w:pPr>
        <w:ind w:right="96"/>
        <w:rPr>
          <w:rFonts w:cs="Calibri"/>
        </w:rPr>
      </w:pPr>
    </w:p>
    <w:p w14:paraId="71D10360" w14:textId="352DB396" w:rsidR="00787F73" w:rsidRDefault="00E16D30" w:rsidP="00A0151B">
      <w:pPr>
        <w:spacing w:before="200"/>
        <w:ind w:right="96"/>
      </w:pPr>
      <w:r>
        <w:rPr>
          <w:rFonts w:cs="Calibri"/>
        </w:rPr>
        <w:t xml:space="preserve">While </w:t>
      </w:r>
      <w:r w:rsidR="00742FB7">
        <w:rPr>
          <w:rFonts w:cs="Calibri"/>
        </w:rPr>
        <w:t xml:space="preserve">the EPO was unable to give a specific definition of resilience, they mentioned the recent introduction of an International Standard of resilience and mentioned </w:t>
      </w:r>
      <w:hyperlink r:id="rId24">
        <w:r w:rsidR="00742FB7">
          <w:rPr>
            <w:rFonts w:cs="Calibri"/>
          </w:rPr>
          <w:t>ISO 22325</w:t>
        </w:r>
      </w:hyperlink>
      <w:r w:rsidR="00742FB7">
        <w:rPr>
          <w:rFonts w:cs="Calibri"/>
        </w:rPr>
        <w:t xml:space="preserve">, which is the international standard for security and resilience. It is used in emergency management and was published in 2016. This international standard was created by the International Organisation for Standardisation (ISO), an international non-governmental organisation (NGO), and indicates a normative institutional driver </w:t>
      </w:r>
      <w:r w:rsidR="00742FB7">
        <w:fldChar w:fldCharType="begin" w:fldLock="1"/>
      </w:r>
      <w:r w:rsidR="00974B75">
        <w:rPr>
          <w:rFonts w:cs="Calibri"/>
        </w:rPr>
        <w:instrText>ADDIN CSL_CITATION {"citationItems":[{"id":"ITEM-1","itemData":{"DOI":"10.1111/j.1540-6520.2010.00390.x","ISBN":"10422587","ISSN":"10422587","PMID":"49206381","abstract":"Institutional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Practice","id":"ITEM-1","issue":"3","issued":{"date-parts":[["2010"]]},"page":"421-440","title":"Institutional theory and entrepreneurship: Where are we now and where do we need to move in the future?","type":"article-journal","volume":"34"},"uris":["http://www.mendeley.com/documents/?uuid=e36ff41e-f87e-4ac2-ad15-cf1983b501ae"]},{"id":"ITEM-2","itemData":{"DOI":"10.1111/joms.12070","ISBN":"7804923325","ISSN":"14676486","abstract":"In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Studies","id":"ITEM-2","issue":"7","issued":{"date-parts":[["2014"]]},"page":"1206-1220","title":"Rethinking institutions and organizations","type":"article-journal","volume":"51"},"uris":["http://www.mendeley.com/documents/?uuid=0af2a191-4e5d-48b8-8f8d-ce7200539d20"]},{"id":"ITEM-3","itemData":{"author":[{"dropping-particle":"","family":"Scott","given":"W. R.","non-dropping-particle":"","parse-names":false,"suffix":""}],"chapter-number":"22","container-title":"Great Minds in Management: The Process of Theory Development","editor":[{"dropping-particle":"","family":"Smith","given":"Ken G.","non-dropping-particle":"","parse-names":false,"suffix":""},{"dropping-particle":"","family":"Hitt","given":"Michael A.","non-dropping-particle":"","parse-names":false,"suffix":""}],"id":"ITEM-3","issued":{"date-parts":[["2005"]]},"page":"460-484","publisher":"Oxford University Press","publisher-place":"Oxford","title":"Institutional theory: Contributing to a theoretical research program","type":"chapter"},"uris":["http://www.mendeley.com/documents/?uuid=8de1c0a6-4550-442d-8529-9841b65f3d92"]},{"id":"ITEM-4","itemData":{"DOI":"10.1007/s11186-008-9067-z","ISSN":"03042421","abstract":"I summarize seven general trends in the institutional analysis of organizations which I view as constructive and provide evidence of progress in the development of this perspective. I emphasize corrections in early theoretical limitations as well as improvements in the use of empirical indicators and an expansion of the types of organizations included and issues addressed by institutional theorists.","author":[{"dropping-particle":"","family":"Scott","given":"W. Richard","non-dropping-particle":"","parse-names":false,"suffix":""}],"container-title":"Theory and Society","id":"ITEM-4","issued":{"date-parts":[["2008"]]},"page":"427-442","title":"Approaching adulthood: The maturing of institutional theory","type":"article-journal","volume":"37"},"uris":["http://www.mendeley.com/documents/?uuid=c1be5aba-eef5-4103-a9c4-66512b0bd310"]},{"id":"ITEM-5","itemData":{"DOI":"10.1080/14697010903549408","ISSN":"14697017","abstract":"The study of institutions has a long history, but recent efforts stress the significance of symbolic elements in shaping social life. Although institutional processes and structures operate from the most micro interpersonal level to the most macro transocietal level, most research during the past few decades has concentrated on higher levels, such as the organization field. Institutional scholarship has been strongly influenced by structuration theory and, as a consequence, has given increasing attention to processes of institutional reinforcement and change. Directions of development showing promise include attention to intermediaries in fields, social movement processes, instituted modes of change, and transnational institution-building. © 2010 Taylor &amp; Francis.","author":[{"dropping-particle":"","family":"Scott","given":"W. Richard","non-dropping-particle":"","parse-names":false,"suffix":""}],"container-title":"Journal of Change Management","id":"ITEM-5","issue":"1","issued":{"date-parts":[["2010"]]},"page":"5-21","title":"Reflections: The past and future of research on institutions and institutional change","type":"article-journal","volume":"10"},"uris":["http://www.mendeley.com/documents/?uuid=eb652583-f09f-4ed8-9fe9-289e6d4508a2"]}],"mendeley":{"formattedCitation":"(Greenwood, Hinings, &amp; Whetten, 2014; Bruton, Ahlstrom, &amp; Li, 2010; Scott, 2005, 2008a, 2010b)","plainTextFormattedCitation":"(Greenwood, Hinings, &amp; Whetten, 2014; Bruton, Ahlstrom, &amp; Li, 2010; Scott, 2005, 2008a, 2010b)","previouslyFormattedCitation":"(Greenwood, Hinings, &amp; Whetten, 2014; Bruton, Ahlstrom, &amp; Li, 2010; Scott, 2005, 2008a, 2010b)"},"properties":{"noteIndex":0},"schema":"https://github.com/citation-style-language/schema/raw/master/csl-citation.json"}</w:instrText>
      </w:r>
      <w:r w:rsidR="00742FB7">
        <w:rPr>
          <w:rFonts w:cs="Calibri"/>
        </w:rPr>
        <w:fldChar w:fldCharType="separate"/>
      </w:r>
      <w:r w:rsidR="00742FB7">
        <w:rPr>
          <w:rFonts w:cs="Calibri"/>
          <w:noProof/>
        </w:rPr>
        <w:t>(Greenwood, Hinings, &amp; Whetten, 2014; Bruton, Ahlstrom, &amp; Li, 2010; Scott, 2005, 2008a, 2010b)</w:t>
      </w:r>
      <w:r w:rsidR="00742FB7">
        <w:rPr>
          <w:rFonts w:cs="Calibri"/>
        </w:rPr>
        <w:fldChar w:fldCharType="end"/>
      </w:r>
      <w:r w:rsidR="00742FB7">
        <w:rPr>
          <w:rFonts w:cs="Calibri"/>
        </w:rPr>
        <w:t>. They mentioned ISO 22325 in the interview, however, another resilience standard was released in 2019 (</w:t>
      </w:r>
      <w:hyperlink r:id="rId25">
        <w:r w:rsidR="00742FB7">
          <w:rPr>
            <w:rFonts w:cs="Calibri"/>
          </w:rPr>
          <w:t>ISO22301:2019</w:t>
        </w:r>
      </w:hyperlink>
      <w:r w:rsidR="00742FB7">
        <w:rPr>
          <w:rFonts w:cs="Calibri"/>
        </w:rPr>
        <w:t xml:space="preserve">), focusing on business continuity management systems, which was probably the standard they were referring to. Within the ISO documentation for ISO22301, there is still no definition of resilience; this could create a challenge as resilience can refer to bouncing back or bouncing forward </w:t>
      </w:r>
      <w:r w:rsidR="00742FB7">
        <w:fldChar w:fldCharType="begin" w:fldLock="1"/>
      </w:r>
      <w:r w:rsidR="00974B75">
        <w:rPr>
          <w:rFonts w:cs="Calibri"/>
        </w:rPr>
        <w:instrText>ADDIN CSL_CITATION {"citationItems":[{"id":"ITEM-1","itemData":{"DOI":"10.1007/s10464-007-9156-6","ISBN":"0091-0562 (Print)","ISSN":"00910562","PMID":"18157631","abstract":"Communities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unknowns.","author":[{"dropping-particle":"","family":"Norris","given":"Fran H.","non-dropping-particle":"","parse-names":false,"suffix":""},{"dropping-particle":"","family":"Stevens","given":"Susan P.","non-dropping-particle":"","parse-names":false,"suffix":""},{"dropping-particle":"","family":"Pfefferbaum","given":"Betty","non-dropping-particle":"","parse-names":false,"suffix":""},{"dropping-particle":"","family":"Wyche","given":"Karen F.","non-dropping-particle":"","parse-names":false,"suffix":""},{"dropping-particle":"","family":"Pfefferbaum","given":"Rose L.","non-dropping-particle":"","parse-names":false,"suffix":""}],"container-title":"American Journal of Community Psychology","id":"ITEM-1","issued":{"date-parts":[["2008"]]},"page":"127-150","title":"Community resilience as a metaphor, theory, set of capacities, and strategy for disaster readiness","type":"article-journal","volume":"41"},"uris":["http://www.mendeley.com/documents/?uuid=ce971e9c-40de-4c41-9d71-39c5bbe61334"]}],"mendeley":{"formattedCitation":"(Norris et al., 2008)","plainTextFormattedCitation":"(Norris et al., 2008)","previouslyFormattedCitation":"(Norris et al., 2008)"},"properties":{"noteIndex":0},"schema":"https://github.com/citation-style-language/schema/raw/master/csl-citation.json"}</w:instrText>
      </w:r>
      <w:r w:rsidR="00742FB7">
        <w:rPr>
          <w:rFonts w:cs="Calibri"/>
        </w:rPr>
        <w:fldChar w:fldCharType="separate"/>
      </w:r>
      <w:r w:rsidR="00742FB7">
        <w:rPr>
          <w:rFonts w:cs="Calibri"/>
          <w:noProof/>
        </w:rPr>
        <w:t>(Norris et al., 2008)</w:t>
      </w:r>
      <w:r w:rsidR="00742FB7">
        <w:rPr>
          <w:rFonts w:cs="Calibri"/>
        </w:rPr>
        <w:fldChar w:fldCharType="end"/>
      </w:r>
      <w:r w:rsidR="00742FB7">
        <w:rPr>
          <w:rFonts w:cs="Calibri"/>
        </w:rPr>
        <w:t xml:space="preserve">. This was important when discussing business continuity or any community engagement and resilience, as they are different paths of returning to what was or transforming into something new. When </w:t>
      </w:r>
      <w:r w:rsidR="00742FB7">
        <w:rPr>
          <w:rFonts w:cs="Calibri"/>
        </w:rPr>
        <w:lastRenderedPageBreak/>
        <w:t>discussing resilience within the Communications team and whether it is incorporated into the external communication strategy, they explained they use different terminology:</w:t>
      </w:r>
    </w:p>
    <w:p w14:paraId="7A7B6193" w14:textId="77777777" w:rsidR="00787F73" w:rsidRDefault="00742FB7" w:rsidP="00866155">
      <w:pPr>
        <w:spacing w:before="200"/>
        <w:ind w:left="720" w:right="864"/>
      </w:pPr>
      <w:r>
        <w:rPr>
          <w:rStyle w:val="QuoteChar"/>
          <w:rFonts w:cs="Calibri"/>
        </w:rPr>
        <w:t>“I would say that it’s there, but we wouldn’t necessarily think about it those terms. I guess all the prevention work we do in my team, whether that’s [name removed] campaigns or the safety messages we give out every day (…) that prevention work we do to raise awareness of fire safety and other safety messages, builds in to create in more resilient communities, we just wouldn’t use that terminology really.”</w:t>
      </w:r>
      <w:r>
        <w:rPr>
          <w:rFonts w:cs="Calibri"/>
          <w:i/>
        </w:rPr>
        <w:t xml:space="preserve"> </w:t>
      </w:r>
      <w:r>
        <w:rPr>
          <w:rFonts w:cs="Calibri"/>
        </w:rPr>
        <w:t xml:space="preserve">(SM </w:t>
      </w:r>
      <w:r w:rsidR="006A7A2E">
        <w:rPr>
          <w:rFonts w:cs="Calibri"/>
        </w:rPr>
        <w:t xml:space="preserve">interview, </w:t>
      </w:r>
      <w:r>
        <w:rPr>
          <w:rFonts w:cs="Calibri"/>
        </w:rPr>
        <w:t>07.08.19)</w:t>
      </w:r>
    </w:p>
    <w:p w14:paraId="6A5B2D3A" w14:textId="77777777" w:rsidR="00787F73" w:rsidRDefault="00742FB7" w:rsidP="00866155">
      <w:pPr>
        <w:spacing w:before="200"/>
        <w:ind w:right="-46"/>
        <w:rPr>
          <w:rFonts w:cs="Calibri"/>
        </w:rPr>
      </w:pPr>
      <w:r>
        <w:rPr>
          <w:rFonts w:cs="Calibri"/>
        </w:rPr>
        <w:t xml:space="preserve">The use of the word </w:t>
      </w:r>
      <w:r>
        <w:rPr>
          <w:rFonts w:cs="Calibri"/>
          <w:i/>
        </w:rPr>
        <w:t>prevention</w:t>
      </w:r>
      <w:r>
        <w:rPr>
          <w:rFonts w:cs="Calibri"/>
        </w:rPr>
        <w:t xml:space="preserve"> relates to the statutory obligations of the FRS under the Fire and Rescue Act of 2004, placing an obligation on the team to prevent and reduce fires. This institutional driver from central government has influenced the terminology within the department; they frame resilience within the confines of prevention, with resilience being an outcome from prevention, not an explicit aim of their communication. This quote shows that the Communications team did not often use the term resilience but structured their messages with resilience in mind, perhaps due to the ambiguity of the term resilience (as discussed in the literature review).</w:t>
      </w:r>
    </w:p>
    <w:p w14:paraId="38B763C2" w14:textId="77777777" w:rsidR="00B97CA3" w:rsidRDefault="00B97CA3" w:rsidP="00A0151B">
      <w:pPr>
        <w:ind w:right="-46"/>
        <w:rPr>
          <w:rFonts w:cs="Calibri"/>
        </w:rPr>
      </w:pPr>
    </w:p>
    <w:p w14:paraId="46E2E868" w14:textId="3DBADCB8" w:rsidR="00787F73" w:rsidRDefault="00742FB7" w:rsidP="00866155">
      <w:pPr>
        <w:spacing w:before="200"/>
        <w:ind w:right="-46"/>
      </w:pPr>
      <w:r>
        <w:rPr>
          <w:rFonts w:cs="Calibri"/>
        </w:rPr>
        <w:t xml:space="preserve">The mention of the campaigns and </w:t>
      </w:r>
      <w:r>
        <w:rPr>
          <w:rFonts w:cs="Calibri"/>
          <w:i/>
        </w:rPr>
        <w:t>safety messages</w:t>
      </w:r>
      <w:r>
        <w:rPr>
          <w:rFonts w:cs="Calibri"/>
        </w:rPr>
        <w:t xml:space="preserve"> suggested that there was an element of educating the public about risk and how to prevent fire. This implies the use of the critiqued </w:t>
      </w:r>
      <w:r w:rsidR="00912954">
        <w:rPr>
          <w:rFonts w:cs="Calibri"/>
        </w:rPr>
        <w:t>D</w:t>
      </w:r>
      <w:r w:rsidR="004F7B90">
        <w:rPr>
          <w:rFonts w:cs="Calibri"/>
        </w:rPr>
        <w:t xml:space="preserve">eficit </w:t>
      </w:r>
      <w:r w:rsidR="00912954">
        <w:rPr>
          <w:rFonts w:cs="Calibri"/>
        </w:rPr>
        <w:t>M</w:t>
      </w:r>
      <w:r w:rsidR="004F7B90">
        <w:rPr>
          <w:rFonts w:cs="Calibri"/>
        </w:rPr>
        <w:t>odel</w:t>
      </w:r>
      <w:r>
        <w:rPr>
          <w:rFonts w:cs="Calibri"/>
        </w:rPr>
        <w:t>, focusing on providing the information and expecting the individuals to act (Abunyewah et al., 2018; Cook &amp; Melo Zurita, 2019; Krause et al., 2020). When discussing the creation of campaigns and whether resilience was a factor, I was told that resilience was the remit of the Local Resilience Forum (LRF):</w:t>
      </w:r>
    </w:p>
    <w:p w14:paraId="09FAAB8F" w14:textId="77777777" w:rsidR="00787F73" w:rsidRDefault="00742FB7" w:rsidP="00866155">
      <w:pPr>
        <w:spacing w:before="200"/>
        <w:ind w:left="720" w:right="864"/>
      </w:pPr>
      <w:r>
        <w:rPr>
          <w:rStyle w:val="QuoteChar"/>
          <w:rFonts w:cs="Calibri"/>
        </w:rPr>
        <w:t xml:space="preserve">“Do we think about a campaign around community resilience? Historically, we’ve not. In the last campaign it never really came to mind. (…) Obviously, our issues generally stay the same, cooking fires, electrical fires. Water safety (…) Summer fires, older people, vulnerable groups. (…) The local resilience forum tends to do a lot of that kind of stuff, albeit they don’t do any campaigning with the public around it. They’re a bit of a closed shop </w:t>
      </w:r>
      <w:r>
        <w:rPr>
          <w:rStyle w:val="QuoteChar"/>
          <w:rFonts w:cs="Calibri"/>
        </w:rPr>
        <w:lastRenderedPageBreak/>
        <w:t xml:space="preserve">kind of thing. It’s more emergency planning. But it’s not something we’ve really looked at or thought about how that would look, yet.” </w:t>
      </w:r>
      <w:r>
        <w:rPr>
          <w:rFonts w:cs="Calibri"/>
        </w:rPr>
        <w:t>(CM</w:t>
      </w:r>
      <w:r w:rsidR="006A7A2E">
        <w:rPr>
          <w:rFonts w:cs="Calibri"/>
        </w:rPr>
        <w:t xml:space="preserve"> interview,</w:t>
      </w:r>
      <w:r>
        <w:rPr>
          <w:rFonts w:cs="Calibri"/>
        </w:rPr>
        <w:t xml:space="preserve"> 07.08.19)</w:t>
      </w:r>
    </w:p>
    <w:p w14:paraId="70945541" w14:textId="084BEB66" w:rsidR="00787F73" w:rsidRDefault="00742FB7" w:rsidP="00A0151B">
      <w:pPr>
        <w:ind w:right="-46"/>
        <w:rPr>
          <w:rFonts w:cs="Calibri"/>
        </w:rPr>
      </w:pPr>
      <w:r>
        <w:rPr>
          <w:rFonts w:cs="Calibri"/>
        </w:rPr>
        <w:t>Mirroring the sentiments of the SM, the CM viewed building resilience as a separate issue to their current work within risk prevention (cooking fires, electrical fires, and summer fires) and suggested that resilience is the responsibility of other organisations, such as the Local Resilience Forum (LRF</w:t>
      </w:r>
      <w:bookmarkStart w:id="729" w:name="_Hlk155712834"/>
      <w:r>
        <w:rPr>
          <w:rFonts w:cs="Calibri"/>
        </w:rPr>
        <w:t xml:space="preserve">). This suggests that individuals within SYFR were not focusing on the building of resilience, and instead they were appearing to expect other organisations and groups of organisations to be doing it. This indicates an internal assessment of organisational responsibility, and whether another agency or group of organisations is responsible for community resilience. Within the institutional literature, this sense of responsibility suggested the role of institutional legitimacy </w:t>
      </w:r>
      <w:r>
        <w:fldChar w:fldCharType="begin" w:fldLock="1"/>
      </w:r>
      <w:r>
        <w:rPr>
          <w:rFonts w:cs="Calibri"/>
        </w:rPr>
        <w:instrText>ADDIN CSL_CITATION {"citationItems":[{"id":"ITEM-1","itemData":{"ISBN":"1526415054","author":[{"dropping-particle":"","family":"Greenwood","given":"Royston","non-dropping-particle":"","parse-names":false,"suffix":""},{"dropping-particle":"","family":"Oliver","given":"Christine","non-dropping-particle":"","parse-names":false,"suffix":""},{"dropping-particle":"","family":"Sahlin","given":"Kerstin","non-dropping-particle":"","parse-names":false,"suffix":""},{"dropping-particle":"","family":"Suddaby","given":"Roy","non-dropping-particle":"","parse-names":false,"suffix":""}],"chapter-number":"1","container-title":"The Sage handbook of Organizational Institutionalism","editor":[{"dropping-particle":"","family":"Greenwood","given":"Royston","non-dropping-particle":"","parse-names":false,"suffix":""},{"dropping-particle":"","family":"Oliver","given":"Christine","non-dropping-particle":"","parse-names":false,"suffix":""},{"dropping-particle":"","family":"Lawrence","given":"Thomas B","non-dropping-particle":"","parse-names":false,"suffix":""},{"dropping-particle":"","family":"Meyer","given":"Renate E","non-dropping-particle":"","parse-names":false,"suffix":""}],"id":"ITEM-1","issued":{"date-parts":[["2008"]]},"page":"1 -34","publisher":"Sage","publisher-place":"London","title":"Introduction","type":"chapter"},"uris":["http://www.mendeley.com/documents/?uuid=3fed7a46-7a1f-43ad-aae4-af5880dadba6"]},{"id":"ITEM-2","itemData":{"abstract":"To compare and contrast institutional theories used in or- ganizational analysis, the theoretical frameworks and ar- guments of leading contributors to institutional theory are reviewed and recent empirical studies using institutional arguments are examined. Both approaches reveal consid- erable variation in the types of concepts and arguments employed, and it is argued that further improvement and growth in institutional theory is dependent upon analysts dealing more explicitly with these differences. In addition, the relation between institutions and interests is explored to show that institutional features of organizational envi- ronments shape both the goals and means of actors. At- tention is called to the two primary types of actors shaping institutional environments in modern societies- the state and professional bodies-and to the way in which their interests and mode of action shape institu- tional patterns and mechanisms.","author":[{"dropping-particle":"","family":"Scott","given":"W Richard","non-dropping-particle":"","parse-names":false,"suffix":""}],"container-title":"Administrative Science Quarterly","id":"ITEM-2","issue":"4","issued":{"date-parts":[["1987"]]},"page":"493-511","title":"The Adolescence of Institutional Theory","type":"article-journal","volume":"32"},"uris":["http://www.mendeley.com/documents/?uuid=37d3c9ed-07b7-411f-adb3-1b1804691329"]}],"mendeley":{"formattedCitation":"(Greenwood et al., 2008; Scott, 1987)","plainTextFormattedCitation":"(Greenwood et al., 2008; Scott, 1987)","previouslyFormattedCitation":"(Greenwood et al., 2008; Scott, 1987)"},"properties":{"noteIndex":0},"schema":"https://github.com/citation-style-language/schema/raw/master/csl-citation.json"}</w:instrText>
      </w:r>
      <w:r>
        <w:rPr>
          <w:rFonts w:cs="Calibri"/>
        </w:rPr>
        <w:fldChar w:fldCharType="separate"/>
      </w:r>
      <w:r>
        <w:rPr>
          <w:rFonts w:eastAsia="Arial" w:cs="Calibri"/>
          <w:noProof/>
          <w:color w:val="000000"/>
        </w:rPr>
        <w:t>(Greenwood et al., 2008; Scott, 1987)</w:t>
      </w:r>
      <w:r>
        <w:rPr>
          <w:rFonts w:cs="Calibri"/>
        </w:rPr>
        <w:fldChar w:fldCharType="end"/>
      </w:r>
      <w:r>
        <w:rPr>
          <w:rFonts w:cs="Calibri"/>
        </w:rPr>
        <w:t>, and whether SYFR view they had legitimacy to communicate surrounding the building of community resilience.</w:t>
      </w:r>
      <w:bookmarkEnd w:id="729"/>
      <w:r>
        <w:rPr>
          <w:rFonts w:cs="Calibri"/>
        </w:rPr>
        <w:t xml:space="preserve"> However, </w:t>
      </w:r>
      <w:r w:rsidR="00E16D30">
        <w:rPr>
          <w:rFonts w:cs="Calibri"/>
        </w:rPr>
        <w:t xml:space="preserve">while </w:t>
      </w:r>
      <w:r>
        <w:rPr>
          <w:rFonts w:cs="Calibri"/>
        </w:rPr>
        <w:t>it is viewed as the role of the LRF, they have an obligation to warn and inform the public and conduct some risk communication</w:t>
      </w:r>
      <w:r w:rsidR="00784456">
        <w:rPr>
          <w:rFonts w:cs="Calibri"/>
        </w:rPr>
        <w:t xml:space="preserve">. There </w:t>
      </w:r>
      <w:r>
        <w:rPr>
          <w:rFonts w:cs="Calibri"/>
        </w:rPr>
        <w:t xml:space="preserve">is “no legislative duty on responders to promote community resilience” </w:t>
      </w:r>
      <w:r>
        <w:fldChar w:fldCharType="begin" w:fldLock="1"/>
      </w:r>
      <w:r>
        <w:rPr>
          <w:rFonts w:cs="Calibri"/>
        </w:rPr>
        <w:instrText>ADDIN CSL_CITATION {"citationItems":[{"id":"ITEM-1","itemData":{"author":[{"dropping-particle":"","family":"Cabinet Office","given":"","non-dropping-particle":"","parse-names":false,"suffix":""}],"container-title":"Civil Contingencies Secretariat","id":"ITEM-1","issue":"July","issued":{"date-parts":[["2013"]]},"publisher-place":"London","title":"The role of Local Resilience Forums: A reference document","type":"report"},"locator":"41","uris":["http://www.mendeley.com/documents/?uuid=4480dcc1-ac96-41b6-bd7b-fe18f0c56a1b"]}],"mendeley":{"formattedCitation":"(Cabinet Office, 2013, p. 41)","manualFormatting":" (Cabinet Office, 2013, p. 41)","plainTextFormattedCitation":"(Cabinet Office, 2013, p. 41)","previouslyFormattedCitation":"(Cabinet Office, 2013, p. 41)"},"properties":{"noteIndex":0},"schema":"https://github.com/citation-style-language/schema/raw/master/csl-citation.json"}</w:instrText>
      </w:r>
      <w:r>
        <w:rPr>
          <w:rFonts w:cs="Calibri"/>
        </w:rPr>
        <w:fldChar w:fldCharType="separate"/>
      </w:r>
      <w:r>
        <w:rPr>
          <w:rFonts w:cs="Calibri"/>
          <w:noProof/>
        </w:rPr>
        <w:t xml:space="preserve"> (Cabinet Office, 2013, p. 41)</w:t>
      </w:r>
      <w:r>
        <w:rPr>
          <w:rFonts w:cs="Calibri"/>
        </w:rPr>
        <w:fldChar w:fldCharType="end"/>
      </w:r>
      <w:r>
        <w:rPr>
          <w:rFonts w:cs="Calibri"/>
        </w:rPr>
        <w:t>, which meant that emergency and disaster agencies within the UK are not under any obligation to support communities develop their resilience. This highlighted a gap in the disaster management policy of the UK.</w:t>
      </w:r>
    </w:p>
    <w:p w14:paraId="32932CF4" w14:textId="77777777" w:rsidR="00B97CA3" w:rsidRDefault="00B97CA3" w:rsidP="00A0151B">
      <w:pPr>
        <w:ind w:right="-46"/>
        <w:rPr>
          <w:rFonts w:cs="Calibri"/>
        </w:rPr>
      </w:pPr>
    </w:p>
    <w:p w14:paraId="05978352" w14:textId="7F66F23E" w:rsidR="00787F73" w:rsidRDefault="00742FB7" w:rsidP="00A0151B">
      <w:pPr>
        <w:ind w:right="-46"/>
        <w:rPr>
          <w:rFonts w:cs="Calibri"/>
        </w:rPr>
      </w:pPr>
      <w:r>
        <w:rPr>
          <w:rFonts w:cs="Calibri"/>
        </w:rPr>
        <w:t xml:space="preserve">The CM mentioned that their risks stay the same, mentioning cooking fires, and similar groups of people, such as older adults. This implies that SYFR’s communication plan was focused on emergencies which are expected to happen in the immediate </w:t>
      </w:r>
      <w:r w:rsidRPr="00CA071E">
        <w:rPr>
          <w:rFonts w:cs="Calibri"/>
        </w:rPr>
        <w:t>future</w:t>
      </w:r>
      <w:r w:rsidR="00CA071E">
        <w:rPr>
          <w:rFonts w:cs="Calibri"/>
        </w:rPr>
        <w:t xml:space="preserve">, predominantly at a household level; this </w:t>
      </w:r>
      <w:r w:rsidRPr="00CA071E">
        <w:rPr>
          <w:rFonts w:cs="Calibri"/>
        </w:rPr>
        <w:t>is their</w:t>
      </w:r>
      <w:r>
        <w:rPr>
          <w:rFonts w:cs="Calibri"/>
        </w:rPr>
        <w:t xml:space="preserve"> statutory responsibility and</w:t>
      </w:r>
      <w:r w:rsidR="00CA071E">
        <w:rPr>
          <w:rFonts w:cs="Calibri"/>
        </w:rPr>
        <w:t xml:space="preserve"> is therefore an</w:t>
      </w:r>
      <w:r>
        <w:rPr>
          <w:rFonts w:cs="Calibri"/>
        </w:rPr>
        <w:t xml:space="preserve"> institutional regulative driver; however, there was not a focus on longer term emergencies and disasters such as climate change. The mention of the LRF and emergency planning also indicated that the LRF focused on the symptoms of issues (flooding, droughts, and fires), without looking at what locally can be done to mitigate long term issues that may be causing these disasters, such as climate change. </w:t>
      </w:r>
      <w:bookmarkStart w:id="730" w:name="_Hlk155712918"/>
      <w:r>
        <w:rPr>
          <w:rFonts w:cs="Calibri"/>
        </w:rPr>
        <w:t>This highlights a challenge for building community resilience, with the LRF not communicating or engaging with the community about all risks in their area</w:t>
      </w:r>
      <w:r w:rsidR="00784456">
        <w:rPr>
          <w:rFonts w:cs="Calibri"/>
        </w:rPr>
        <w:t>.</w:t>
      </w:r>
      <w:r>
        <w:rPr>
          <w:rFonts w:cs="Calibri"/>
        </w:rPr>
        <w:t xml:space="preserve"> </w:t>
      </w:r>
      <w:r w:rsidR="00784456">
        <w:rPr>
          <w:rFonts w:cs="Calibri"/>
        </w:rPr>
        <w:t>This</w:t>
      </w:r>
      <w:r>
        <w:rPr>
          <w:rFonts w:cs="Calibri"/>
        </w:rPr>
        <w:t xml:space="preserve"> suggests they had not developed the linking social capital that the literature </w:t>
      </w:r>
      <w:r>
        <w:rPr>
          <w:rFonts w:cs="Calibri"/>
        </w:rPr>
        <w:lastRenderedPageBreak/>
        <w:t xml:space="preserve">suggests organisations need to develop prior to disasters to create proactive resilience </w:t>
      </w:r>
      <w:r>
        <w:fldChar w:fldCharType="begin" w:fldLock="1"/>
      </w:r>
      <w:r>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capital","type":"article-journal","volume":"51"},"uris":["http://www.mendeley.com/documents/?uuid=811839c2-2eda-4cbc-80b5-6bfc7c4a8392"]},{"id":"ITEM-2","itemData":{"author":[{"dropping-particle":"","family":"Ludin","given":"Salizar M.","non-dropping-particle":"","parse-names":false,"suffix":""},{"dropping-particle":"","family":"Rohaizat","given":"Munirah","non-dropping-particle":"","parse-names":false,"suffix":""},{"dropping-particle":"","family":"Arbon","given":"Paul","non-dropping-particle":"","parse-names":false,"suffix":""}],"container-title":"Health and Social Care in the Community","id":"ITEM-2","issue":"3","issued":{"date-parts":[["2019"]]},"page":"621 - 631","title":"The association between social cohesion and community disaster resilience: A cross‐sectional study","type":"article-journal","volume":"27"},"uris":["http://www.mendeley.com/documents/?uuid=818d7348-40a6-4380-acb5-bd2c514990f2"]}],"mendeley":{"formattedCitation":"(Carmen et al., 2022; Ludin, Rohaizat, &amp; Arbon, 2019)","plainTextFormattedCitation":"(Carmen et al., 2022; Ludin, Rohaizat, &amp; Arbon, 2019)","previouslyFormattedCitation":"(Carmen et al., 2022; Ludin, Rohaizat, &amp; Arbon, 2019)"},"properties":{"noteIndex":0},"schema":"https://github.com/citation-style-language/schema/raw/master/csl-citation.json"}</w:instrText>
      </w:r>
      <w:r>
        <w:rPr>
          <w:rFonts w:cs="Calibri"/>
        </w:rPr>
        <w:fldChar w:fldCharType="separate"/>
      </w:r>
      <w:r>
        <w:rPr>
          <w:rFonts w:cs="Calibri"/>
          <w:noProof/>
        </w:rPr>
        <w:t>(Carmen et al., 2022; Ludin, Rohaizat, &amp; Arbon, 2019)</w:t>
      </w:r>
      <w:r>
        <w:rPr>
          <w:rFonts w:cs="Calibri"/>
        </w:rPr>
        <w:fldChar w:fldCharType="end"/>
      </w:r>
      <w:bookmarkEnd w:id="730"/>
      <w:r>
        <w:rPr>
          <w:rFonts w:cs="Calibri"/>
        </w:rPr>
        <w:t>.</w:t>
      </w:r>
    </w:p>
    <w:p w14:paraId="014020B9" w14:textId="77777777" w:rsidR="00B97CA3" w:rsidRDefault="00B97CA3" w:rsidP="00A0151B">
      <w:pPr>
        <w:ind w:right="-46"/>
        <w:rPr>
          <w:rFonts w:cs="Calibri"/>
        </w:rPr>
      </w:pPr>
    </w:p>
    <w:p w14:paraId="20959910" w14:textId="061B979C" w:rsidR="00787F73" w:rsidRDefault="00742FB7" w:rsidP="00A0151B">
      <w:pPr>
        <w:ind w:right="-46"/>
      </w:pPr>
      <w:bookmarkStart w:id="731" w:name="_Hlk155712954"/>
      <w:r>
        <w:rPr>
          <w:rFonts w:cs="Calibri"/>
        </w:rPr>
        <w:t xml:space="preserve">This section indicates that not only did SYFR have no organisational working definition of resilience, they also did not work explicitly towards community resilience; instead, they viewed resilience as an outcome of their prevention work. </w:t>
      </w:r>
      <w:bookmarkStart w:id="732" w:name="_Hlk155713010"/>
      <w:bookmarkEnd w:id="731"/>
      <w:r>
        <w:rPr>
          <w:rFonts w:cs="Calibri"/>
        </w:rPr>
        <w:t xml:space="preserve">The wider community resilience literature notes that working within community resilience can be challenging due to the plethora of definitions </w:t>
      </w:r>
      <w:r>
        <w:fldChar w:fldCharType="begin" w:fldLock="1"/>
      </w:r>
      <w:r w:rsidR="00974B75">
        <w:rPr>
          <w:rFonts w:cs="Calibri"/>
        </w:rPr>
        <w:instrText>ADDIN CSL_CITATION {"citationItems":[{"id":"ITEM-1","itemData":{"DOI":"10.1371/currents.dis.db775aff25efc5ac4f0660ad9c9f7db2","ISSN":"2157-3999","abstract":"Background: Government, industry and charitable organisations have an increasing focus on programs intended to support community resilience to disasters. But has consensus been reached as to what defines 'community resilience' and what its core characteristics are? Methods: We undertook a systematic literature review of definitions of community resilience related to disasters. We conducted an inductive thematic analysis of the definitions and descriptions that we identified, in order to determine the proposed characteristics of community resilience prior to, during and after a disaster. Results: We identified 80 relevant papers. There was no evidence of a common, agreed definition of community resilience. In spite of this, evidence was found of nine core elements of community resilience that were common among the definitions. The core elements were: local knowledge, community networks and relationships, communication, health, governance and leadership, resources, economic investment, preparedness, and mental outlook. Within these core elements, we identified 19 sub-elements linked to community resilience. Conclusion: Our findings show that community resilience remains an amorphous concept that is understood and applied differently by different research groups. Yet in spite of the differences in conception and application, there are well-understood elements that are widely proposed as important for a resilient community. A focus on these individual elements may be more productive than attempting to define and study community resilience as a distinct concept. Tweet Patel SS, Rogers MB, Amlôt R, Rubin GJ. What Do We Mean by 'Community Resilience'? A","author":[{"dropping-particle":"","family":"Patel","given":"Sonny S","non-dropping-particle":"","parse-names":false,"suffix":""},{"dropping-particle":"","family":"Rogers","given":"M Brooke","non-dropping-particle":"","parse-names":false,"suffix":""},{"dropping-particle":"","family":"Amlôt","given":"Richard","non-dropping-particle":"","parse-names":false,"suffix":""},{"dropping-particle":"","family":"Rubin","given":"G James","non-dropping-particle":"","parse-names":false,"suffix":""}],"container-title":"PLoS currents","id":"ITEM-1","issued":{"date-parts":[["2017"]]},"page":"1-22","title":"What Do We Mean by 'Community Resilience'? A Systematic Literature Review of How It Is Defined in the Literature","type":"article-journal","volume":"9"},"uris":["http://www.mendeley.com/documents/?uuid=8b7e845a-0cc5-4c23-b38e-826bdf09e29d"]}],"mendeley":{"formattedCitation":"(Patel et al., 2017)","plainTextFormattedCitation":"(Patel et al., 2017)","previouslyFormattedCitation":"(Patel et al., 2017)"},"properties":{"noteIndex":0},"schema":"https://github.com/citation-style-language/schema/raw/master/csl-citation.json"}</w:instrText>
      </w:r>
      <w:r>
        <w:rPr>
          <w:rFonts w:cs="Calibri"/>
        </w:rPr>
        <w:fldChar w:fldCharType="separate"/>
      </w:r>
      <w:r>
        <w:rPr>
          <w:rFonts w:cs="Calibri"/>
          <w:noProof/>
        </w:rPr>
        <w:t>(Patel et al., 2017)</w:t>
      </w:r>
      <w:r>
        <w:rPr>
          <w:rFonts w:cs="Calibri"/>
        </w:rPr>
        <w:fldChar w:fldCharType="end"/>
      </w:r>
      <w:r w:rsidR="00BC4B24">
        <w:rPr>
          <w:rFonts w:cs="Calibri"/>
        </w:rPr>
        <w:t>.</w:t>
      </w:r>
      <w:r>
        <w:rPr>
          <w:rFonts w:cs="Calibri"/>
        </w:rPr>
        <w:t xml:space="preserve"> </w:t>
      </w:r>
      <w:r w:rsidR="00BC4B24">
        <w:rPr>
          <w:rFonts w:cs="Calibri"/>
        </w:rPr>
        <w:t>H</w:t>
      </w:r>
      <w:r>
        <w:rPr>
          <w:rFonts w:cs="Calibri"/>
        </w:rPr>
        <w:t xml:space="preserve">owever, SYFR did not appear to attempt to define it, they simply viewed resilience as an ambiguous outcome of their prevention work. This focus on </w:t>
      </w:r>
      <w:r>
        <w:rPr>
          <w:rFonts w:cs="Calibri"/>
          <w:i/>
        </w:rPr>
        <w:t>prevention</w:t>
      </w:r>
      <w:r>
        <w:rPr>
          <w:rFonts w:cs="Calibri"/>
        </w:rPr>
        <w:t xml:space="preserve"> highlighted their statutory obligations and wider institutional regulative drivers of preventing fires and indicates a theme of responsibility. This responsibility is indicated with the mentioning of the LRF and their role in developing resilience, </w:t>
      </w:r>
      <w:r w:rsidR="00BC4B24">
        <w:rPr>
          <w:rFonts w:cs="Calibri"/>
        </w:rPr>
        <w:t>although</w:t>
      </w:r>
      <w:r>
        <w:rPr>
          <w:rFonts w:cs="Calibri"/>
        </w:rPr>
        <w:t>, they noted that they do not conduct any community engagement. With these findings in mind, the following section will examine the use of resilience as an analytical lens for this research.</w:t>
      </w:r>
    </w:p>
    <w:p w14:paraId="261DBE1A" w14:textId="77777777" w:rsidR="00787F73" w:rsidRDefault="00787F73" w:rsidP="00A0151B">
      <w:pPr>
        <w:ind w:right="-46"/>
        <w:rPr>
          <w:rFonts w:cs="Calibri"/>
          <w:b/>
          <w:bCs/>
        </w:rPr>
      </w:pPr>
      <w:bookmarkStart w:id="733" w:name="_Hlk155713037"/>
      <w:bookmarkEnd w:id="732"/>
      <w:bookmarkEnd w:id="733"/>
    </w:p>
    <w:p w14:paraId="5E12A344" w14:textId="77777777" w:rsidR="00787F73" w:rsidRDefault="00742FB7" w:rsidP="00866155">
      <w:pPr>
        <w:pStyle w:val="Heading3"/>
        <w:ind w:right="-46"/>
      </w:pPr>
      <w:bookmarkStart w:id="734" w:name="_Toc157970998"/>
      <w:bookmarkStart w:id="735" w:name="_Toc157970783"/>
      <w:bookmarkStart w:id="736" w:name="_Toc193367234"/>
      <w:r>
        <w:t>4.2.1: Is resilience an appropriate analytical lens for this research?</w:t>
      </w:r>
      <w:bookmarkEnd w:id="734"/>
      <w:bookmarkEnd w:id="735"/>
      <w:bookmarkEnd w:id="736"/>
    </w:p>
    <w:p w14:paraId="0C0E4DE9" w14:textId="0CAE4FE9" w:rsidR="00787F73" w:rsidRDefault="00742FB7" w:rsidP="00A0151B">
      <w:pPr>
        <w:pStyle w:val="NormalWeb"/>
        <w:shd w:val="clear" w:color="auto" w:fill="FFFFFF"/>
        <w:spacing w:before="0" w:after="0" w:line="360" w:lineRule="auto"/>
        <w:ind w:right="-46"/>
        <w:rPr>
          <w:rFonts w:ascii="Calibri" w:hAnsi="Calibri" w:cs="Calibri"/>
          <w:color w:val="000000"/>
        </w:rPr>
      </w:pPr>
      <w:r w:rsidRPr="005D7392">
        <w:rPr>
          <w:rFonts w:ascii="Calibri" w:hAnsi="Calibri" w:cs="Calibri"/>
          <w:color w:val="000000"/>
        </w:rPr>
        <w:t>The data collected and examined in section 4.2 suggests that resilience is not a</w:t>
      </w:r>
      <w:r w:rsidR="003B742A">
        <w:rPr>
          <w:rFonts w:ascii="Calibri" w:hAnsi="Calibri" w:cs="Calibri"/>
          <w:color w:val="000000"/>
        </w:rPr>
        <w:t xml:space="preserve">direct </w:t>
      </w:r>
      <w:r w:rsidRPr="005D7392">
        <w:rPr>
          <w:rFonts w:ascii="Calibri" w:hAnsi="Calibri" w:cs="Calibri"/>
          <w:color w:val="000000"/>
        </w:rPr>
        <w:t xml:space="preserve">operational goal for SYFR at present. The data suggested that SYFR focus on prevention, which is a regulative institutional driver from the FRSA (2004) and will be discussed in greater depth in Chapter 5. </w:t>
      </w:r>
      <w:r w:rsidR="00E16D30" w:rsidRPr="005D7392">
        <w:rPr>
          <w:rFonts w:ascii="Calibri" w:hAnsi="Calibri" w:cs="Calibri"/>
          <w:color w:val="000000"/>
        </w:rPr>
        <w:t>Whil</w:t>
      </w:r>
      <w:r w:rsidR="00E16D30">
        <w:rPr>
          <w:rFonts w:ascii="Calibri" w:hAnsi="Calibri" w:cs="Calibri"/>
          <w:color w:val="000000"/>
        </w:rPr>
        <w:t>e</w:t>
      </w:r>
      <w:r w:rsidR="00E16D30" w:rsidRPr="005D7392">
        <w:rPr>
          <w:rFonts w:ascii="Calibri" w:hAnsi="Calibri" w:cs="Calibri"/>
          <w:color w:val="000000"/>
        </w:rPr>
        <w:t xml:space="preserve"> </w:t>
      </w:r>
      <w:r w:rsidRPr="005D7392">
        <w:rPr>
          <w:rFonts w:ascii="Calibri" w:hAnsi="Calibri" w:cs="Calibri"/>
          <w:color w:val="000000"/>
        </w:rPr>
        <w:t>resilience was not an operational goal for SYFR, there are a myriad of reasons why continuing to adopt a resilience lens throughout the research is of importance, and a contribution to the literature and policy.</w:t>
      </w:r>
    </w:p>
    <w:p w14:paraId="07246C19" w14:textId="77777777" w:rsidR="0013548C" w:rsidRDefault="0013548C" w:rsidP="00A0151B">
      <w:pPr>
        <w:pStyle w:val="NormalWeb"/>
        <w:shd w:val="clear" w:color="auto" w:fill="FFFFFF"/>
        <w:spacing w:before="0" w:after="0" w:line="360" w:lineRule="auto"/>
        <w:ind w:right="-46"/>
        <w:rPr>
          <w:rFonts w:ascii="Calibri" w:hAnsi="Calibri" w:cs="Calibri"/>
          <w:color w:val="000000"/>
        </w:rPr>
      </w:pPr>
    </w:p>
    <w:p w14:paraId="1BCF8DD5" w14:textId="186D7F3F" w:rsidR="003B742A" w:rsidRDefault="00742FB7" w:rsidP="00A0151B">
      <w:pPr>
        <w:pStyle w:val="NormalWeb"/>
        <w:shd w:val="clear" w:color="auto" w:fill="FFFFFF"/>
        <w:spacing w:before="0" w:after="0" w:line="360" w:lineRule="auto"/>
        <w:ind w:right="-46"/>
        <w:rPr>
          <w:rFonts w:ascii="Calibri" w:hAnsi="Calibri" w:cs="Calibri"/>
          <w:color w:val="000000"/>
        </w:rPr>
      </w:pPr>
      <w:r w:rsidRPr="005D7392">
        <w:rPr>
          <w:rFonts w:ascii="Calibri" w:hAnsi="Calibri" w:cs="Calibri"/>
          <w:color w:val="000000"/>
        </w:rPr>
        <w:t>Firstly,</w:t>
      </w:r>
      <w:r w:rsidR="003B742A">
        <w:rPr>
          <w:rFonts w:ascii="Calibri" w:hAnsi="Calibri" w:cs="Calibri"/>
          <w:color w:val="000000"/>
        </w:rPr>
        <w:t xml:space="preserve"> throughout the literature</w:t>
      </w:r>
      <w:r w:rsidR="00E16D30">
        <w:rPr>
          <w:rFonts w:ascii="Calibri" w:hAnsi="Calibri" w:cs="Calibri"/>
          <w:color w:val="000000"/>
        </w:rPr>
        <w:t>,</w:t>
      </w:r>
      <w:r w:rsidR="003B742A">
        <w:rPr>
          <w:rFonts w:ascii="Calibri" w:hAnsi="Calibri" w:cs="Calibri"/>
          <w:color w:val="000000"/>
        </w:rPr>
        <w:t xml:space="preserve"> there is a</w:t>
      </w:r>
      <w:r w:rsidR="002A25FE">
        <w:rPr>
          <w:rFonts w:ascii="Calibri" w:hAnsi="Calibri" w:cs="Calibri"/>
          <w:color w:val="000000"/>
        </w:rPr>
        <w:t xml:space="preserve"> growing</w:t>
      </w:r>
      <w:r w:rsidR="003B742A">
        <w:rPr>
          <w:rFonts w:ascii="Calibri" w:hAnsi="Calibri" w:cs="Calibri"/>
          <w:color w:val="000000"/>
        </w:rPr>
        <w:t xml:space="preserve"> understanding of the role of disaster preparedness and prevention within the creation and maintenance of community resilience. Previously, there had been a confused between resilience and preparedness, suggesting that the connection was not clear </w:t>
      </w:r>
      <w:r w:rsidR="003B742A" w:rsidRPr="003B742A">
        <w:rPr>
          <w:rFonts w:ascii="Calibri" w:hAnsi="Calibri" w:cs="Calibri"/>
          <w:color w:val="000000"/>
        </w:rPr>
        <w:fldChar w:fldCharType="begin" w:fldLock="1"/>
      </w:r>
      <w:r w:rsidR="00EF6487">
        <w:rPr>
          <w:rFonts w:ascii="Calibri" w:hAnsi="Calibri" w:cs="Calibri"/>
          <w:color w:val="000000"/>
        </w:rPr>
        <w:instrText>ADDIN CSL_CITATION {"citationItems":[{"id":"ITEM-1","itemData":{"DOI":"10.1007/s11205-010-9576-9","ISBN":"0303-8300","ISSN":"03038300","PMID":"54097525","abstract":"The purpose of this study was to measure the sets of adaptive capacities for Economic Development and Social Capital in the Norris et al. (2008) community resilience model with publicly accessible population indicators. Our approach involved five steps. First, we conducted a literature review on measurements of the capacities. Second, we created an exhaustive “wish list” of relevant measures that operationalized the concepts presented in the literature. Third, we identified data sources and searched for archival, population-level data that matched our indicators. Fourth, we systematically tested correlations of indicators within and across the theoretical elements and used this information to select a parsimonious group of indicators. Fifth, we combined the indicators into composites of Economic Development and Social Capital and an additive index of Community Resilience using Mississippi county data, and validated these against a well-established index of social vulnerability and aggregated survey data on collective efficacy. We found that our measure of community resilience capacities correlated favorably and as expected when validated with the archival and survey data. This study provides the first step in identifying existing capacities that may predict a community’s ability to “bounce back” from disasters, thereby reducing post-trauma health and mental health problems.","author":[{"dropping-particle":"","family":"Sherrieb","given":"Kathleen","non-dropping-particle":"","parse-names":false,"suffix":""},{"dropping-particle":"","family":"Norris","given":"Fran H.","non-dropping-particle":"","parse-names":false,"suffix":""},{"dropping-particle":"","family":"Galea","given":"Sandro","non-dropping-particle":"","parse-names":false,"suffix":""}],"container-title":"Social Indicators Research","id":"ITEM-1","issue":"2","issued":{"date-parts":[["2010"]]},"page":"227-247","title":"Measuring Capacities for Community Resilience","type":"article-journal","volume":"99"},"uris":["http://www.mendeley.com/documents/?uuid=3a7eaed1-e1e1-4c81-86b5-90310b6c5892"]}],"mendeley":{"formattedCitation":"(Sherrieb, Norris, &amp; Galea, 2010)","plainTextFormattedCitation":"(Sherrieb, Norris, &amp; Galea, 2010)","previouslyFormattedCitation":"(Sherrieb, Norris, &amp; Galea, 2010)"},"properties":{"noteIndex":0},"schema":"https://github.com/citation-style-language/schema/raw/master/csl-citation.json"}</w:instrText>
      </w:r>
      <w:r w:rsidR="003B742A" w:rsidRPr="003B742A">
        <w:rPr>
          <w:rFonts w:ascii="Calibri" w:hAnsi="Calibri" w:cs="Calibri"/>
          <w:color w:val="000000"/>
        </w:rPr>
        <w:fldChar w:fldCharType="separate"/>
      </w:r>
      <w:r w:rsidR="00EF6487" w:rsidRPr="00EF6487">
        <w:rPr>
          <w:rFonts w:ascii="Calibri" w:hAnsi="Calibri" w:cs="Calibri"/>
          <w:noProof/>
          <w:color w:val="000000"/>
        </w:rPr>
        <w:t>(Sherrieb, Norris, &amp; Galea, 2010)</w:t>
      </w:r>
      <w:r w:rsidR="003B742A" w:rsidRPr="003B742A">
        <w:rPr>
          <w:rFonts w:ascii="Calibri" w:hAnsi="Calibri" w:cs="Calibri"/>
          <w:color w:val="000000"/>
        </w:rPr>
        <w:fldChar w:fldCharType="end"/>
      </w:r>
      <w:r w:rsidR="003B742A">
        <w:rPr>
          <w:rFonts w:ascii="Calibri" w:hAnsi="Calibri" w:cs="Calibri"/>
          <w:color w:val="000000"/>
        </w:rPr>
        <w:t xml:space="preserve">. </w:t>
      </w:r>
    </w:p>
    <w:p w14:paraId="3414296C" w14:textId="77777777" w:rsidR="0013548C" w:rsidRDefault="0013548C" w:rsidP="00A0151B">
      <w:pPr>
        <w:pStyle w:val="NormalWeb"/>
        <w:shd w:val="clear" w:color="auto" w:fill="FFFFFF"/>
        <w:spacing w:before="0" w:after="0" w:line="360" w:lineRule="auto"/>
        <w:ind w:right="-46"/>
        <w:rPr>
          <w:rFonts w:ascii="Calibri" w:hAnsi="Calibri" w:cs="Calibri"/>
          <w:color w:val="000000"/>
        </w:rPr>
      </w:pPr>
    </w:p>
    <w:p w14:paraId="78E18E0F" w14:textId="6501AAC2" w:rsidR="00787F73" w:rsidRDefault="00742FB7" w:rsidP="00A0151B">
      <w:pPr>
        <w:pStyle w:val="NormalWeb"/>
        <w:shd w:val="clear" w:color="auto" w:fill="FFFFFF"/>
        <w:spacing w:before="0" w:after="0" w:line="360" w:lineRule="auto"/>
        <w:ind w:right="-46"/>
        <w:rPr>
          <w:rFonts w:ascii="Calibri" w:hAnsi="Calibri" w:cs="Calibri"/>
          <w:color w:val="000000"/>
        </w:rPr>
      </w:pPr>
      <w:r w:rsidRPr="005D7392">
        <w:rPr>
          <w:rFonts w:ascii="Calibri" w:hAnsi="Calibri" w:cs="Calibri"/>
          <w:color w:val="000000"/>
        </w:rPr>
        <w:t xml:space="preserve">SYFR were active in designing and developing this research. This suggested that although resilience was not a term they adopted and worked towards, it is something they were </w:t>
      </w:r>
      <w:r w:rsidRPr="005D7392">
        <w:rPr>
          <w:rFonts w:ascii="Calibri" w:hAnsi="Calibri" w:cs="Calibri"/>
          <w:color w:val="000000"/>
        </w:rPr>
        <w:lastRenderedPageBreak/>
        <w:t>hoping to develop, as evidenced throughout the research process</w:t>
      </w:r>
      <w:r w:rsidR="00BC4B24">
        <w:rPr>
          <w:rFonts w:ascii="Calibri" w:hAnsi="Calibri" w:cs="Calibri"/>
          <w:color w:val="000000"/>
        </w:rPr>
        <w:t>.</w:t>
      </w:r>
      <w:r w:rsidRPr="005D7392">
        <w:rPr>
          <w:rFonts w:ascii="Calibri" w:hAnsi="Calibri" w:cs="Calibri"/>
          <w:color w:val="000000"/>
        </w:rPr>
        <w:t xml:space="preserve"> </w:t>
      </w:r>
      <w:r w:rsidR="00BC4B24">
        <w:rPr>
          <w:rFonts w:ascii="Calibri" w:hAnsi="Calibri" w:cs="Calibri"/>
          <w:color w:val="000000"/>
        </w:rPr>
        <w:t>This</w:t>
      </w:r>
      <w:r w:rsidRPr="005D7392">
        <w:rPr>
          <w:rFonts w:ascii="Calibri" w:hAnsi="Calibri" w:cs="Calibri"/>
          <w:color w:val="000000"/>
        </w:rPr>
        <w:t xml:space="preserve"> suggests a sense of institutional agency to further develop the FRS sector</w:t>
      </w:r>
      <w:r w:rsidR="00BC4B24">
        <w:rPr>
          <w:rFonts w:ascii="Calibri" w:hAnsi="Calibri" w:cs="Calibri"/>
          <w:color w:val="000000"/>
        </w:rPr>
        <w:t>,</w:t>
      </w:r>
      <w:r w:rsidRPr="005D7392">
        <w:rPr>
          <w:rFonts w:ascii="Calibri" w:hAnsi="Calibri" w:cs="Calibri"/>
          <w:color w:val="000000"/>
        </w:rPr>
        <w:t xml:space="preserve"> </w:t>
      </w:r>
      <w:r w:rsidR="00BC4B24">
        <w:rPr>
          <w:rFonts w:ascii="Calibri" w:hAnsi="Calibri" w:cs="Calibri"/>
          <w:color w:val="000000"/>
        </w:rPr>
        <w:t>and</w:t>
      </w:r>
      <w:r w:rsidR="00BC4B24" w:rsidRPr="005D7392">
        <w:rPr>
          <w:rFonts w:ascii="Calibri" w:hAnsi="Calibri" w:cs="Calibri"/>
          <w:color w:val="000000"/>
        </w:rPr>
        <w:t xml:space="preserve"> </w:t>
      </w:r>
      <w:r w:rsidR="002A25FE" w:rsidRPr="005D7392">
        <w:rPr>
          <w:rFonts w:ascii="Calibri" w:hAnsi="Calibri" w:cs="Calibri"/>
          <w:color w:val="000000"/>
        </w:rPr>
        <w:t>provide</w:t>
      </w:r>
      <w:r w:rsidR="002A25FE">
        <w:rPr>
          <w:rFonts w:ascii="Calibri" w:hAnsi="Calibri" w:cs="Calibri"/>
          <w:color w:val="000000"/>
        </w:rPr>
        <w:t>s</w:t>
      </w:r>
      <w:r w:rsidR="002A25FE" w:rsidRPr="005D7392">
        <w:rPr>
          <w:rFonts w:ascii="Calibri" w:hAnsi="Calibri" w:cs="Calibri"/>
          <w:color w:val="000000"/>
        </w:rPr>
        <w:t xml:space="preserve"> </w:t>
      </w:r>
      <w:r w:rsidRPr="005D7392">
        <w:rPr>
          <w:rFonts w:ascii="Calibri" w:hAnsi="Calibri" w:cs="Calibri"/>
          <w:color w:val="000000"/>
        </w:rPr>
        <w:t>a contribution to the transdisciplinary literature, namely the use of research to examine a concept which is discussed but rarely defined, and how to develop and adapt FRS communication and wider operations to incorporate this learning. This research can be used by SYFR to further develop their operational language as well as their policy.</w:t>
      </w:r>
    </w:p>
    <w:p w14:paraId="3D4D9539" w14:textId="77777777" w:rsidR="00B97CA3" w:rsidRPr="005D7392" w:rsidRDefault="00B97CA3" w:rsidP="00A0151B">
      <w:pPr>
        <w:pStyle w:val="NormalWeb"/>
        <w:shd w:val="clear" w:color="auto" w:fill="FFFFFF"/>
        <w:spacing w:before="0" w:after="0" w:line="360" w:lineRule="auto"/>
        <w:ind w:right="-46"/>
        <w:rPr>
          <w:rFonts w:ascii="Calibri" w:hAnsi="Calibri" w:cs="Calibri"/>
        </w:rPr>
      </w:pPr>
    </w:p>
    <w:p w14:paraId="0013D641" w14:textId="72471115" w:rsidR="00787F73" w:rsidRDefault="00742FB7" w:rsidP="00A0151B">
      <w:pPr>
        <w:pStyle w:val="NormalWeb"/>
        <w:shd w:val="clear" w:color="auto" w:fill="FFFFFF"/>
        <w:spacing w:before="0" w:after="0" w:line="360" w:lineRule="auto"/>
        <w:ind w:right="-46"/>
        <w:rPr>
          <w:rFonts w:ascii="Calibri" w:hAnsi="Calibri" w:cs="Calibri"/>
          <w:color w:val="000000"/>
        </w:rPr>
      </w:pPr>
      <w:r w:rsidRPr="005D7392">
        <w:rPr>
          <w:rFonts w:ascii="Calibri" w:hAnsi="Calibri" w:cs="Calibri"/>
          <w:color w:val="000000"/>
        </w:rPr>
        <w:t>Not only did SYFR co-design and develop this thesis but it also spoke to a growing neoliberal agenda within UK politics. There is a growing political rhetoric of building community resilience and community-based solutions, which was evidenced back in 2009 with the Conservatives </w:t>
      </w:r>
      <w:r w:rsidRPr="005D7392">
        <w:rPr>
          <w:rFonts w:ascii="Calibri" w:hAnsi="Calibri" w:cs="Calibri"/>
          <w:i/>
          <w:iCs/>
          <w:color w:val="000000"/>
        </w:rPr>
        <w:t>Big Society</w:t>
      </w:r>
      <w:r w:rsidRPr="005D7392">
        <w:rPr>
          <w:rFonts w:ascii="Calibri" w:hAnsi="Calibri" w:cs="Calibri"/>
          <w:color w:val="000000"/>
        </w:rPr>
        <w:t> agenda which focused on reducing state involvement for greater local solutions by conducting large cuts to public funding</w:t>
      </w:r>
      <w:r w:rsidR="00BC4B24">
        <w:rPr>
          <w:rFonts w:ascii="Calibri" w:hAnsi="Calibri" w:cs="Calibri"/>
          <w:color w:val="000000"/>
        </w:rPr>
        <w:t>. This</w:t>
      </w:r>
      <w:r w:rsidRPr="005D7392">
        <w:rPr>
          <w:rFonts w:ascii="Calibri" w:hAnsi="Calibri" w:cs="Calibri"/>
          <w:color w:val="000000"/>
        </w:rPr>
        <w:t xml:space="preserve">led to the creation of the Localism Act in 2012 that incorporated this neoliberal agenda </w:t>
      </w:r>
      <w:r w:rsidRPr="005D7392">
        <w:rPr>
          <w:rFonts w:ascii="Calibri" w:hAnsi="Calibri" w:cs="Calibri"/>
        </w:rPr>
        <w:fldChar w:fldCharType="begin" w:fldLock="1"/>
      </w:r>
      <w:r w:rsidRPr="005D7392">
        <w:rPr>
          <w:rFonts w:ascii="Calibri" w:hAnsi="Calibri" w:cs="Calibri"/>
          <w:color w:val="000000"/>
        </w:rPr>
        <w:instrText>ADDIN CSL_CITATION {"citationItems":[{"id":"ITEM-1","itemData":{"DOI":"10.1515/npf-2015-0022","ISSN":"2194-6035","abstract":"This article provides an overview of the changing balance of state and third sector relations in the UK over the last decade or so. It briefly sets this in the broader context of the changing nature of these relations over a longer historical perspective, and it develops the notion of interdependence as a framework for understanding how these relations have become established in the country. Recent political discourses and policy publications are drawn on to explain the shifts in policy regime under the Labour and Coalition governments in the UK in the early twenty-first century, emphasising the differences and similarities in these. The conclusion situates these regimes in a broader context of state and third sector analysis and the contested conceptualisation of civil society. Since 1999 third sector policy in the UK has been devolved to the separate administrations in Scotland, Wales and Northern Ireland; and this article focuses largely on developments in England only.","author":[{"dropping-particle":"","family":"Alcock","given":"Pete","non-dropping-particle":"","parse-names":false,"suffix":""}],"container-title":"Nonprofit Policy Forum","id":"ITEM-1","issue":"2","issued":{"date-parts":[["2016"]]},"page":"95-116","title":"From Partnership to the Big Society: The Third Sector Policy Regime in the UK","type":"article-journal","volume":"7"},"uris":["http://www.mendeley.com/documents/?uuid=bca89646-e31d-45c9-a62a-b3655dce2be1"]},{"id":"ITEM-2","itemData":{"DOI":"10.1057/bp.2015.23","ISSN":"17469198","abstract":"The Conservative/'s modernisation strategy contained a renewed commitment to public services and a continuing role for the state in the delivery of collective goods. Promises about health and education spending were central to the detoxification strategy of David Cameron. However, the article argues that faced with the combination of austerity economics and public support for health and education spending, the Coalition has pushed towards a radical shrinking of the state, but one that is focussed on particular policy areas such as welfare. At the same time, we have also seen a growing integration of the public and private in the supply and delivery of public policy. Hence, the article demonstrates that although the Conservatives/' trajectory initially followed closely from New Labour/'s, they have since made significant changes to the role of the state.","author":[{"dropping-particle":"","family":"Smith","given":"Martin","non-dropping-particle":"","parse-names":false,"suffix":""},{"dropping-particle":"","family":"Jones","given":"Rhonda","non-dropping-particle":"","parse-names":false,"suffix":""}],"container-title":"British Politics","id":"ITEM-2","issue":"2","issued":{"date-parts":[["2015"]]},"page":"226-248","title":"From big society to small state: Conservatism and the privatisation of government","type":"article-journal","volume":"10"},"uris":["http://www.mendeley.com/documents/?uuid=9c079a68-ee43-446b-944d-93b9623f145f"]}],"mendeley":{"formattedCitation":"(Alcock, 2016; Smith &amp; Jones, 2015)","manualFormatting":"(Alcock, 2016; Smith &amp; Jones, 2015)","plainTextFormattedCitation":"(Alcock, 2016; Smith &amp; Jones, 2015)","previouslyFormattedCitation":"(Alcock, 2016; Smith &amp; Jones, 2015)"},"properties":{"noteIndex":0},"schema":"https://github.com/citation-style-language/schema/raw/master/csl-citation.json"}</w:instrText>
      </w:r>
      <w:r w:rsidRPr="005D7392">
        <w:rPr>
          <w:rFonts w:ascii="Calibri" w:hAnsi="Calibri" w:cs="Calibri"/>
          <w:color w:val="000000"/>
        </w:rPr>
        <w:fldChar w:fldCharType="separate"/>
      </w:r>
      <w:r w:rsidRPr="005D7392">
        <w:rPr>
          <w:rFonts w:ascii="Calibri" w:hAnsi="Calibri" w:cs="Calibri"/>
          <w:noProof/>
          <w:color w:val="000000"/>
        </w:rPr>
        <w:t>(Alcock, 2016; Smith &amp; Jones, 2015)</w:t>
      </w:r>
      <w:r w:rsidRPr="005D7392">
        <w:rPr>
          <w:rFonts w:ascii="Calibri" w:hAnsi="Calibri" w:cs="Calibri"/>
          <w:color w:val="000000"/>
        </w:rPr>
        <w:fldChar w:fldCharType="end"/>
      </w:r>
      <w:r w:rsidRPr="005D7392">
        <w:rPr>
          <w:rFonts w:ascii="Calibri" w:hAnsi="Calibri" w:cs="Calibri"/>
          <w:color w:val="000000"/>
        </w:rPr>
        <w:t xml:space="preserve">. The challenge of defining resilience is not only seen within operational environments, but also in policy. In the interview with the </w:t>
      </w:r>
      <w:r w:rsidR="005D7392">
        <w:rPr>
          <w:rFonts w:ascii="Calibri" w:hAnsi="Calibri" w:cs="Calibri"/>
          <w:color w:val="000000"/>
        </w:rPr>
        <w:t>Emergency Planning Officer</w:t>
      </w:r>
      <w:r w:rsidRPr="005D7392">
        <w:rPr>
          <w:rFonts w:ascii="Calibri" w:hAnsi="Calibri" w:cs="Calibri"/>
          <w:color w:val="000000"/>
        </w:rPr>
        <w:t xml:space="preserve">, we discussed the ISO documentation and how it does not define resilience, and the same is true for the CCA (2004). </w:t>
      </w:r>
      <w:r w:rsidR="00E16D30" w:rsidRPr="005D7392">
        <w:rPr>
          <w:rFonts w:ascii="Calibri" w:hAnsi="Calibri" w:cs="Calibri"/>
          <w:color w:val="000000"/>
        </w:rPr>
        <w:t>Whil</w:t>
      </w:r>
      <w:r w:rsidR="00E16D30">
        <w:rPr>
          <w:rFonts w:ascii="Calibri" w:hAnsi="Calibri" w:cs="Calibri"/>
          <w:color w:val="000000"/>
        </w:rPr>
        <w:t>e</w:t>
      </w:r>
      <w:r w:rsidR="00E16D30" w:rsidRPr="005D7392">
        <w:rPr>
          <w:rFonts w:ascii="Calibri" w:hAnsi="Calibri" w:cs="Calibri"/>
          <w:color w:val="000000"/>
        </w:rPr>
        <w:t xml:space="preserve"> </w:t>
      </w:r>
      <w:r w:rsidRPr="005D7392">
        <w:rPr>
          <w:rFonts w:ascii="Calibri" w:hAnsi="Calibri" w:cs="Calibri"/>
          <w:color w:val="000000"/>
        </w:rPr>
        <w:t xml:space="preserve">the CCA (2004) is the legislative grounding for LRFs, resilience is not defined within the official documentation and there is no obligation for agencies and responders to promote or work towards community resilience </w:t>
      </w:r>
      <w:r w:rsidRPr="005D7392">
        <w:rPr>
          <w:rFonts w:ascii="Calibri" w:hAnsi="Calibri" w:cs="Calibri"/>
        </w:rPr>
        <w:fldChar w:fldCharType="begin" w:fldLock="1"/>
      </w:r>
      <w:r w:rsidRPr="005D7392">
        <w:rPr>
          <w:rFonts w:ascii="Calibri" w:hAnsi="Calibri" w:cs="Calibri"/>
          <w:color w:val="000000"/>
        </w:rPr>
        <w:instrText>ADDIN CSL_CITATION {"citationItems":[{"id":"ITEM-1","itemData":{"author":[{"dropping-particle":"","family":"Cabinet Office","given":"","non-dropping-particle":"","parse-names":false,"suffix":""}],"container-title":"Civil Contingencies Secretariat","id":"ITEM-1","issue":"July","issued":{"date-parts":[["2013"]]},"publisher-place":"London","title":"The role of Local Resilience Forums: A reference document","type":"report"},"uris":["http://www.mendeley.com/documents/?uuid=4480dcc1-ac96-41b6-bd7b-fe18f0c56a1b"]}],"mendeley":{"formattedCitation":"(Cabinet Office, 2013)","plainTextFormattedCitation":"(Cabinet Office, 2013)","previouslyFormattedCitation":"(Cabinet Office, 2013)"},"properties":{"noteIndex":0},"schema":"https://github.com/citation-style-language/schema/raw/master/csl-citation.json"}</w:instrText>
      </w:r>
      <w:r w:rsidRPr="005D7392">
        <w:rPr>
          <w:rFonts w:ascii="Calibri" w:hAnsi="Calibri" w:cs="Calibri"/>
          <w:color w:val="000000"/>
        </w:rPr>
        <w:fldChar w:fldCharType="separate"/>
      </w:r>
      <w:r w:rsidRPr="005D7392">
        <w:rPr>
          <w:rFonts w:ascii="Calibri" w:hAnsi="Calibri" w:cs="Calibri"/>
          <w:noProof/>
          <w:color w:val="000000"/>
        </w:rPr>
        <w:t>(Cabinet Office, 2013)</w:t>
      </w:r>
      <w:r w:rsidRPr="005D7392">
        <w:rPr>
          <w:rFonts w:ascii="Calibri" w:hAnsi="Calibri" w:cs="Calibri"/>
          <w:color w:val="000000"/>
        </w:rPr>
        <w:fldChar w:fldCharType="end"/>
      </w:r>
      <w:r w:rsidRPr="005D7392">
        <w:rPr>
          <w:rFonts w:ascii="Calibri" w:hAnsi="Calibri" w:cs="Calibri"/>
          <w:color w:val="000000"/>
        </w:rPr>
        <w:t xml:space="preserve">. This is again a finding with significance for literature and policy, examining that </w:t>
      </w:r>
      <w:r w:rsidR="00E16D30" w:rsidRPr="005D7392">
        <w:rPr>
          <w:rFonts w:ascii="Calibri" w:hAnsi="Calibri" w:cs="Calibri"/>
          <w:color w:val="000000"/>
        </w:rPr>
        <w:t>whil</w:t>
      </w:r>
      <w:r w:rsidR="00E16D30">
        <w:rPr>
          <w:rFonts w:ascii="Calibri" w:hAnsi="Calibri" w:cs="Calibri"/>
          <w:color w:val="000000"/>
        </w:rPr>
        <w:t>e</w:t>
      </w:r>
      <w:r w:rsidR="00E16D30" w:rsidRPr="005D7392">
        <w:rPr>
          <w:rFonts w:ascii="Calibri" w:hAnsi="Calibri" w:cs="Calibri"/>
          <w:color w:val="000000"/>
        </w:rPr>
        <w:t xml:space="preserve"> </w:t>
      </w:r>
      <w:r w:rsidRPr="005D7392">
        <w:rPr>
          <w:rFonts w:ascii="Calibri" w:hAnsi="Calibri" w:cs="Calibri"/>
          <w:color w:val="000000"/>
        </w:rPr>
        <w:t>there is a growing political focus on resilience, the language is not being defined at the institutional level</w:t>
      </w:r>
      <w:r w:rsidR="00CA071E" w:rsidRPr="005D7392">
        <w:rPr>
          <w:rFonts w:ascii="Calibri" w:hAnsi="Calibri" w:cs="Calibri"/>
          <w:color w:val="000000"/>
        </w:rPr>
        <w:t>, as</w:t>
      </w:r>
      <w:r w:rsidRPr="005D7392">
        <w:rPr>
          <w:rFonts w:ascii="Calibri" w:hAnsi="Calibri" w:cs="Calibri"/>
          <w:color w:val="000000"/>
        </w:rPr>
        <w:t xml:space="preserve"> there is no statutory obligation to do this work</w:t>
      </w:r>
      <w:r w:rsidR="00BC4B24">
        <w:rPr>
          <w:rFonts w:ascii="Calibri" w:hAnsi="Calibri" w:cs="Calibri"/>
          <w:color w:val="000000"/>
        </w:rPr>
        <w:t>.,</w:t>
      </w:r>
      <w:r w:rsidRPr="005D7392">
        <w:rPr>
          <w:rFonts w:ascii="Calibri" w:hAnsi="Calibri" w:cs="Calibri"/>
          <w:color w:val="000000"/>
        </w:rPr>
        <w:t xml:space="preserve"> </w:t>
      </w:r>
      <w:r w:rsidR="00BC4B24">
        <w:rPr>
          <w:rFonts w:ascii="Calibri" w:hAnsi="Calibri" w:cs="Calibri"/>
          <w:color w:val="000000"/>
        </w:rPr>
        <w:t>T</w:t>
      </w:r>
      <w:r w:rsidRPr="005D7392">
        <w:rPr>
          <w:rFonts w:ascii="Calibri" w:hAnsi="Calibri" w:cs="Calibri"/>
          <w:color w:val="000000"/>
        </w:rPr>
        <w:t>herefore</w:t>
      </w:r>
      <w:r w:rsidR="00BC4B24">
        <w:rPr>
          <w:rFonts w:ascii="Calibri" w:hAnsi="Calibri" w:cs="Calibri"/>
          <w:color w:val="000000"/>
        </w:rPr>
        <w:t>,</w:t>
      </w:r>
      <w:r w:rsidRPr="005D7392">
        <w:rPr>
          <w:rFonts w:ascii="Calibri" w:hAnsi="Calibri" w:cs="Calibri"/>
          <w:color w:val="000000"/>
        </w:rPr>
        <w:t xml:space="preserve"> the institutional logics are confusing and not clearly defined. </w:t>
      </w:r>
      <w:r w:rsidR="00BC4B24">
        <w:rPr>
          <w:rFonts w:ascii="Calibri" w:hAnsi="Calibri" w:cs="Calibri"/>
          <w:color w:val="000000"/>
        </w:rPr>
        <w:t>Whil</w:t>
      </w:r>
      <w:r w:rsidR="002A25FE">
        <w:rPr>
          <w:rFonts w:ascii="Calibri" w:hAnsi="Calibri" w:cs="Calibri"/>
          <w:color w:val="000000"/>
        </w:rPr>
        <w:t>e</w:t>
      </w:r>
      <w:r w:rsidRPr="005D7392">
        <w:rPr>
          <w:rFonts w:ascii="Calibri" w:hAnsi="Calibri" w:cs="Calibri"/>
          <w:color w:val="000000"/>
        </w:rPr>
        <w:t>resilience was not operationally defined or actively pursued within SYFR, this work needs to be conducted to better understand how organisations such as SYFR can better support their surrounding citizens to develop resilience and is a contribution to literature and policy.</w:t>
      </w:r>
    </w:p>
    <w:p w14:paraId="051B38F7" w14:textId="77777777" w:rsidR="00B97CA3" w:rsidRDefault="00B97CA3" w:rsidP="00A0151B">
      <w:pPr>
        <w:pStyle w:val="NormalWeb"/>
        <w:shd w:val="clear" w:color="auto" w:fill="FFFFFF"/>
        <w:spacing w:before="0" w:after="0" w:line="360" w:lineRule="auto"/>
        <w:ind w:right="-46"/>
        <w:rPr>
          <w:rFonts w:ascii="Calibri" w:hAnsi="Calibri" w:cs="Calibri"/>
          <w:color w:val="000000"/>
        </w:rPr>
      </w:pPr>
    </w:p>
    <w:p w14:paraId="26F2C6FF" w14:textId="0C6242B1" w:rsidR="00E61835" w:rsidRDefault="00E61835" w:rsidP="00E61835">
      <w:r>
        <w:t xml:space="preserve">As discussed in Chapter 2, </w:t>
      </w:r>
      <w:r w:rsidR="007F0D33">
        <w:t xml:space="preserve">there is a lack of consensus around the definition of the term </w:t>
      </w:r>
      <w:r w:rsidR="007F0D33" w:rsidRPr="00A0151B">
        <w:rPr>
          <w:i/>
          <w:iCs/>
        </w:rPr>
        <w:t>resilience</w:t>
      </w:r>
      <w:r>
        <w:t>. Whil</w:t>
      </w:r>
      <w:r w:rsidR="002A25FE">
        <w:t>e</w:t>
      </w:r>
      <w:r>
        <w:t xml:space="preserve"> there </w:t>
      </w:r>
      <w:r w:rsidR="00F10CF7">
        <w:t>are</w:t>
      </w:r>
      <w:r>
        <w:t xml:space="preserve"> a range of definitions, there are interdependencies of terms, including</w:t>
      </w:r>
      <w:r w:rsidR="002A25FE">
        <w:t>:</w:t>
      </w:r>
      <w:r>
        <w:t xml:space="preserve"> resilience</w:t>
      </w:r>
      <w:r w:rsidR="002A25FE">
        <w:t>;</w:t>
      </w:r>
      <w:r>
        <w:t xml:space="preserve"> preparedness</w:t>
      </w:r>
      <w:r w:rsidR="002A25FE">
        <w:t>;</w:t>
      </w:r>
      <w:r>
        <w:t xml:space="preserve"> and prevention. Looking further into the literature, some believe that the relationship between resilience and preparedness is not clear</w:t>
      </w:r>
      <w:bookmarkStart w:id="737" w:name="_Hlk178608192"/>
      <w:r>
        <w:t xml:space="preserve"> </w:t>
      </w:r>
      <w:r>
        <w:lastRenderedPageBreak/>
        <w:fldChar w:fldCharType="begin" w:fldLock="1"/>
      </w:r>
      <w:r w:rsidR="00E735C1">
        <w:instrText>ADDIN CSL_CITATION {"citationItems":[{"id":"ITEM-1","itemData":{"DOI":"10.1007/s11205-010-9576-9","ISBN":"0303-8300","ISSN":"03038300","PMID":"54097525","abstract":"The purpose of this study was to measure the sets of adaptive capacities for Economic Development and Social Capital in the Norris et al. (2008) community resilience model with publicly accessible population indicators. Our approach involved five steps. First, we conducted a literature review on measurements of the capacities. Second, we created an exhaustive “wish list” of relevant measures that operationalized the concepts presented in the literature. Third, we identified data sources and searched for archival, population-level data that matched our indicators. Fourth, we systematically tested correlations of indicators within and across the theoretical elements and used this information to select a parsimonious group of indicators. Fifth, we combined the indicators into composites of Economic Development and Social Capital and an additive index of Community Resilience using Mississippi county data, and validated these against a well-established index of social vulnerability and aggregated survey data on collective efficacy. We found that our measure of community resilience capacities correlated favorably and as expected when validated with the archival and survey data. This study provides the first step in identifying existing capacities that may predict a community’s ability to “bounce back” from disasters, thereby reducing post-trauma health and mental health problems.","author":[{"dropping-particle":"","family":"Sherrieb","given":"Kathleen","non-dropping-particle":"","parse-names":false,"suffix":""},{"dropping-particle":"","family":"Norris","given":"Fran H.","non-dropping-particle":"","parse-names":false,"suffix":""},{"dropping-particle":"","family":"Galea","given":"Sandro","non-dropping-particle":"","parse-names":false,"suffix":""}],"container-title":"Social Indicators Research","id":"ITEM-1","issue":"2","issued":{"date-parts":[["2010"]]},"page":"227-247","title":"Measuring Capacities for Community Resilience","type":"article-journal","volume":"99"},"uris":["http://www.mendeley.com/documents/?uuid=3a7eaed1-e1e1-4c81-86b5-90310b6c5892"]}],"mendeley":{"formattedCitation":"(Sherrieb, Norris, &amp; Galea, 2010)","plainTextFormattedCitation":"(Sherrieb, Norris, &amp; Galea, 2010)","previouslyFormattedCitation":"(Sherrieb, Norris, &amp; Galea, 2010)"},"properties":{"noteIndex":0},"schema":"https://github.com/citation-style-language/schema/raw/master/csl-citation.json"}</w:instrText>
      </w:r>
      <w:r>
        <w:fldChar w:fldCharType="separate"/>
      </w:r>
      <w:r w:rsidR="00E735C1" w:rsidRPr="00E735C1">
        <w:rPr>
          <w:noProof/>
        </w:rPr>
        <w:t>(Sherrieb, Norris, &amp; Galea, 2010)</w:t>
      </w:r>
      <w:r>
        <w:fldChar w:fldCharType="end"/>
      </w:r>
      <w:bookmarkEnd w:id="737"/>
      <w:r>
        <w:t>. However, within Patel’s (2017) systematic literature review they identified preparedness as one of the main elements of resilience, and mitigation (prevention) and planning as sub-elements. This suggests that within the different definitions of resilience, preparedness, and prevention are all interconnected.</w:t>
      </w:r>
    </w:p>
    <w:p w14:paraId="4AC8D908" w14:textId="77777777" w:rsidR="00E61835" w:rsidRDefault="00E61835" w:rsidP="00E61835"/>
    <w:p w14:paraId="163AD89B" w14:textId="13D3848A" w:rsidR="00E61835" w:rsidRDefault="00E61835" w:rsidP="00E61835">
      <w:r>
        <w:t>Some view preparedness as an element of resilience, suggesting that resilience can be divided into three set of elements</w:t>
      </w:r>
      <w:r w:rsidR="00E30520">
        <w:t>:</w:t>
      </w:r>
      <w:r>
        <w:t xml:space="preserve"> readiness and preparedness; response and adaptation; recovery or adjustment, which can be simplified into</w:t>
      </w:r>
      <w:r w:rsidR="00E30520">
        <w:t>:</w:t>
      </w:r>
      <w:r>
        <w:t xml:space="preserve"> anticipate</w:t>
      </w:r>
      <w:r w:rsidR="00E30520">
        <w:t>;</w:t>
      </w:r>
      <w:r>
        <w:t xml:space="preserve"> prepare and respond</w:t>
      </w:r>
      <w:r w:rsidR="00E30520">
        <w:t>;</w:t>
      </w:r>
      <w:r>
        <w:t xml:space="preserve"> and recover </w:t>
      </w:r>
      <w:r>
        <w:fldChar w:fldCharType="begin" w:fldLock="1"/>
      </w:r>
      <w:r w:rsidR="00E735C1">
        <w:instrText>ADDIN CSL_CITATION {"citationItems":[{"id":"ITEM-1","itemData":{"DOI":"10.1080/00207543.2011.563826","ISBN":"00207543","ISSN":"00207543","PMID":"63634566","abstract":"In an ever-more interconnected world (social, technological and environmental), no organisation can retain a competitive position and survive disruptions as an independent entity. This article provides a review of resilience literature in its widest context and later its application at an organisational level context. The origins of the concept are reported and consequently, the various fields of research are analysed. The concept is shown to remain essentially constant regardless of its field of enquiry and has much to inform the fields of organisation theory, strategy and operations management. This article identifies a number of areas for advancing resilience research, in particular: the relationship between human and organisational resilience; understanding interfaces between organisational and infrastructural resilience. [ABSTRACT FROM AUTHOR]","author":[{"dropping-particle":"","family":"Bhamra","given":"Ran","non-dropping-particle":"","parse-names":false,"suffix":""},{"dropping-particle":"","family":"Dani","given":"Samir","non-dropping-particle":"","parse-names":false,"suffix":""},{"dropping-particle":"","family":"Burnard","given":"Kevin","non-dropping-particle":"","parse-names":false,"suffix":""}],"container-title":"International Journal of Production Research","id":"ITEM-1","issue":"18","issued":{"date-parts":[["2011"]]},"page":"5375-5393","title":"Resilience: The concept, a literature review and future directions","type":"article-journal","volume":"49"},"uris":["http://www.mendeley.com/documents/?uuid=97c4516a-b2b9-43dd-a41b-04562998165a"]},{"id":"ITEM-2","itemData":{"DOI":"10.1146/annurev.energy.32.051807.090348","ISBN":"1708-3087","ISSN":"0954-5794","PMID":"7615","abstract":"Despite the recent popularity and frequent use of the disaster resilience concept in the academic, re- search, and policy programs, there is a limited theoretical understanding of this concept. For instance, it is not clear how this concept should be operationalized and what its determinant factors are or how they can be measured. Al- though the recent literatures on hazard and disaster frequently refer to resilience concept as a guiding principle behind an effective hazard risk management, making it operational for policies raises critical challenges in terms of its as- sessment. This paper is an attempt to develop a conceptual and methodological framework for the analysis, measure- ment, and mapping of community disaster resilience. The paper specifically intends to archive three objectives. Firstly, it examines the general definitional issues of the concept of resilience with a focus on community disaster re- silience. Secondly, it reviews the frameworks that are currently used to measure community resilience. Thirdly, it evaluates the existing methods that are used to develop resilience indices, and based on this review, a methodology on how to measure community disaster resilience is proposed. Finally, it summarizes the limitations and recommen- dations for further improvement of the methodology.","author":[{"dropping-particle":"","family":"Mayunga","given":"Joseph S","non-dropping-particle":"","parse-names":false,"suffix":""}],"container-title":"Summer academy for social vulnerability and resilience building","id":"ITEM-2","issue":"1","issued":{"date-parts":[["2007"]]},"number-of-pages":"1-16","publisher-place":"Munich","title":"Understanding and Applying the Concept of Community Disaster Resilience : A capital-based approach","type":"report"},"uris":["http://www.mendeley.com/documents/?uuid=8d9105d9-093b-4ab1-98f2-8230311a4cbf"]}],"mendeley":{"formattedCitation":"(Bhamra, Dani, &amp; Burnard, 2011; Mayunga, 2007)","plainTextFormattedCitation":"(Bhamra, Dani, &amp; Burnard, 2011; Mayunga, 2007)","previouslyFormattedCitation":"(Bhamra, Dani, &amp; Burnard, 2011; Mayunga, 2007)"},"properties":{"noteIndex":0},"schema":"https://github.com/citation-style-language/schema/raw/master/csl-citation.json"}</w:instrText>
      </w:r>
      <w:r>
        <w:fldChar w:fldCharType="separate"/>
      </w:r>
      <w:r w:rsidR="00E735C1" w:rsidRPr="00E735C1">
        <w:rPr>
          <w:noProof/>
        </w:rPr>
        <w:t>(Bhamra, Dani, &amp; Burnard, 2011; Mayunga, 2007)</w:t>
      </w:r>
      <w:r>
        <w:fldChar w:fldCharType="end"/>
      </w:r>
      <w:r>
        <w:t xml:space="preserve">. Other research views resilience as a set of capacities </w:t>
      </w:r>
      <w:r>
        <w:fldChar w:fldCharType="begin" w:fldLock="1"/>
      </w:r>
      <w:r>
        <w:instrText>ADDIN CSL_CITATION {"citationItems":[{"id":"ITEM-1","itemData":{"DOI":"10.1007/s10464-007-9156-6","ISBN":"0091-0562 (Print)","ISSN":"00910562","PMID":"18157631","abstract":"Communities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unknowns.","author":[{"dropping-particle":"","family":"Norris","given":"Fran H.","non-dropping-particle":"","parse-names":false,"suffix":""},{"dropping-particle":"","family":"Stevens","given":"Susan P.","non-dropping-particle":"","parse-names":false,"suffix":""},{"dropping-particle":"","family":"Pfefferbaum","given":"Betty","non-dropping-particle":"","parse-names":false,"suffix":""},{"dropping-particle":"","family":"Wyche","given":"Karen F.","non-dropping-particle":"","parse-names":false,"suffix":""},{"dropping-particle":"","family":"Pfefferbaum","given":"Rose L.","non-dropping-particle":"","parse-names":false,"suffix":""}],"container-title":"American Journal of Community Psychology","id":"ITEM-1","issued":{"date-parts":[["2008"]]},"page":"127-150","title":"Community resilience as a metaphor, theory, set of capacities, and strategy for disaster readiness","type":"article-journal","volume":"41"},"uris":["http://www.mendeley.com/documents/?uuid=ce971e9c-40de-4c41-9d71-39c5bbe61334"]},{"id":"ITEM-2","itemData":{"DOI":"10.1007/s11069-022-05226-w","ISBN":"0123456789","ISSN":"15730840","abstract":"Resilience has become important in disaster preparedness and response. Unfortunately, little is known about resilience at the household level. This study presents the results of a survey into individual and household level preparedness to disaster events in Yangon, Myanmar, which is prone to natural disasters such as tropical cyclones, flooding, and earthquakes. The study aimed to understand societal resilience and to provide information that could be used to develop a holistic framework. In four different Yangon townships, 440 households were interviewed. The results of the survey indicate how risk preparedness could be improved by specific measures related to the following five factors: (1) increasing the general public’s knowledge of first aid and its role in preparedness; (2) improving mobile phone infrastructure and capacity building in its usage so that it can be used for communication during disasters, along with building up a redundant communication structure; (3) better use and organisation of volunteer potential; (4) more specific involvement of religious and public buildings for disaster response; and (5) developing specific measures for improving preparedness in urban areas, where the population often has reduced capacities for coping with food supply insufficiencies due to the high and immediate availability of food, shops and goods in regular times. The findings of this survey have led to specific recommendations for Yangon. The identified measures represent a first step in developing a more general framework. Future research could investigate the transferability of these measures to other areas and thus their suitability as a basis for a framework.","author":[{"dropping-particle":"","family":"Heinkel","given":"Sophie Bo","non-dropping-particle":"","parse-names":false,"suffix":""},{"dropping-particle":"","family":"Thiebes","given":"Benni","non-dropping-particle":"","parse-names":false,"suffix":""},{"dropping-particle":"","family":"Zin Mar Than","given":"","non-dropping-particle":"","parse-names":false,"suffix":""},{"dropping-particle":"","family":"Toe Aung","given":"","non-dropping-particle":"","parse-names":false,"suffix":""},{"dropping-particle":"","family":"Tin Tin Kyi","given":"","non-dropping-particle":"","parse-names":false,"suffix":""},{"dropping-particle":"","family":"Win Lei Mar","given":"","non-dropping-particle":"","parse-names":false,"suffix":""},{"dropping-particle":"","family":"Saw Sandar Oo","given":"","non-dropping-particle":"","parse-names":false,"suffix":""},{"dropping-particle":"","family":"Miller","given":"Christian","non-dropping-particle":"","parse-names":false,"suffix":""},{"dropping-particle":"","family":"Willkomm","given":"Marlene","non-dropping-particle":"","parse-names":false,"suffix":""},{"dropping-particle":"","family":"Win Maung","given":"","non-dropping-particle":"","parse-names":false,"suffix":""},{"dropping-particle":"","family":"Zin Nwe Myint","given":"","non-dropping-particle":"","parse-names":false,"suffix":""},{"dropping-particle":"","family":"Khin Khin Soe","given":"","non-dropping-particle":"","parse-names":false,"suffix":""},{"dropping-particle":"","family":"Spohner","given":"Regine","non-dropping-particle":"","parse-names":false,"suffix":""},{"dropping-particle":"","family":"Kraas","given":"Frauke","non-dropping-particle":"","parse-names":false,"suffix":""}],"container-title":"Natural Hazards","id":"ITEM-2","issue":"2","issued":{"date-parts":[["2022"]]},"page":"1273-1294","title":"Disaster preparedness and resilience at household level in Yangon, Myanmar","type":"article-journal","volume":"112"},"uris":["http://www.mendeley.com/documents/?uuid=7f82767f-68d4-4f36-b9c3-22688b496c14"]}],"mendeley":{"formattedCitation":"(Heinkel et al., 2022; Norris et al., 2008)","plainTextFormattedCitation":"(Heinkel et al., 2022; Norris et al., 2008)","previouslyFormattedCitation":"(Heinkel et al., 2022; Norris et al., 2008)"},"properties":{"noteIndex":0},"schema":"https://github.com/citation-style-language/schema/raw/master/csl-citation.json"}</w:instrText>
      </w:r>
      <w:r>
        <w:fldChar w:fldCharType="separate"/>
      </w:r>
      <w:r w:rsidRPr="00F31B42">
        <w:rPr>
          <w:noProof/>
        </w:rPr>
        <w:t>(Heinkel et al., 2022; Norris et al., 2008)</w:t>
      </w:r>
      <w:r>
        <w:fldChar w:fldCharType="end"/>
      </w:r>
      <w:r>
        <w:t xml:space="preserve"> where resilience can be anticipative and preventative</w:t>
      </w:r>
      <w:r w:rsidR="00E30520">
        <w:t>,</w:t>
      </w:r>
      <w:r>
        <w:t xml:space="preserve"> such as the ability to react early to natural hazards and reduce the impacts of those hazards  </w:t>
      </w:r>
      <w:r>
        <w:fldChar w:fldCharType="begin" w:fldLock="1"/>
      </w:r>
      <w:r>
        <w:instrText>ADDIN CSL_CITATION {"citationItems":[{"id":"ITEM-1","itemData":{"DOI":"10.1007/s11069-022-05226-w","ISBN":"0123456789","ISSN":"15730840","abstract":"Resilience has become important in disaster preparedness and response. Unfortunately, little is known about resilience at the household level. This study presents the results of a survey into individual and household level preparedness to disaster events in Yangon, Myanmar, which is prone to natural disasters such as tropical cyclones, flooding, and earthquakes. The study aimed to understand societal resilience and to provide information that could be used to develop a holistic framework. In four different Yangon townships, 440 households were interviewed. The results of the survey indicate how risk preparedness could be improved by specific measures related to the following five factors: (1) increasing the general public’s knowledge of first aid and its role in preparedness; (2) improving mobile phone infrastructure and capacity building in its usage so that it can be used for communication during disasters, along with building up a redundant communication structure; (3) better use and organisation of volunteer potential; (4) more specific involvement of religious and public buildings for disaster response; and (5) developing specific measures for improving preparedness in urban areas, where the population often has reduced capacities for coping with food supply insufficiencies due to the high and immediate availability of food, shops and goods in regular times. The findings of this survey have led to specific recommendations for Yangon. The identified measures represent a first step in developing a more general framework. Future research could investigate the transferability of these measures to other areas and thus their suitability as a basis for a framework.","author":[{"dropping-particle":"","family":"Heinkel","given":"Sophie Bo","non-dropping-particle":"","parse-names":false,"suffix":""},{"dropping-particle":"","family":"Thiebes","given":"Benni","non-dropping-particle":"","parse-names":false,"suffix":""},{"dropping-particle":"","family":"Zin Mar Than","given":"","non-dropping-particle":"","parse-names":false,"suffix":""},{"dropping-particle":"","family":"Toe Aung","given":"","non-dropping-particle":"","parse-names":false,"suffix":""},{"dropping-particle":"","family":"Tin Tin Kyi","given":"","non-dropping-particle":"","parse-names":false,"suffix":""},{"dropping-particle":"","family":"Win Lei Mar","given":"","non-dropping-particle":"","parse-names":false,"suffix":""},{"dropping-particle":"","family":"Saw Sandar Oo","given":"","non-dropping-particle":"","parse-names":false,"suffix":""},{"dropping-particle":"","family":"Miller","given":"Christian","non-dropping-particle":"","parse-names":false,"suffix":""},{"dropping-particle":"","family":"Willkomm","given":"Marlene","non-dropping-particle":"","parse-names":false,"suffix":""},{"dropping-particle":"","family":"Win Maung","given":"","non-dropping-particle":"","parse-names":false,"suffix":""},{"dropping-particle":"","family":"Zin Nwe Myint","given":"","non-dropping-particle":"","parse-names":false,"suffix":""},{"dropping-particle":"","family":"Khin Khin Soe","given":"","non-dropping-particle":"","parse-names":false,"suffix":""},{"dropping-particle":"","family":"Spohner","given":"Regine","non-dropping-particle":"","parse-names":false,"suffix":""},{"dropping-particle":"","family":"Kraas","given":"Frauke","non-dropping-particle":"","parse-names":false,"suffix":""}],"container-title":"Natural Hazards","id":"ITEM-1","issue":"2","issued":{"date-parts":[["2022"]]},"page":"1273-1294","title":"Disaster preparedness and resilience at household level in Yangon, Myanmar","type":"article-journal","volume":"112"},"uris":["http://www.mendeley.com/documents/?uuid=7f82767f-68d4-4f36-b9c3-22688b496c14"]}],"mendeley":{"formattedCitation":"(Heinkel et al., 2022)","plainTextFormattedCitation":"(Heinkel et al., 2022)","previouslyFormattedCitation":"(Heinkel et al., 2022)"},"properties":{"noteIndex":0},"schema":"https://github.com/citation-style-language/schema/raw/master/csl-citation.json"}</w:instrText>
      </w:r>
      <w:r>
        <w:fldChar w:fldCharType="separate"/>
      </w:r>
      <w:r w:rsidRPr="009458E4">
        <w:rPr>
          <w:noProof/>
        </w:rPr>
        <w:t>(Heinkel et al., 2022)</w:t>
      </w:r>
      <w:r>
        <w:fldChar w:fldCharType="end"/>
      </w:r>
      <w:r>
        <w:t xml:space="preserve">. Therefore, using a capacity approach prevention is one element of resilience. Across the different definitions some view preparedness as creating resilience, and others view resilience as creating preparedness </w:t>
      </w:r>
      <w:r w:rsidRPr="008F1B03">
        <w:rPr>
          <w:b/>
          <w:bCs/>
        </w:rPr>
        <w:fldChar w:fldCharType="begin" w:fldLock="1"/>
      </w:r>
      <w:r w:rsidR="00E735C1">
        <w:rPr>
          <w:b/>
          <w:bCs/>
        </w:rPr>
        <w:instrText>ADDIN CSL_CITATION {"citationItems":[{"id":"ITEM-1","itemData":{"author":[{"dropping-particle":"","family":"Cutter","given":"Susan L.","non-dropping-particle":"","parse-names":false,"suffix":""},{"dropping-particle":"","family":"Ash","given":"Kevin D.","non-dropping-particle":"","parse-names":false,"suffix":""},{"dropping-particle":"","family":"Emrich","given":"Chirstopher T.","non-dropping-particle":"","parse-names":false,"suffix":""}],"container-title":"Global Environmental Change","id":"ITEM-1","issued":{"date-parts":[["2014"]]},"page":"65 - 77","title":"The Geographies of community disasters resilience","type":"article-journal","volume":"29"},"uris":["http://www.mendeley.com/documents/?uuid=2cbfda0d-890b-4102-b7e9-7ef6d916460b"]}],"mendeley":{"formattedCitation":"(Cutter, Ash, &amp; Emrich, 2014)","plainTextFormattedCitation":"(Cutter, Ash, &amp; Emrich, 2014)","previouslyFormattedCitation":"(Cutter, Ash, &amp; Emrich, 2014)"},"properties":{"noteIndex":0},"schema":"https://github.com/citation-style-language/schema/raw/master/csl-citation.json"}</w:instrText>
      </w:r>
      <w:r w:rsidRPr="008F1B03">
        <w:rPr>
          <w:b/>
          <w:bCs/>
        </w:rPr>
        <w:fldChar w:fldCharType="separate"/>
      </w:r>
      <w:r w:rsidR="00E735C1" w:rsidRPr="00E735C1">
        <w:rPr>
          <w:bCs/>
          <w:noProof/>
        </w:rPr>
        <w:t>(Cutter, Ash, &amp; Emrich, 2014)</w:t>
      </w:r>
      <w:r w:rsidRPr="008F1B03">
        <w:rPr>
          <w:b/>
          <w:bCs/>
        </w:rPr>
        <w:fldChar w:fldCharType="end"/>
      </w:r>
      <w:r>
        <w:rPr>
          <w:b/>
          <w:bCs/>
        </w:rPr>
        <w:t>.</w:t>
      </w:r>
      <w:r w:rsidRPr="0073176E">
        <w:t xml:space="preserve"> </w:t>
      </w:r>
      <w:r>
        <w:t>Within resilience literature</w:t>
      </w:r>
      <w:r w:rsidR="002A25FE">
        <w:t>,</w:t>
      </w:r>
      <w:r>
        <w:t xml:space="preserve"> there is often the focus on bounce back, or bounce forward resilience </w:t>
      </w:r>
      <w:r w:rsidRPr="00FD0052">
        <w:fldChar w:fldCharType="begin" w:fldLock="1"/>
      </w:r>
      <w:r w:rsidR="00E735C1">
        <w:instrText>ADDIN CSL_CITATION {"citationItems":[{"id":"ITEM-1","itemData":{"DOI":"10.1016/j.gloenvcha.2006.04.002","ISBN":"0959-3780","ISSN":"09593780","PMID":"5114078529503471760","abstract":"The resilience perspective is increasingly used as an approach for understanding the dynamics of social-ecological systems. This article presents the origin of the resilience perspective and provides an overview of its development to date. With roots in one branch of ecology and the discovery of multiple basins of attraction in ecosystems in the 1960-1970s, it inspired social and environmental scientists to challenge the dominant stable equilibrium view. The resilience approach emphasizes non-linear dynamics, thresholds, uncertainty and surprise, how periods of gradual change interplay with periods of rapid change and how such dynamics interact across temporal and spatial scales. The history was dominated by empirical observations of ecosystem dynamics interpreted in mathematical models, developing into the adaptive management approach for responding to ecosystem change. Serious attempts to integrate the social dimension is currently taking place in resilience work reflected in the large numbers of sciences involved in explorative studies and new discoveries of linked social-ecological systems. Recent advances include understanding of social processes like, social learning and social memory, mental models and knowledge-system integration, visioning and scenario building, leadership, agents and actor groups, social networks, institutional and organizational inertia and change, adaptive capacity, transformability and systems of adaptive governance that allow for management of essential ecosystem services. © 2006.","author":[{"dropping-particle":"","family":"Folke","given":"Carl","non-dropping-particle":"","parse-names":false,"suffix":""}],"container-title":"Global Environmental Change","id":"ITEM-1","issue":"3","issued":{"date-parts":[["2006"]]},"page":"253-267","title":"Resilience: The emergence of a perspective for social-ecological systems analyses","type":"article-journal","volume":"16"},"uris":["http://www.mendeley.com/documents/?uuid=d1252e50-9f34-4dab-9ba0-b7c60a11ef5a"]},{"id":"ITEM-2","itemData":{"DOI":"10.1007/s10464-007-9156-6","ISBN":"0091-0562 (Print)","ISSN":"00910562","PMID":"18157631","abstract":"Communities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unknowns.","author":[{"dropping-particle":"","family":"Norris","given":"Fran H.","non-dropping-particle":"","parse-names":false,"suffix":""},{"dropping-particle":"","family":"Stevens","given":"Susan P.","non-dropping-particle":"","parse-names":false,"suffix":""},{"dropping-particle":"","family":"Pfefferbaum","given":"Betty","non-dropping-particle":"","parse-names":false,"suffix":""},{"dropping-particle":"","family":"Wyche","given":"Karen F.","non-dropping-particle":"","parse-names":false,"suffix":""},{"dropping-particle":"","family":"Pfefferbaum","given":"Rose L.","non-dropping-particle":"","parse-names":false,"suffix":""}],"container-title":"American Journal of Community Psychology","id":"ITEM-2","issued":{"date-parts":[["2008"]]},"page":"127-150","title":"Community resilience as a metaphor, theory, set of capacities, and strategy for disaster readiness","type":"article-journal","volume":"41"},"uris":["http://www.mendeley.com/documents/?uuid=ce971e9c-40de-4c41-9d71-39c5bbe61334"]}],"mendeley":{"formattedCitation":"(Norris et al., 2008; Folke, 2006)","plainTextFormattedCitation":"(Norris et al., 2008; Folke, 2006)","previouslyFormattedCitation":"(Norris et al., 2008; Folke, 2006)"},"properties":{"noteIndex":0},"schema":"https://github.com/citation-style-language/schema/raw/master/csl-citation.json"}</w:instrText>
      </w:r>
      <w:r w:rsidRPr="00FD0052">
        <w:fldChar w:fldCharType="separate"/>
      </w:r>
      <w:r w:rsidR="00E735C1" w:rsidRPr="00E735C1">
        <w:rPr>
          <w:noProof/>
        </w:rPr>
        <w:t>(Norris et al., 2008; Folke, 2006)</w:t>
      </w:r>
      <w:r w:rsidRPr="00FD0052">
        <w:fldChar w:fldCharType="end"/>
      </w:r>
      <w:r w:rsidRPr="00FD0052">
        <w:t>.</w:t>
      </w:r>
      <w:r>
        <w:t xml:space="preserve"> Using this analogy, preparedness could be seen as the pre</w:t>
      </w:r>
      <w:r w:rsidR="00E30520">
        <w:t>cursor</w:t>
      </w:r>
      <w:r>
        <w:t xml:space="preserve"> of the bounce, namely being alert and aware of the bounce.</w:t>
      </w:r>
    </w:p>
    <w:p w14:paraId="6A947DD6" w14:textId="77777777" w:rsidR="00E61835" w:rsidRDefault="00E61835" w:rsidP="00E61835"/>
    <w:p w14:paraId="5DAC582D" w14:textId="040EEC6C" w:rsidR="00E61835" w:rsidRDefault="00E61835" w:rsidP="00E61835">
      <w:r>
        <w:t>Whil</w:t>
      </w:r>
      <w:r w:rsidR="002A25FE">
        <w:t>e</w:t>
      </w:r>
      <w:r>
        <w:t xml:space="preserve"> resilience is a contested term, most authors believe that resilience focuses on long term stability and a wider aim for sustainable development </w:t>
      </w:r>
      <w:r>
        <w:fldChar w:fldCharType="begin" w:fldLock="1"/>
      </w:r>
      <w:r>
        <w:instrText>ADDIN CSL_CITATION {"citationItems":[{"id":"ITEM-1","itemData":{"DOI":"10.1007/s11069-022-05226-w","ISBN":"0123456789","ISSN":"15730840","abstract":"Resilience has become important in disaster preparedness and response. Unfortunately, little is known about resilience at the household level. This study presents the results of a survey into individual and household level preparedness to disaster events in Yangon, Myanmar, which is prone to natural disasters such as tropical cyclones, flooding, and earthquakes. The study aimed to understand societal resilience and to provide information that could be used to develop a holistic framework. In four different Yangon townships, 440 households were interviewed. The results of the survey indicate how risk preparedness could be improved by specific measures related to the following five factors: (1) increasing the general public’s knowledge of first aid and its role in preparedness; (2) improving mobile phone infrastructure and capacity building in its usage so that it can be used for communication during disasters, along with building up a redundant communication structure; (3) better use and organisation of volunteer potential; (4) more specific involvement of religious and public buildings for disaster response; and (5) developing specific measures for improving preparedness in urban areas, where the population often has reduced capacities for coping with food supply insufficiencies due to the high and immediate availability of food, shops and goods in regular times. The findings of this survey have led to specific recommendations for Yangon. The identified measures represent a first step in developing a more general framework. Future research could investigate the transferability of these measures to other areas and thus their suitability as a basis for a framework.","author":[{"dropping-particle":"","family":"Heinkel","given":"Sophie Bo","non-dropping-particle":"","parse-names":false,"suffix":""},{"dropping-particle":"","family":"Thiebes","given":"Benni","non-dropping-particle":"","parse-names":false,"suffix":""},{"dropping-particle":"","family":"Zin Mar Than","given":"","non-dropping-particle":"","parse-names":false,"suffix":""},{"dropping-particle":"","family":"Toe Aung","given":"","non-dropping-particle":"","parse-names":false,"suffix":""},{"dropping-particle":"","family":"Tin Tin Kyi","given":"","non-dropping-particle":"","parse-names":false,"suffix":""},{"dropping-particle":"","family":"Win Lei Mar","given":"","non-dropping-particle":"","parse-names":false,"suffix":""},{"dropping-particle":"","family":"Saw Sandar Oo","given":"","non-dropping-particle":"","parse-names":false,"suffix":""},{"dropping-particle":"","family":"Miller","given":"Christian","non-dropping-particle":"","parse-names":false,"suffix":""},{"dropping-particle":"","family":"Willkomm","given":"Marlene","non-dropping-particle":"","parse-names":false,"suffix":""},{"dropping-particle":"","family":"Win Maung","given":"","non-dropping-particle":"","parse-names":false,"suffix":""},{"dropping-particle":"","family":"Zin Nwe Myint","given":"","non-dropping-particle":"","parse-names":false,"suffix":""},{"dropping-particle":"","family":"Khin Khin Soe","given":"","non-dropping-particle":"","parse-names":false,"suffix":""},{"dropping-particle":"","family":"Spohner","given":"Regine","non-dropping-particle":"","parse-names":false,"suffix":""},{"dropping-particle":"","family":"Kraas","given":"Frauke","non-dropping-particle":"","parse-names":false,"suffix":""}],"container-title":"Natural Hazards","id":"ITEM-1","issue":"2","issued":{"date-parts":[["2022"]]},"page":"1273-1294","title":"Disaster preparedness and resilience at household level in Yangon, Myanmar","type":"article-journal","volume":"112"},"uris":["http://www.mendeley.com/documents/?uuid=7f82767f-68d4-4f36-b9c3-22688b496c14"]}],"mendeley":{"formattedCitation":"(Heinkel et al., 2022)","plainTextFormattedCitation":"(Heinkel et al., 2022)","previouslyFormattedCitation":"(Heinkel et al., 2022)"},"properties":{"noteIndex":0},"schema":"https://github.com/citation-style-language/schema/raw/master/csl-citation.json"}</w:instrText>
      </w:r>
      <w:r>
        <w:fldChar w:fldCharType="separate"/>
      </w:r>
      <w:r w:rsidRPr="009458E4">
        <w:rPr>
          <w:noProof/>
        </w:rPr>
        <w:t>(Heinkel et al., 2022)</w:t>
      </w:r>
      <w:r>
        <w:fldChar w:fldCharType="end"/>
      </w:r>
      <w:r>
        <w:t xml:space="preserve">. To build resilience to emergencies and disaster events there needs to be an awareness of the preparation required at the household level, such as having food and water supplies for a few days. This preparation requires an understanding of the risks. Therefore, risk communication can be seen as one of the crucial foundations to building resilience. </w:t>
      </w:r>
      <w:bookmarkStart w:id="738" w:name="_Hlk178604376"/>
    </w:p>
    <w:p w14:paraId="37BFA398" w14:textId="77777777" w:rsidR="00E61835" w:rsidRDefault="00E61835" w:rsidP="00E61835"/>
    <w:bookmarkEnd w:id="738"/>
    <w:p w14:paraId="0E71C044" w14:textId="21436194" w:rsidR="006C38B9" w:rsidRPr="001307E3" w:rsidRDefault="00E61835" w:rsidP="00A0151B">
      <w:pPr>
        <w:rPr>
          <w:rFonts w:cs="Calibri"/>
        </w:rPr>
      </w:pPr>
      <w:r w:rsidRPr="00A0151B">
        <w:rPr>
          <w:rFonts w:cs="Calibri"/>
        </w:rPr>
        <w:t xml:space="preserve">To develop resilience, communities need to be aware of the risk to </w:t>
      </w:r>
      <w:r w:rsidRPr="00A0151B">
        <w:rPr>
          <w:rFonts w:cs="Calibri"/>
          <w:i/>
          <w:iCs/>
        </w:rPr>
        <w:t>prevent</w:t>
      </w:r>
      <w:r w:rsidRPr="00A0151B">
        <w:rPr>
          <w:rFonts w:cs="Calibri"/>
        </w:rPr>
        <w:t xml:space="preserve"> or mitigate their behaviour. Research conducted on the migrant communities in Hong Kong found that there needed to be greater understanding of the risks in order to develop preparedness to typhoons </w:t>
      </w:r>
      <w:r w:rsidRPr="00A0151B">
        <w:rPr>
          <w:rFonts w:cs="Calibri"/>
        </w:rPr>
        <w:fldChar w:fldCharType="begin" w:fldLock="1"/>
      </w:r>
      <w:r w:rsidR="00E735C1" w:rsidRPr="00A0151B">
        <w:rPr>
          <w:rFonts w:cs="Calibri"/>
        </w:rPr>
        <w:instrText>ADDIN CSL_CITATION {"citationItems":[{"id":"ITEM-1","itemData":{"DOI":"10.1016/j.ijdrr.2020.101744","ISSN":"22124209","abstract":"Gentrification and urban development in coastal megacities have increased community resilience due to better physical and socioeconomic conditions to cope with natural hazards. However, perceived community resilience, namely public belief regarding the ability of society to recover, is under-researched. In particular, specific pathways between information seeking and perceived community resilience during extreme storm events are rarely discussed. Therefore, this study applied structural equation modelling to examine the associations between the use of traditional and new information channels in typhoon-related information seeking and individual perceived community resilience, with disaster preparedness and typhoon emergency response as mediators. This analysis was based on a population-based cohort (n = 1015) and the Cantonese version of the Conjoint Community Resiliency Assessment Measure (CCRAM-10). Generally, CCRAM-10 and four of the five sub-dimensions were rated lower than average, although 89.8% of the respondents used at least two channels to acquire typhoon-related information. Direct associations were found between the use of traditional information channels (e.g., television) and greater perceived community resilience (β = 0.096; SE = 0.035), and two indirect associations were found via individual disaster preparedness behaviours and typhoon emergency response behaviours. However, we found only indirect associations between the use of new information channels (e.g., social media) and greater perceived community resilience via individual and household disaster preparedness behaviours. These associations suggest that community-based programmes should consider improving perceived community resilience by making more information-seeking channels available for residents. To increase urban resilience in coastal areas, new information channels should also be synergised with both top-down and bottom-up typhoon-related information as well as physical and socioeconomic conditions of the urban environment for urban governance and community-based disaster management.","author":[{"dropping-particle":"","family":"Guo","given":"Chunlan","non-dropping-particle":"","parse-names":false,"suffix":""},{"dropping-particle":"","family":"Sim","given":"Timothy","non-dropping-particle":"","parse-names":false,"suffix":""},{"dropping-particle":"","family":"Ho","given":"Hung Chak","non-dropping-particle":"","parse-names":false,"suffix":""}],"container-title":"International Journal of Disaster Risk Reduction","id":"ITEM-1","issued":{"date-parts":[["2020"]]},"title":"Impact of information seeking, disaster preparedness and typhoon emergency response on perceived community resilience in Hong Kong","type":"article","volume":"50"},"uris":["http://www.mendeley.com/documents/?uuid=92f88dde-7b14-4e37-a77d-d2ee2ab52642"]}],"mendeley":{"formattedCitation":"(Guo, Sim, &amp; Ho, 2020)","plainTextFormattedCitation":"(Guo, Sim, &amp; Ho, 2020)","previouslyFormattedCitation":"(Guo, Sim, &amp; Ho, 2020)"},"properties":{"noteIndex":0},"schema":"https://github.com/citation-style-language/schema/raw/master/csl-citation.json"}</w:instrText>
      </w:r>
      <w:r w:rsidRPr="00A0151B">
        <w:rPr>
          <w:rFonts w:cs="Calibri"/>
        </w:rPr>
        <w:fldChar w:fldCharType="separate"/>
      </w:r>
      <w:r w:rsidR="00E735C1" w:rsidRPr="00A0151B">
        <w:rPr>
          <w:rFonts w:cs="Calibri"/>
          <w:noProof/>
        </w:rPr>
        <w:t>(Guo, Sim, &amp; Ho, 2020)</w:t>
      </w:r>
      <w:r w:rsidRPr="00A0151B">
        <w:rPr>
          <w:rFonts w:cs="Calibri"/>
        </w:rPr>
        <w:fldChar w:fldCharType="end"/>
      </w:r>
      <w:r w:rsidRPr="00A0151B">
        <w:rPr>
          <w:rFonts w:cs="Calibri"/>
        </w:rPr>
        <w:t xml:space="preserve">. Migrants may not be aware of warning systems or the local environment, therefore the first step is to understand the risk and then develop the </w:t>
      </w:r>
      <w:r w:rsidRPr="00A0151B">
        <w:rPr>
          <w:rFonts w:cs="Calibri"/>
        </w:rPr>
        <w:lastRenderedPageBreak/>
        <w:t xml:space="preserve">preparedness, which will then develop resilience </w:t>
      </w:r>
      <w:r w:rsidRPr="00A0151B">
        <w:rPr>
          <w:rFonts w:cs="Calibri"/>
        </w:rPr>
        <w:fldChar w:fldCharType="begin" w:fldLock="1"/>
      </w:r>
      <w:r w:rsidR="00E735C1" w:rsidRPr="00A0151B">
        <w:rPr>
          <w:rFonts w:cs="Calibri"/>
        </w:rPr>
        <w:instrText>ADDIN CSL_CITATION {"citationItems":[{"id":"ITEM-1","itemData":{"DOI":"10.1016/j.ijdrr.2020.101744","ISSN":"22124209","abstract":"Gentrification and urban development in coastal megacities have increased community resilience due to better physical and socioeconomic conditions to cope with natural hazards. However, perceived community resilience, namely public belief regarding the ability of society to recover, is under-researched. In particular, specific pathways between information seeking and perceived community resilience during extreme storm events are rarely discussed. Therefore, this study applied structural equation modelling to examine the associations between the use of traditional and new information channels in typhoon-related information seeking and individual perceived community resilience, with disaster preparedness and typhoon emergency response as mediators. This analysis was based on a population-based cohort (n = 1015) and the Cantonese version of the Conjoint Community Resiliency Assessment Measure (CCRAM-10). Generally, CCRAM-10 and four of the five sub-dimensions were rated lower than average, although 89.8% of the respondents used at least two channels to acquire typhoon-related information. Direct associations were found between the use of traditional information channels (e.g., television) and greater perceived community resilience (β = 0.096; SE = 0.035), and two indirect associations were found via individual disaster preparedness behaviours and typhoon emergency response behaviours. However, we found only indirect associations between the use of new information channels (e.g., social media) and greater perceived community resilience via individual and household disaster preparedness behaviours. These associations suggest that community-based programmes should consider improving perceived community resilience by making more information-seeking channels available for residents. To increase urban resilience in coastal areas, new information channels should also be synergised with both top-down and bottom-up typhoon-related information as well as physical and socioeconomic conditions of the urban environment for urban governance and community-based disaster management.","author":[{"dropping-particle":"","family":"Guo","given":"Chunlan","non-dropping-particle":"","parse-names":false,"suffix":""},{"dropping-particle":"","family":"Sim","given":"Timothy","non-dropping-particle":"","parse-names":false,"suffix":""},{"dropping-particle":"","family":"Ho","given":"Hung Chak","non-dropping-particle":"","parse-names":false,"suffix":""}],"container-title":"International Journal of Disaster Risk Reduction","id":"ITEM-1","issued":{"date-parts":[["2020"]]},"title":"Impact of information seeking, disaster preparedness and typhoon emergency response on perceived community resilience in Hong Kong","type":"article","volume":"50"},"uris":["http://www.mendeley.com/documents/?uuid=92f88dde-7b14-4e37-a77d-d2ee2ab52642"]}],"mendeley":{"formattedCitation":"(Guo, Sim, &amp; Ho, 2020)","plainTextFormattedCitation":"(Guo, Sim, &amp; Ho, 2020)","previouslyFormattedCitation":"(Guo, Sim, &amp; Ho, 2020)"},"properties":{"noteIndex":0},"schema":"https://github.com/citation-style-language/schema/raw/master/csl-citation.json"}</w:instrText>
      </w:r>
      <w:r w:rsidRPr="00A0151B">
        <w:rPr>
          <w:rFonts w:cs="Calibri"/>
        </w:rPr>
        <w:fldChar w:fldCharType="separate"/>
      </w:r>
      <w:r w:rsidR="00E735C1" w:rsidRPr="00A0151B">
        <w:rPr>
          <w:rFonts w:cs="Calibri"/>
          <w:noProof/>
        </w:rPr>
        <w:t>(Guo, Sim, &amp; Ho, 2020)</w:t>
      </w:r>
      <w:r w:rsidRPr="00A0151B">
        <w:rPr>
          <w:rFonts w:cs="Calibri"/>
        </w:rPr>
        <w:fldChar w:fldCharType="end"/>
      </w:r>
      <w:r w:rsidRPr="00A0151B">
        <w:rPr>
          <w:rFonts w:cs="Calibri"/>
        </w:rPr>
        <w:t xml:space="preserve">. This was also found in a study in north-west China, which identified the importance of public participation combined with awareness preparedness to develop community resilience </w:t>
      </w:r>
      <w:r w:rsidRPr="00A0151B">
        <w:rPr>
          <w:rFonts w:cs="Calibri"/>
        </w:rPr>
        <w:fldChar w:fldCharType="begin" w:fldLock="1"/>
      </w:r>
      <w:r w:rsidRPr="00A0151B">
        <w:rPr>
          <w:rFonts w:cs="Calibri"/>
        </w:rPr>
        <w:instrText>ADDIN CSL_CITATION {"citationItems":[{"id":"ITEM-1","itemData":{"DOI":"10.1007/s11069-021-04712-x","ISBN":"1106902104712","ISSN":"15730840","abstract":"Disaster preparedness is an essential way to improve community resilience. This study examines the linkage between Chinese villagers’ adoption of disaster preparedness activities and their perception of community resilience, measured by the Communities Advancing Resilience Toolkit. Survey data from three villages with different landscapes (loess plateau, plain and mountain) in northwest China with great earthquake risks but no occurrence for many years is used. Regression analyses demonstrate that the awareness related preparedness and public participation preparedness are significantly and positively associated with the community resilience assessment, while the material preparedness is not significant nor consistent across the domains of community resilience. Moreover, place (i.e., landscapes) matter in residents’ assessment of their community resilience: villagers from the plain area and mountainous area reported much higher resilience scores, compared to those who live in the loess plateau.","author":[{"dropping-particle":"","family":"Sim","given":"Timothy","non-dropping-particle":"","parse-names":false,"suffix":""},{"dropping-particle":"","family":"Han","given":"Ziqiang","non-dropping-particle":"","parse-names":false,"suffix":""},{"dropping-particle":"","family":"Guo","given":"Chunlan","non-dropping-particle":"","parse-names":false,"suffix":""},{"dropping-particle":"","family":"Lau","given":"Jocelyn","non-dropping-particle":"","parse-names":false,"suffix":""},{"dropping-particle":"","family":"Yu","given":"Junlei","non-dropping-particle":"","parse-names":false,"suffix":""},{"dropping-particle":"","family":"Su","given":"Guiwu","non-dropping-particle":"","parse-names":false,"suffix":""}],"container-title":"Natural Hazards","id":"ITEM-1","issue":"1","issued":{"date-parts":[["2021"]]},"page":"907-923","title":"Disaster preparedness, perceived community resilience, and place of rural villages in northwest China","type":"article-journal","volume":"108"},"uris":["http://www.mendeley.com/documents/?uuid=d1bb4445-7b1b-44b1-9932-bd080d648e64"]}],"mendeley":{"formattedCitation":"(Sim et al., 2021)","plainTextFormattedCitation":"(Sim et al., 2021)","previouslyFormattedCitation":"(Sim et al., 2021)"},"properties":{"noteIndex":0},"schema":"https://github.com/citation-style-language/schema/raw/master/csl-citation.json"}</w:instrText>
      </w:r>
      <w:r w:rsidRPr="00A0151B">
        <w:rPr>
          <w:rFonts w:cs="Calibri"/>
        </w:rPr>
        <w:fldChar w:fldCharType="separate"/>
      </w:r>
      <w:r w:rsidRPr="00A0151B">
        <w:rPr>
          <w:rFonts w:cs="Calibri"/>
          <w:noProof/>
        </w:rPr>
        <w:t>(Sim et al., 2021)</w:t>
      </w:r>
      <w:r w:rsidRPr="00A0151B">
        <w:rPr>
          <w:rFonts w:cs="Calibri"/>
        </w:rPr>
        <w:fldChar w:fldCharType="end"/>
      </w:r>
      <w:r w:rsidRPr="00A0151B">
        <w:rPr>
          <w:rFonts w:cs="Calibri"/>
        </w:rPr>
        <w:t xml:space="preserve">. Simply put, emergency preparedness is intrinsically linked to the building of resilience in individuals and communities </w:t>
      </w:r>
      <w:r w:rsidRPr="00A0151B">
        <w:rPr>
          <w:rFonts w:cs="Calibri"/>
        </w:rPr>
        <w:fldChar w:fldCharType="begin" w:fldLock="1"/>
      </w:r>
      <w:r w:rsidRPr="00A0151B">
        <w:rPr>
          <w:rFonts w:cs="Calibri"/>
        </w:rPr>
        <w:instrText>ADDIN CSL_CITATION {"citationItems":[{"id":"ITEM-1","itemData":{"DOI":"10.1007/s11069-021-04712-x","ISBN":"1106902104712","ISSN":"15730840","abstract":"Disaster preparedness is an essential way to improve community resilience. This study examines the linkage between Chinese villagers’ adoption of disaster preparedness activities and their perception of community resilience, measured by the Communities Advancing Resilience Toolkit. Survey data from three villages with different landscapes (loess plateau, plain and mountain) in northwest China with great earthquake risks but no occurrence for many years is used. Regression analyses demonstrate that the awareness related preparedness and public participation preparedness are significantly and positively associated with the community resilience assessment, while the material preparedness is not significant nor consistent across the domains of community resilience. Moreover, place (i.e., landscapes) matter in residents’ assessment of their community resilience: villagers from the plain area and mountainous area reported much higher resilience scores, compared to those who live in the loess plateau.","author":[{"dropping-particle":"","family":"Sim","given":"Timothy","non-dropping-particle":"","parse-names":false,"suffix":""},{"dropping-particle":"","family":"Han","given":"Ziqiang","non-dropping-particle":"","parse-names":false,"suffix":""},{"dropping-particle":"","family":"Guo","given":"Chunlan","non-dropping-particle":"","parse-names":false,"suffix":""},{"dropping-particle":"","family":"Lau","given":"Jocelyn","non-dropping-particle":"","parse-names":false,"suffix":""},{"dropping-particle":"","family":"Yu","given":"Junlei","non-dropping-particle":"","parse-names":false,"suffix":""},{"dropping-particle":"","family":"Su","given":"Guiwu","non-dropping-particle":"","parse-names":false,"suffix":""}],"container-title":"Natural Hazards","id":"ITEM-1","issue":"1","issued":{"date-parts":[["2021"]]},"page":"907-923","title":"Disaster preparedness, perceived community resilience, and place of rural villages in northwest China","type":"article-journal","volume":"108"},"uris":["http://www.mendeley.com/documents/?uuid=d1bb4445-7b1b-44b1-9932-bd080d648e64"]}],"mendeley":{"formattedCitation":"(Sim et al., 2021)","plainTextFormattedCitation":"(Sim et al., 2021)","previouslyFormattedCitation":"(Sim et al., 2021)"},"properties":{"noteIndex":0},"schema":"https://github.com/citation-style-language/schema/raw/master/csl-citation.json"}</w:instrText>
      </w:r>
      <w:r w:rsidRPr="00A0151B">
        <w:rPr>
          <w:rFonts w:cs="Calibri"/>
        </w:rPr>
        <w:fldChar w:fldCharType="separate"/>
      </w:r>
      <w:r w:rsidRPr="00A0151B">
        <w:rPr>
          <w:rFonts w:cs="Calibri"/>
          <w:noProof/>
        </w:rPr>
        <w:t>(Sim et al., 2021)</w:t>
      </w:r>
      <w:r w:rsidRPr="00A0151B">
        <w:rPr>
          <w:rFonts w:cs="Calibri"/>
        </w:rPr>
        <w:fldChar w:fldCharType="end"/>
      </w:r>
      <w:r w:rsidRPr="00A0151B">
        <w:rPr>
          <w:rFonts w:cs="Calibri"/>
        </w:rPr>
        <w:t xml:space="preserve">. This therefore links to the </w:t>
      </w:r>
      <w:r w:rsidR="00921B36">
        <w:rPr>
          <w:rFonts w:cs="Calibri"/>
        </w:rPr>
        <w:t>p</w:t>
      </w:r>
      <w:r w:rsidRPr="00A0151B">
        <w:rPr>
          <w:rFonts w:cs="Calibri"/>
        </w:rPr>
        <w:t xml:space="preserve">rotection </w:t>
      </w:r>
      <w:r w:rsidR="00921B36">
        <w:rPr>
          <w:rFonts w:cs="Calibri"/>
        </w:rPr>
        <w:t>m</w:t>
      </w:r>
      <w:r w:rsidRPr="00A0151B">
        <w:rPr>
          <w:rFonts w:cs="Calibri"/>
        </w:rPr>
        <w:t xml:space="preserve">otivation </w:t>
      </w:r>
      <w:r w:rsidR="00921B36">
        <w:rPr>
          <w:rFonts w:cs="Calibri"/>
        </w:rPr>
        <w:t>t</w:t>
      </w:r>
      <w:r w:rsidRPr="00A0151B">
        <w:rPr>
          <w:rFonts w:cs="Calibri"/>
        </w:rPr>
        <w:t xml:space="preserve">heory, that coping appraisal can only be conducted when there is an understanding of the risk through the development of threat appraisal </w:t>
      </w:r>
      <w:r w:rsidRPr="00A0151B">
        <w:rPr>
          <w:rFonts w:cs="Calibri"/>
        </w:rPr>
        <w:fldChar w:fldCharType="begin" w:fldLock="1"/>
      </w:r>
      <w:r w:rsidRPr="00A0151B">
        <w:rPr>
          <w:rFonts w:cs="Calibri"/>
        </w:rPr>
        <w:instrText>ADDIN CSL_CITATION {"citationItems":[{"id":"ITEM-1","itemData":{"DOI":"10.1080/19371918.2021.2018082","ISSN":"1937190X","PMID":"34962187","abstract":"COVID-19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Health","id":"ITEM-1","issue":"5","issued":{"date-parts":[["2022"]]},"page":"419-434","title":"An Integrated Approach to COVID-19 Preventive Behaviour Intentions: Protection Motivation Theory, Information Acquisition, and Trust","type":"article-journal","volume":"37"},"uris":["http://www.mendeley.com/documents/?uuid=8abd72eb-8ae4-4af7-9da1-be357bf94394"]},{"id":"ITEM-2","itemData":{"DOI":"10.1016/j.ijdrr.2021.102759","ISSN":"22124209","abstract":"The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Reduction","id":"ITEM-2","issued":{"date-parts":[["2022"]]},"page":"1 - 16","title":"Determination of factors affecting the response efficacy of Filipinos under Typhoon Conson 2021 (Jolina): An extended protection motivation theory approach","type":"article-journal","volume":"70"},"uris":["http://www.mendeley.com/documents/?uuid=df8c524a-2262-493d-9e98-6620d59903d4"]},{"id":"ITEM-3","itemData":{"DOI":"10.1007/s11069-017-3111-0","ISSN":"15730840","abstract":"Communicating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Hazards","id":"ITEM-3","issued":{"date-parts":[["2018"]]},"page":"1461-1483","title":"How does information affect fire risk reduction behaviors? Mediating effects of cognitive processes and subjective knowledge","type":"article-journal","volume":"90"},"uris":["http://www.mendeley.com/documents/?uuid=b253cc58-5f59-4b2e-9c77-76be2b2788b4"]},{"id":"ITEM-4","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Hazards","id":"ITEM-4","issued":{"date-parts":[["2018"]]},"page":"1665-1686","publisher":"Springer Netherlands","title":"Rethinking flood risk communication","type":"article-journal","volume":"92"},"uris":["http://www.mendeley.com/documents/?uuid=a75b9d7a-46e6-41f1-a446-75375a9342c5"]},{"id":"ITEM-5","itemData":{"DOI":"10.1061/(asce)nh.1527-6996.0000294","ISBN":"0000000167","ISSN":"1527-6988","abstract":"©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Review","id":"ITEM-5","issue":"3","issued":{"date-parts":[["2018"]]},"page":"1 - 21","title":"Flood Risk Assessment, Future Trend Modeling, and Risk Communication: A Review of Ongoing Research","type":"article-journal","volume":"19"},"uris":["http://www.mendeley.com/documents/?uuid=72f77961-1216-4228-ab43-b36cf7f2e2d4"]}],"mendeley":{"formattedCitation":"(Acar &amp; Kıcali, 2022; Gumasing et al., 2022; Liu &amp; Jiao, 2018; Rollason et al., 2018; Salman &amp; Li, 2018)","plainTextFormattedCitation":"(Acar &amp; Kıcali, 2022; Gumasing et al., 2022; Liu &amp; Jiao, 2018; Rollason et al., 2018; Salman &amp; Li, 2018)","previouslyFormattedCitation":"(Acar &amp; Kıcali, 2022; Gumasing et al., 2022; Liu &amp; Jiao, 2018; Rollason et al., 2018; Salman &amp; Li, 2018)"},"properties":{"noteIndex":0},"schema":"https://github.com/citation-style-language/schema/raw/master/csl-citation.json"}</w:instrText>
      </w:r>
      <w:r w:rsidRPr="00A0151B">
        <w:rPr>
          <w:rFonts w:cs="Calibri"/>
        </w:rPr>
        <w:fldChar w:fldCharType="separate"/>
      </w:r>
      <w:r w:rsidRPr="00A0151B">
        <w:rPr>
          <w:rFonts w:cs="Calibri"/>
          <w:noProof/>
        </w:rPr>
        <w:t>(Acar &amp; Kıcali, 2022; Gumasing et al., 2022; Liu &amp; Jiao, 2018; Rollason et al., 2018; Salman &amp; Li, 2018)</w:t>
      </w:r>
      <w:r w:rsidRPr="00A0151B">
        <w:rPr>
          <w:rFonts w:cs="Calibri"/>
        </w:rPr>
        <w:fldChar w:fldCharType="end"/>
      </w:r>
      <w:r w:rsidRPr="00A0151B">
        <w:rPr>
          <w:rFonts w:cs="Calibri"/>
        </w:rPr>
        <w:t xml:space="preserve">. </w:t>
      </w:r>
    </w:p>
    <w:p w14:paraId="103A8AC4" w14:textId="7073B269" w:rsidR="009B7473" w:rsidRDefault="009B7473" w:rsidP="009B7473">
      <w:pPr>
        <w:rPr>
          <w:rFonts w:cs="Calibri"/>
        </w:rPr>
      </w:pPr>
      <w:bookmarkStart w:id="739" w:name="_Hlk178607940"/>
      <w:r>
        <w:rPr>
          <w:rFonts w:cs="Calibri"/>
        </w:rPr>
        <w:t xml:space="preserve">This therefore suggests the role of risk communication to start the process of developing resilience through prevention. One can therefore view risk communication as inherently linked to the </w:t>
      </w:r>
      <w:r w:rsidR="00912954">
        <w:rPr>
          <w:rFonts w:cs="Calibri"/>
        </w:rPr>
        <w:t>D</w:t>
      </w:r>
      <w:r>
        <w:rPr>
          <w:rFonts w:cs="Calibri"/>
        </w:rPr>
        <w:t xml:space="preserve">eficit </w:t>
      </w:r>
      <w:r w:rsidR="00912954">
        <w:rPr>
          <w:rFonts w:cs="Calibri"/>
        </w:rPr>
        <w:t>M</w:t>
      </w:r>
      <w:r>
        <w:rPr>
          <w:rFonts w:cs="Calibri"/>
        </w:rPr>
        <w:t xml:space="preserve">odel, namely that it provides the information and then expects action </w:t>
      </w:r>
      <w:r>
        <w:fldChar w:fldCharType="begin" w:fldLock="1"/>
      </w:r>
      <w:r>
        <w:rPr>
          <w:rFonts w:cs="Calibri"/>
        </w:rPr>
        <w:instrText>ADDIN CSL_CITATION {"citationItems":[{"id":"ITEM-1","itemData":{"DOI":"10.1016/j.proeng.2018.01.032","ISSN":"18777058","abstract":"The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Engineering","id":"ITEM-1","issued":{"date-parts":[["2018"]]},"page":"246-253","publisher":"Elsevier B.V.","title":"Conceptual Framework for Motivating Actions towards Disaster Preparedness Through Risk Communication","type":"article-journal","volume":"212"},"uris":["http://www.mendeley.com/documents/?uuid=01e245d0-867b-47cd-8164-80d2bc1d7862"]},{"id":"ITEM-2","itemData":{"DOI":"10.1016/j.gloenvcha.2019.03.001","ISSN":"09593780","abstract":"'Participation with publics' has been embraced in both government and academic literatures as a necessary but currently unrealized means of governing socio-environmental challenges. This near-universal embrace carries global significance. Long-standing efforts in the context of disaster risk reduction (DRR) provide an opportunity to consider how experts have positioned participation such that it can only fail to empower publics. Using interviews with risk managers, we demonstrate that they impose boundaries on participation via application of a deficit model (DM). Despite continuous calls to make governance more participatory, we explore how the boundaries imposed on participation persist because of how experts are expected to do risk management, and how experts understand their occupations. As a result, meaningful publics-experts interactions are bounded into impossibility. Following demonstration of the DM as the essence of how experts conceive experts-publics interactions, using experts' own suggestions for improving risk reduction, we suggest relationship building as a way of reinvigorating participation. We explore how disaster risk reduction grounded in relationships could overcome existing boundaries, offering an easily-applied reconceptualization for differentiating meaningful from superficial participation, as well as a viable alternative to prevailing participatory methods. Given the intransigence of countless socio-environmental challenges and the need for improved interactions amongst experts-publics, the findings offer a novel pathway that may open an avenue to realizing the promise of participation.","author":[{"dropping-particle":"","family":"Cook","given":"Brian R.","non-dropping-particle":"","parse-names":false,"suffix":""},{"dropping-particle":"","family":"Melo Zurita","given":"Maria de Lourdes","non-dropping-particle":"","parse-names":false,"suffix":""}],"container-title":"Global Environmental Change","id":"ITEM-2","issue":"May","issued":{"date-parts":[["2019"]]},"page":"56-65","publisher":"Elsevier Ltd","title":"Fulfilling the promise of participation by not resuscitating the deficit model","type":"article-journal","volume":"56"},"uris":["http://www.mendeley.com/documents/?uuid=de577b06-4442-4293-9291-43a20bc460b6"]},{"id":"ITEM-3","itemData":{"DOI":"10.1080/13669877.2020.1756385","ISSN":"14664461","abstract":"The emergence of the 2019 novel coronavirus has led to more than a pandemic—indeed, COVID-19 is spawning myriad other concerns as it rapidly marches around the globe. One of these concerns is a surge of misinformation, which we argue should be viewed as a risk in its own right, and to which insights from decades of risk communication research must be applied. Further, when the subject of misinformation is itself a risk, as in the case of COVID-19, we argue for the utility of viewing the problem as a multi-layered risk communication problem. In such circumstances, misinformation functions as a meta-risk that interacts with and complicates publics’ perceptions of the original risk. Therefore, as the COVID-19 “misinfodemic” intensifies, risk communication research should inform the efforts of key risk communicators. To this end, we discuss the implications of risk research for efforts to fact-check COVID-19 misinformation and offer practical recommendations.","author":[{"dropping-particle":"","family":"Krause","given":"Nicole M.","non-dropping-particle":"","parse-names":false,"suffix":""},{"dropping-particle":"","family":"Freiling","given":"Isabelle","non-dropping-particle":"","parse-names":false,"suffix":""},{"dropping-particle":"","family":"Beets","given":"Becca","non-dropping-particle":"","parse-names":false,"suffix":""},{"dropping-particle":"","family":"Brossard","given":"Dominique","non-dropping-particle":"","parse-names":false,"suffix":""}],"container-title":"Journal of Risk Research","id":"ITEM-3","issue":"7-8","issued":{"date-parts":[["2020"]]},"page":"1052-1059","publisher":"Routledge","title":"Fact-checking as risk communication: the multi-layered risk of misinformation in times of COVID-19","type":"article-journal","volume":"23"},"uris":["http://www.mendeley.com/documents/?uuid=26d3c928-b5da-4496-be25-28ce98d4ef48"]}],"mendeley":{"formattedCitation":"(Krause et al., 2020; Cook &amp; Melo Zurita, 2019; Abunyewah, Gajendran, &amp; Maund, 2018)","plainTextFormattedCitation":"(Krause et al., 2020; Cook &amp; Melo Zurita, 2019; Abunyewah, Gajendran, &amp; Maund, 2018)","previouslyFormattedCitation":"(Krause et al., 2020; Cook &amp; Melo Zurita, 2019; Abunyewah, Gajendran, &amp; Maund, 2018)"},"properties":{"noteIndex":0},"schema":"https://github.com/citation-style-language/schema/raw/master/csl-citation.json"}</w:instrText>
      </w:r>
      <w:r>
        <w:rPr>
          <w:rFonts w:cs="Calibri"/>
        </w:rPr>
        <w:fldChar w:fldCharType="separate"/>
      </w:r>
      <w:r>
        <w:rPr>
          <w:rFonts w:cs="Calibri"/>
          <w:noProof/>
        </w:rPr>
        <w:t>(Krause et al., 2020; Cook &amp; Melo Zurita, 2019; Abunyewah, Gajendran, &amp; Maund, 2018)</w:t>
      </w:r>
      <w:r>
        <w:rPr>
          <w:rFonts w:cs="Calibri"/>
        </w:rPr>
        <w:fldChar w:fldCharType="end"/>
      </w:r>
      <w:r>
        <w:rPr>
          <w:rFonts w:cs="Calibri"/>
        </w:rPr>
        <w:t xml:space="preserve">. However, it can also be viewed as the first step towards preventative communication, </w:t>
      </w:r>
      <w:r w:rsidR="006C38B9">
        <w:rPr>
          <w:rFonts w:cs="Calibri"/>
        </w:rPr>
        <w:t xml:space="preserve">providing the information of the risk, to then support the development of prevention. This requires either direct engagement between SYFR and their communities, such as home safety visits, or further communication which has </w:t>
      </w:r>
      <w:r>
        <w:rPr>
          <w:rFonts w:cs="Calibri"/>
        </w:rPr>
        <w:t>action embedded within t</w:t>
      </w:r>
      <w:r w:rsidR="006C38B9">
        <w:rPr>
          <w:rFonts w:cs="Calibri"/>
        </w:rPr>
        <w:t xml:space="preserve">he message. </w:t>
      </w:r>
      <w:r>
        <w:rPr>
          <w:rFonts w:cs="Calibri"/>
        </w:rPr>
        <w:t xml:space="preserve">One can see both risk and preventative communication within the work of SYFR, especially with the FRSA (2004) and the emphasis on prevention as discussed within this chapter. </w:t>
      </w:r>
    </w:p>
    <w:p w14:paraId="2CFBBB32" w14:textId="77777777" w:rsidR="009B7473" w:rsidRDefault="009B7473" w:rsidP="009B7473">
      <w:pPr>
        <w:rPr>
          <w:rFonts w:cs="Calibri"/>
        </w:rPr>
      </w:pPr>
    </w:p>
    <w:p w14:paraId="1DBD543F" w14:textId="1AF9E517" w:rsidR="00787F73" w:rsidRDefault="00742FB7">
      <w:pPr>
        <w:rPr>
          <w:rFonts w:cs="Calibri"/>
          <w:color w:val="000000"/>
        </w:rPr>
      </w:pPr>
      <w:r w:rsidRPr="00C673A5">
        <w:rPr>
          <w:rFonts w:cs="Calibri"/>
          <w:color w:val="000000"/>
        </w:rPr>
        <w:t xml:space="preserve">SYFR’s focus on prevention of fire rather than building resilience </w:t>
      </w:r>
      <w:r w:rsidR="00E61835" w:rsidRPr="00C673A5">
        <w:rPr>
          <w:rFonts w:cs="Calibri"/>
          <w:color w:val="000000"/>
        </w:rPr>
        <w:t xml:space="preserve">is related to </w:t>
      </w:r>
      <w:r w:rsidRPr="00C673A5">
        <w:rPr>
          <w:rFonts w:cs="Calibri"/>
          <w:color w:val="000000"/>
        </w:rPr>
        <w:t xml:space="preserve"> their statutory obligation, but also perhaps due to the growing New Public Management logics (discussed in chapter 5) with a focus on quantifiable measures (discussed later in this chapter). </w:t>
      </w:r>
      <w:r w:rsidR="00E16D30" w:rsidRPr="00C673A5">
        <w:rPr>
          <w:rFonts w:cs="Calibri"/>
          <w:color w:val="000000"/>
        </w:rPr>
        <w:t>Whil</w:t>
      </w:r>
      <w:r w:rsidR="00E16D30">
        <w:rPr>
          <w:rFonts w:cs="Calibri"/>
          <w:color w:val="000000"/>
        </w:rPr>
        <w:t>e</w:t>
      </w:r>
      <w:r w:rsidR="00E16D30" w:rsidRPr="00C673A5">
        <w:rPr>
          <w:rFonts w:cs="Calibri"/>
          <w:color w:val="000000"/>
        </w:rPr>
        <w:t xml:space="preserve"> </w:t>
      </w:r>
      <w:r w:rsidRPr="00C673A5">
        <w:rPr>
          <w:rFonts w:cs="Calibri"/>
          <w:color w:val="000000"/>
        </w:rPr>
        <w:t xml:space="preserve">SYFR focused on quantifiable measures from fire prevention, they were operationally involved in a wide variety of other disasters, such as flooding, pandemics and other events covered under the CCA (2004). With extreme weather events such as droughts and flooding predicted to increase across Europe due to climate change </w:t>
      </w:r>
      <w:r w:rsidRPr="00C673A5">
        <w:rPr>
          <w:rFonts w:cs="Calibri"/>
        </w:rPr>
        <w:fldChar w:fldCharType="begin" w:fldLock="1"/>
      </w:r>
      <w:r w:rsidRPr="00C673A5">
        <w:rPr>
          <w:rFonts w:cs="Calibri"/>
          <w:color w:val="000000"/>
        </w:rPr>
        <w:instrText>ADDIN CSL_CITATION {"citationItems":[{"id":"ITEM-1","itemData":{"DOI":"10.1017/9781009325844.Front","ISBN":"9781009325844","abstract":"De la bataille de Poitiers aux croisades, des échanges intellectuels du Moyen Age à l'orientalisme, de la colonisation à la guerre d'Algérie jusqu'aux débats actuels sur l'immigration, plus de soixante-dix spécialistes, historiens ou grands témoins retracent treize siècles d'une histoire politique, sociale et culturelle tumultueuse et captivante. \" C'est l'histoire culturelle qui domine ici, écrit Jacques Le Goff dans sa préface, et plus largement une histoire de l'imaginaire qui nous livre les fluctuations de l'image de l'Autre... Il s'agit de faire passer le musulman de la situation d'Autre à celle de concitoyen à part entière. Il reste sans doute un long chemin à parcourir, et l'éclairage de l'histoire depuis le Moyen Age y est nécessaire. \" Un ouvrage de référence unique, passionnant et richement illustré.","author":[{"dropping-particle":"","family":"IPCC","given":"","non-dropping-particle":"","parse-names":false,"suffix":""}],"container-title":"Working Group II contribution to the Sixth Assessment Report of the Intergovernamental Panel on Climate Change","id":"ITEM-1","issue":"August","issued":{"date-parts":[["2022"]]},"number-of-pages":"37","publisher-place":"Cambridge","title":"Climate Change 2022: Impacts, Adaptation and Vulnerability","type":"report"},"uris":["http://www.mendeley.com/documents/?uuid=b7b215cd-8a6b-4747-ab0a-070c2ec4f3b3"]}],"mendeley":{"formattedCitation":"(IPCC, 2022)","plainTextFormattedCitation":"(IPCC, 2022)","previouslyFormattedCitation":"(IPCC, 2022)"},"properties":{"noteIndex":0},"schema":"https://github.com/citation-style-language/schema/raw/master/csl-citation.json"}</w:instrText>
      </w:r>
      <w:r w:rsidRPr="00C673A5">
        <w:rPr>
          <w:rFonts w:cs="Calibri"/>
          <w:color w:val="000000"/>
        </w:rPr>
        <w:fldChar w:fldCharType="separate"/>
      </w:r>
      <w:r w:rsidRPr="00C673A5">
        <w:rPr>
          <w:rFonts w:cs="Calibri"/>
          <w:noProof/>
          <w:color w:val="000000"/>
        </w:rPr>
        <w:t>(IPCC, 2022)</w:t>
      </w:r>
      <w:r w:rsidRPr="00C673A5">
        <w:rPr>
          <w:rFonts w:cs="Calibri"/>
          <w:color w:val="000000"/>
        </w:rPr>
        <w:fldChar w:fldCharType="end"/>
      </w:r>
      <w:r w:rsidR="00E30520" w:rsidRPr="00C673A5">
        <w:rPr>
          <w:rFonts w:cs="Calibri"/>
          <w:color w:val="000000"/>
        </w:rPr>
        <w:t>.</w:t>
      </w:r>
      <w:r w:rsidRPr="00C673A5">
        <w:rPr>
          <w:rFonts w:cs="Calibri"/>
          <w:color w:val="000000"/>
        </w:rPr>
        <w:t xml:space="preserve"> </w:t>
      </w:r>
      <w:r w:rsidR="00E30520" w:rsidRPr="00C673A5">
        <w:rPr>
          <w:rFonts w:cs="Calibri"/>
          <w:color w:val="000000"/>
        </w:rPr>
        <w:t>T</w:t>
      </w:r>
      <w:r w:rsidRPr="00C673A5">
        <w:rPr>
          <w:rFonts w:cs="Calibri"/>
          <w:color w:val="000000"/>
        </w:rPr>
        <w:t>his thesis has contributed to the research by acknowledging a disconnect between political language and rhetoric and active operational language. </w:t>
      </w:r>
    </w:p>
    <w:p w14:paraId="1CE84DFC" w14:textId="77777777" w:rsidR="0013548C" w:rsidRPr="00C673A5" w:rsidRDefault="0013548C" w:rsidP="00A0151B">
      <w:pPr>
        <w:rPr>
          <w:rFonts w:cs="Calibri"/>
        </w:rPr>
      </w:pPr>
    </w:p>
    <w:bookmarkEnd w:id="739"/>
    <w:p w14:paraId="0355B10F" w14:textId="627742AD" w:rsidR="00787F73" w:rsidRDefault="00742FB7" w:rsidP="00866155">
      <w:pPr>
        <w:pStyle w:val="NormalWeb"/>
        <w:shd w:val="clear" w:color="auto" w:fill="FFFFFF"/>
        <w:spacing w:before="200" w:after="0" w:line="360" w:lineRule="auto"/>
        <w:ind w:right="-46"/>
      </w:pPr>
      <w:r>
        <w:rPr>
          <w:rFonts w:ascii="Calibri" w:hAnsi="Calibri" w:cs="Calibri"/>
          <w:color w:val="000000"/>
        </w:rPr>
        <w:t xml:space="preserve">This section provided a justification as to why the use of resilience as an analytical lens is important, and how focusing on resilience in this manner provides a variety of contributions </w:t>
      </w:r>
      <w:r>
        <w:rPr>
          <w:rFonts w:ascii="Calibri" w:hAnsi="Calibri" w:cs="Calibri"/>
          <w:color w:val="000000"/>
        </w:rPr>
        <w:lastRenderedPageBreak/>
        <w:t>not only to the growing body of resilience literature, but also to current and future policy. </w:t>
      </w:r>
      <w:r w:rsidR="00E16D30">
        <w:rPr>
          <w:rFonts w:ascii="Calibri" w:hAnsi="Calibri" w:cs="Calibri"/>
          <w:color w:val="000000"/>
        </w:rPr>
        <w:t xml:space="preserve">While </w:t>
      </w:r>
      <w:r>
        <w:rPr>
          <w:rFonts w:ascii="Calibri" w:hAnsi="Calibri" w:cs="Calibri"/>
          <w:color w:val="000000"/>
        </w:rPr>
        <w:t>SYFR viewed community resilience as an outcome, there needs to be an examination of the work that SYFR conduct with the community, and how their actions could result in community resilience. </w:t>
      </w:r>
    </w:p>
    <w:p w14:paraId="09763A75" w14:textId="77777777" w:rsidR="00787F73" w:rsidRDefault="00787F73" w:rsidP="00866155">
      <w:pPr>
        <w:ind w:right="-46"/>
      </w:pPr>
    </w:p>
    <w:p w14:paraId="17AD6237" w14:textId="77777777" w:rsidR="00787F73" w:rsidRDefault="00742FB7" w:rsidP="00866155">
      <w:pPr>
        <w:pStyle w:val="Heading2"/>
        <w:ind w:right="-46"/>
      </w:pPr>
      <w:bookmarkStart w:id="740" w:name="_Hlk1557130371"/>
      <w:bookmarkStart w:id="741" w:name="_Toc157970999"/>
      <w:bookmarkStart w:id="742" w:name="_Toc157970784"/>
      <w:bookmarkStart w:id="743" w:name="_Toc151994224"/>
      <w:bookmarkStart w:id="744" w:name="_Toc151905011"/>
      <w:bookmarkStart w:id="745" w:name="_Toc151994199"/>
      <w:bookmarkStart w:id="746" w:name="_Toc153554352"/>
      <w:bookmarkStart w:id="747" w:name="_Toc193367235"/>
      <w:bookmarkEnd w:id="740"/>
      <w:r>
        <w:t>4.3: How does SYFR work with the community?</w:t>
      </w:r>
      <w:bookmarkEnd w:id="741"/>
      <w:bookmarkEnd w:id="742"/>
      <w:bookmarkEnd w:id="743"/>
      <w:bookmarkEnd w:id="744"/>
      <w:bookmarkEnd w:id="745"/>
      <w:bookmarkEnd w:id="746"/>
      <w:bookmarkEnd w:id="747"/>
    </w:p>
    <w:p w14:paraId="719D84EF" w14:textId="1445D179" w:rsidR="00787F73" w:rsidRDefault="00E16D30" w:rsidP="00866155">
      <w:pPr>
        <w:ind w:right="-46"/>
      </w:pPr>
      <w:r>
        <w:rPr>
          <w:rFonts w:cs="Calibri"/>
        </w:rPr>
        <w:t xml:space="preserve">While </w:t>
      </w:r>
      <w:r w:rsidR="00742FB7">
        <w:rPr>
          <w:rFonts w:cs="Calibri"/>
        </w:rPr>
        <w:t xml:space="preserve">SYFR did not explicitly define community resilience, various sections of their organisation worked towards it. To better examine how SYFR can use social media for community resilience, there needs to be an understanding of the work that is being conducted in different departments, such as the Business Continuity and Resilience team, the Community Safety team, and finally, the Communications team. </w:t>
      </w:r>
    </w:p>
    <w:p w14:paraId="4301C46D" w14:textId="77777777" w:rsidR="00787F73" w:rsidRDefault="00787F73" w:rsidP="00866155">
      <w:pPr>
        <w:ind w:right="-46"/>
        <w:rPr>
          <w:rFonts w:cs="Calibri"/>
        </w:rPr>
      </w:pPr>
    </w:p>
    <w:p w14:paraId="35D97053" w14:textId="77777777" w:rsidR="00787F73" w:rsidRDefault="00742FB7" w:rsidP="00866155">
      <w:pPr>
        <w:pStyle w:val="Heading3"/>
        <w:ind w:right="-46"/>
      </w:pPr>
      <w:bookmarkStart w:id="748" w:name="_Toc157970785"/>
      <w:bookmarkStart w:id="749" w:name="_Toc157971000"/>
      <w:bookmarkStart w:id="750" w:name="_Toc151994200"/>
      <w:bookmarkStart w:id="751" w:name="_Toc151905012"/>
      <w:bookmarkStart w:id="752" w:name="_Toc193367236"/>
      <w:r>
        <w:t>4.3.1: Business Continuity and Resilience team</w:t>
      </w:r>
      <w:bookmarkEnd w:id="748"/>
      <w:bookmarkEnd w:id="749"/>
      <w:bookmarkEnd w:id="750"/>
      <w:bookmarkEnd w:id="751"/>
      <w:bookmarkEnd w:id="752"/>
      <w:r>
        <w:t xml:space="preserve"> </w:t>
      </w:r>
    </w:p>
    <w:p w14:paraId="71B6FB1D" w14:textId="77777777" w:rsidR="00787F73" w:rsidRDefault="00742FB7" w:rsidP="00866155">
      <w:pPr>
        <w:ind w:right="-46"/>
      </w:pPr>
      <w:r>
        <w:rPr>
          <w:rFonts w:cs="Calibri"/>
        </w:rPr>
        <w:t xml:space="preserve">The Business Continuity and Resilience team (BCR) worked predominantly within SYFR focusing on ensuring the service was resilient to emergencies and disasters. They partnered with other agencies, organisations, and businesses across South Yorkshire. This included the creation and maintenance of contingency plans related to major incidents, such as weather, flooding, and industrial action. As well as the creation of plans for specific locations, such as sports stadiums or railway tunnels. The EPO explained that they created a plan for everything that is covered in the FRS Act (2004), although in practice it was predominantly fires and road traffic incidents. These plans focused on what SYFR will do if there is a major incident across South Yorkshire, or in the specific area or venue. This suggests the BCR team were working towards a proactive resilience, building capacity in the organisation and team prior to an event happening (Carmen et al., 2022). </w:t>
      </w:r>
    </w:p>
    <w:p w14:paraId="13CC7502" w14:textId="77777777" w:rsidR="00787F73" w:rsidRDefault="00787F73" w:rsidP="00866155">
      <w:pPr>
        <w:ind w:right="-46"/>
        <w:rPr>
          <w:rFonts w:cs="Calibri"/>
        </w:rPr>
      </w:pPr>
    </w:p>
    <w:p w14:paraId="25B18FBE" w14:textId="77777777" w:rsidR="00787F73" w:rsidRDefault="00742FB7" w:rsidP="00866155">
      <w:pPr>
        <w:ind w:right="-46"/>
      </w:pPr>
      <w:r>
        <w:rPr>
          <w:rFonts w:cs="Calibri"/>
        </w:rPr>
        <w:t xml:space="preserve">In the creation of these plans, other agencies such as the police, ambulance and local authorities were consulted to ensure that all responders had the same plans and could work cohesively in an incident, which is a statutory obligation under the CCA (2004). The EPO mentioned that they work and plan with other agencies on a range of topics that they do not conduct community prevention work for, which suggests that SYFR had the obligation to </w:t>
      </w:r>
      <w:r>
        <w:rPr>
          <w:rFonts w:cs="Calibri"/>
          <w:i/>
          <w:iCs/>
        </w:rPr>
        <w:lastRenderedPageBreak/>
        <w:t>respond</w:t>
      </w:r>
      <w:r>
        <w:rPr>
          <w:rFonts w:cs="Calibri"/>
        </w:rPr>
        <w:t xml:space="preserve"> to an </w:t>
      </w:r>
      <w:r w:rsidR="001646E8">
        <w:rPr>
          <w:rFonts w:cs="Calibri"/>
        </w:rPr>
        <w:t>event but</w:t>
      </w:r>
      <w:r>
        <w:rPr>
          <w:rFonts w:cs="Calibri"/>
        </w:rPr>
        <w:t xml:space="preserve"> did not work within preventing the event from happening, and indicated they are heavily motivated by their statutory obligations. </w:t>
      </w:r>
    </w:p>
    <w:p w14:paraId="27E4207A" w14:textId="77777777" w:rsidR="00787F73" w:rsidRDefault="00787F73" w:rsidP="00866155">
      <w:pPr>
        <w:ind w:right="-46"/>
        <w:rPr>
          <w:rFonts w:cs="Calibri"/>
        </w:rPr>
      </w:pPr>
    </w:p>
    <w:p w14:paraId="75BEA17D" w14:textId="77777777" w:rsidR="00787F73" w:rsidRDefault="00742FB7" w:rsidP="00866155">
      <w:pPr>
        <w:ind w:right="-46"/>
      </w:pPr>
      <w:r>
        <w:rPr>
          <w:rFonts w:cs="Calibri"/>
        </w:rPr>
        <w:t xml:space="preserve">When discussing the various </w:t>
      </w:r>
      <w:r w:rsidR="001646E8">
        <w:rPr>
          <w:rFonts w:cs="Calibri"/>
        </w:rPr>
        <w:t xml:space="preserve">incidents </w:t>
      </w:r>
      <w:r>
        <w:rPr>
          <w:rFonts w:cs="Calibri"/>
        </w:rPr>
        <w:t xml:space="preserve">they were involved in, the EPO mentioned that South Yorkshire have some sites covered under the Control of Major Accident Hazards (COMAH) regulations, which cover locations with potentially dangerous chemicals, they mentioned the community who may be affected: </w:t>
      </w:r>
    </w:p>
    <w:p w14:paraId="2D4628F4" w14:textId="77777777" w:rsidR="00787F73" w:rsidRDefault="00742FB7" w:rsidP="00866155">
      <w:pPr>
        <w:spacing w:before="200"/>
        <w:ind w:left="720" w:right="864"/>
      </w:pPr>
      <w:r>
        <w:rPr>
          <w:rStyle w:val="QuoteChar"/>
          <w:rFonts w:cs="Calibri"/>
        </w:rPr>
        <w:t>“If something goes wrong on the site, then we have to have plans in place for what might happen in the communities that are round about, because some of them have got quite big surrounding areas that would be affected. That’s one of the plans. That’s a statutory duty, so we actually have to do that.”</w:t>
      </w:r>
      <w:r>
        <w:rPr>
          <w:rFonts w:cs="Calibri"/>
        </w:rPr>
        <w:t xml:space="preserve"> (EPO </w:t>
      </w:r>
      <w:r w:rsidR="006A7A2E">
        <w:rPr>
          <w:rFonts w:cs="Calibri"/>
        </w:rPr>
        <w:t xml:space="preserve">interview, </w:t>
      </w:r>
      <w:r>
        <w:rPr>
          <w:rFonts w:cs="Calibri"/>
        </w:rPr>
        <w:t>10.12.20).</w:t>
      </w:r>
    </w:p>
    <w:p w14:paraId="779DEBE2" w14:textId="77777777" w:rsidR="00787F73" w:rsidRDefault="00787F73" w:rsidP="00866155">
      <w:pPr>
        <w:rPr>
          <w:rFonts w:cs="Calibri"/>
        </w:rPr>
      </w:pPr>
    </w:p>
    <w:p w14:paraId="006F35BE" w14:textId="2DE9AC75" w:rsidR="00787F73" w:rsidRDefault="00742FB7" w:rsidP="00866155">
      <w:r>
        <w:rPr>
          <w:rFonts w:cs="Calibri"/>
        </w:rPr>
        <w:t xml:space="preserve">The EPO acknowledged the potential large impact on the community; however, the community were not included in those plans. </w:t>
      </w:r>
      <w:r w:rsidR="001646E8">
        <w:rPr>
          <w:rFonts w:cs="Calibri"/>
        </w:rPr>
        <w:t>The plans were created</w:t>
      </w:r>
      <w:r>
        <w:rPr>
          <w:rFonts w:cs="Calibri"/>
        </w:rPr>
        <w:t xml:space="preserve"> within the prevention statutory obligation of the FRS, and focused on protecting the communities, yet they were not included in the creation or informed of the plans. </w:t>
      </w:r>
      <w:r w:rsidR="00E16D30">
        <w:rPr>
          <w:rFonts w:cs="Calibri"/>
        </w:rPr>
        <w:t xml:space="preserve">While </w:t>
      </w:r>
      <w:r>
        <w:rPr>
          <w:rFonts w:cs="Calibri"/>
        </w:rPr>
        <w:t xml:space="preserve">it would not be appropriate for all information of contingency plans to be shared due to security risks (for instance, escape routes in the case of terrorist attacks), </w:t>
      </w:r>
      <w:r w:rsidR="001646E8">
        <w:rPr>
          <w:rFonts w:cs="Calibri"/>
        </w:rPr>
        <w:t>the</w:t>
      </w:r>
      <w:r>
        <w:rPr>
          <w:rFonts w:cs="Calibri"/>
        </w:rPr>
        <w:t xml:space="preserve"> lack of information prevented the communities being made aware of the potential dangers that surrounded them. Using the </w:t>
      </w:r>
      <w:r w:rsidR="0038275C">
        <w:rPr>
          <w:rFonts w:cs="Calibri"/>
        </w:rPr>
        <w:t>Protection Motivation Theory</w:t>
      </w:r>
      <w:r>
        <w:rPr>
          <w:rFonts w:cs="Calibri"/>
        </w:rPr>
        <w:t xml:space="preserve">, this means communities do not have the chance to develop threat appraisal or subsequently coping appraisal </w:t>
      </w:r>
      <w:r>
        <w:fldChar w:fldCharType="begin" w:fldLock="1"/>
      </w:r>
      <w:r w:rsidR="00974B75">
        <w:rPr>
          <w:rFonts w:cs="Calibri"/>
        </w:rPr>
        <w:instrText>ADDIN CSL_CITATION {"citationItems":[{"id":"ITEM-1","itemData":{"DOI":"10.1080/19371918.2021.2018082","ISSN":"1937190X","PMID":"34962187","abstract":"COVID-19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Health","id":"ITEM-1","issue":"5","issued":{"date-parts":[["2022"]]},"page":"419-434","title":"An Integrated Approach to COVID-19 Preventive Behaviour Intentions: Protection Motivation Theory, Information Acquisition, and Trust","type":"article-journal","volume":"37"},"uris":["http://www.mendeley.com/documents/?uuid=8abd72eb-8ae4-4af7-9da1-be357bf94394"]},{"id":"ITEM-2","itemData":{"DOI":"10.1016/j.ijdrr.2021.102759","ISSN":"22124209","abstract":"The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Reduction","id":"ITEM-2","issued":{"date-parts":[["2022"]]},"page":"1 - 16","title":"Determination of factors affecting the response efficacy of Filipinos under Typhoon Conson 2021 (Jolina): An extended protection motivation theory approach","type":"article-journal","volume":"70"},"uris":["http://www.mendeley.com/documents/?uuid=df8c524a-2262-493d-9e98-6620d59903d4"]},{"id":"ITEM-3","itemData":{"DOI":"10.1007/s11069-017-3111-0","ISSN":"15730840","abstract":"Communicating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Hazards","id":"ITEM-3","issued":{"date-parts":[["2018"]]},"page":"1461-1483","title":"How does information affect fire risk reduction behaviors? Mediating effects of cognitive processes and subjective knowledge","type":"article-journal","volume":"90"},"uris":["http://www.mendeley.com/documents/?uuid=b253cc58-5f59-4b2e-9c77-76be2b2788b4"]},{"id":"ITEM-4","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Hazards","id":"ITEM-4","issued":{"date-parts":[["2018"]]},"page":"1665-1686","publisher":"Springer Netherlands","title":"Rethinking flood risk communication","type":"article-journal","volume":"92"},"uris":["http://www.mendeley.com/documents/?uuid=a75b9d7a-46e6-41f1-a446-75375a9342c5"]},{"id":"ITEM-5","itemData":{"DOI":"10.1061/(asce)nh.1527-6996.0000294","ISBN":"0000000167","ISSN":"1527-6988","abstract":"©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Review","id":"ITEM-5","issue":"3","issued":{"date-parts":[["2018"]]},"page":"1 - 21","title":"Flood Risk Assessment, Future Trend Modeling, and Risk Communication: A Review of Ongoing Research","type":"article-journal","volume":"19"},"uris":["http://www.mendeley.com/documents/?uuid=72f77961-1216-4228-ab43-b36cf7f2e2d4"]}],"mendeley":{"formattedCitation":"(Acar &amp; Kıcali, 2022; Gumasing et al., 2022; Liu &amp; Jiao, 2018; Rollason et al., 2018; Salman &amp; Li, 2018)","plainTextFormattedCitation":"(Acar &amp; Kıcali, 2022; Gumasing et al., 2022; Liu &amp; Jiao, 2018; Rollason et al., 2018; Salman &amp; Li, 2018)","previouslyFormattedCitation":"(Acar &amp; Kıcali, 2022; Gumasing et al., 2022; Liu &amp; Jiao, 2018; Rollason et al., 2018; Salman &amp; Li, 2018)"},"properties":{"noteIndex":0},"schema":"https://github.com/citation-style-language/schema/raw/master/csl-citation.json"}</w:instrText>
      </w:r>
      <w:r>
        <w:rPr>
          <w:rFonts w:cs="Calibri"/>
        </w:rPr>
        <w:fldChar w:fldCharType="separate"/>
      </w:r>
      <w:r>
        <w:rPr>
          <w:rFonts w:cs="Calibri"/>
          <w:noProof/>
        </w:rPr>
        <w:t>(Acar &amp; Kıcali, 2022; Gumasing et al., 2022; Liu &amp; Jiao, 2018; Rollason et al., 2018; Salman &amp; Li, 2018)</w:t>
      </w:r>
      <w:r>
        <w:rPr>
          <w:rFonts w:cs="Calibri"/>
        </w:rPr>
        <w:fldChar w:fldCharType="end"/>
      </w:r>
      <w:r>
        <w:rPr>
          <w:rFonts w:cs="Calibri"/>
        </w:rPr>
        <w:t xml:space="preserve">. </w:t>
      </w:r>
      <w:bookmarkStart w:id="753" w:name="_Hlk155713473"/>
      <w:r>
        <w:rPr>
          <w:rFonts w:cs="Calibri"/>
        </w:rPr>
        <w:t>This speaks to a theme around responsibility, namely that high level county-wide resilience is the responsibility of agencies, not of the community.</w:t>
      </w:r>
      <w:bookmarkEnd w:id="753"/>
    </w:p>
    <w:p w14:paraId="456D5838" w14:textId="77777777" w:rsidR="00787F73" w:rsidRDefault="00787F73" w:rsidP="00866155">
      <w:pPr>
        <w:rPr>
          <w:rFonts w:cs="Calibri"/>
        </w:rPr>
      </w:pPr>
    </w:p>
    <w:p w14:paraId="0EDE3DE8" w14:textId="5C8B22FC" w:rsidR="00787F73" w:rsidRDefault="00742FB7" w:rsidP="00866155">
      <w:r>
        <w:rPr>
          <w:rFonts w:cs="Calibri"/>
        </w:rPr>
        <w:t xml:space="preserve">The BCR team also conducted internal plans for SYFR to test and build internal operational resilience. This included routinely testing the organisations to ensure that it could respond under a range of different events. I was told of one exercise where the BCR team turned off power to SYFR headquarters, testing how people would operate without it. This way of testing and practising can again be viewed as developing responsive resilience after the </w:t>
      </w:r>
      <w:r>
        <w:rPr>
          <w:rFonts w:cs="Calibri"/>
        </w:rPr>
        <w:lastRenderedPageBreak/>
        <w:t xml:space="preserve">event and is viewed as an important time to develop resilience </w:t>
      </w:r>
      <w:r>
        <w:fldChar w:fldCharType="begin" w:fldLock="1"/>
      </w:r>
      <w:r>
        <w:rPr>
          <w:rFonts w:cs="Calibri"/>
        </w:rPr>
        <w:instrText>ADDIN CSL_CITATION {"citationItems":[{"id":"ITEM-1","itemData":{"DOI":"10.1080/23789689.2020.1722546","ISSN":"23789697","abstract":"Floods can be devastating to communities and result in fatalities and injuries, negatively impacting the economy, and quality of life. This paper presents a review of community resilience research with a focus on flood hazard including recent advances in flood risk quantification methods and trends to integrate socio-economic factors. The focus of this review was placed on flood risk components including hazard, exposure, and vulnerability to move the current research from deterministic to probabilistic approaches in order to propagate uncertainties through flood modeling, damage, loss, and recovery. Both short-term and long-term impacts of different flood resilience measures are included. The largest gap identified in flood risk research was the need for a standardized quantitative assessment tool or framework that could measure the impact of approaches to improve resilience at the community level. That tool should include the interactions between the different community systems (physical infrastructure, economic systems, and social systems).","author":[{"dropping-particle":"","family":"Nofal","given":"Omar M.","non-dropping-particle":"","parse-names":false,"suffix":""},{"dropping-particle":"","family":"Lindt","given":"John W.","non-dropping-particle":"van de","parse-names":false,"suffix":""}],"container-title":"Sustainable and Resilient Infrastructure","id":"ITEM-1","issue":"3","issued":{"date-parts":[["2022"]]},"page":"171-187","title":"Understanding flood risk in the context of community resilience modeling for the built environment: research needs and trends","type":"article-journal","volume":"7"},"uris":["http://www.mendeley.com/documents/?uuid=6738e6e3-5c34-45fa-8d91-c43de1d0a89c"]},{"id":"ITEM-2","itemData":{"DOI":"10.1007/s13280-021-01678-9","ISBN":"1328002101","ISSN":"16547209","PMID":"35015248","abstract":"Social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-2","issue":"6","issued":{"date-parts":[["2022"]]},"page":"1371-1387","title":"Building community resilience in a context of climate change: The role of social capital","type":"article-journal","volume":"51"},"uris":["http://www.mendeley.com/documents/?uuid=811839c2-2eda-4cbc-80b5-6bfc7c4a8392"]}],"mendeley":{"formattedCitation":"(Carmen et al., 2022; Nofal &amp; van de Lindt, 2022)","plainTextFormattedCitation":"(Carmen et al., 2022; Nofal &amp; van de Lindt, 2022)","previouslyFormattedCitation":"(Carmen et al., 2022; Nofal &amp; van de Lindt, 2022)"},"properties":{"noteIndex":0},"schema":"https://github.com/citation-style-language/schema/raw/master/csl-citation.json"}</w:instrText>
      </w:r>
      <w:r>
        <w:rPr>
          <w:rFonts w:cs="Calibri"/>
        </w:rPr>
        <w:fldChar w:fldCharType="separate"/>
      </w:r>
      <w:r>
        <w:rPr>
          <w:rFonts w:cs="Calibri"/>
          <w:noProof/>
        </w:rPr>
        <w:t>(Carmen et al., 2022; Nofal &amp; van de Lindt, 2022)</w:t>
      </w:r>
      <w:r>
        <w:rPr>
          <w:rFonts w:cs="Calibri"/>
        </w:rPr>
        <w:fldChar w:fldCharType="end"/>
      </w:r>
      <w:r>
        <w:rPr>
          <w:rFonts w:cs="Calibri"/>
        </w:rPr>
        <w:t xml:space="preserve">, as the workers in SYFR had experience of what it was like to lose power suddenly and the aim was that they would then change their actions to ensure that their practices were more resilient. </w:t>
      </w:r>
      <w:bookmarkStart w:id="754" w:name="_Hlk155714060"/>
      <w:r>
        <w:rPr>
          <w:rFonts w:cs="Calibri"/>
        </w:rPr>
        <w:t xml:space="preserve">The PMT literature notes that previous experience of events helps to develop threat appraisal which can then develop into coping appraisal </w:t>
      </w:r>
      <w:r>
        <w:fldChar w:fldCharType="begin" w:fldLock="1"/>
      </w:r>
      <w:r w:rsidR="00974B75">
        <w:rPr>
          <w:rFonts w:cs="Calibri"/>
        </w:rPr>
        <w:instrText>ADDIN CSL_CITATION {"citationItems":[{"id":"ITEM-1","itemData":{"DOI":"10.1061/(asce)nh.1527-6996.0000294","ISBN":"0000000167","ISSN":"1527-6988","abstract":"©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Review","id":"ITEM-1","issue":"3","issued":{"date-parts":[["2018"]]},"page":"1 - 21","title":"Flood Risk Assessment, Future Trend Modeling, and Risk Communication: A Review of Ongoing Research","type":"article-journal","volume":"19"},"uris":["http://www.mendeley.com/documents/?uuid=72f77961-1216-4228-ab43-b36cf7f2e2d4"]},{"id":"ITEM-2","itemData":{"DOI":"10.1007/s11069-017-3111-0","ISSN":"15730840","abstract":"Communicating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Hazards","id":"ITEM-2","issued":{"date-parts":[["2018"]]},"page":"1461-1483","title":"How does information affect fire risk reduction behaviors? Mediating effects of cognitive processes and subjective knowledge","type":"article-journal","volume":"90"},"uris":["http://www.mendeley.com/documents/?uuid=b253cc58-5f59-4b2e-9c77-76be2b2788b4"]},{"id":"ITEM-3","itemData":{"DOI":"10.1080/19371918.2021.2018082","ISSN":"1937190X","PMID":"34962187","abstract":"COVID-19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Health","id":"ITEM-3","issue":"5","issued":{"date-parts":[["2022"]]},"page":"419-434","title":"An Integrated Approach to COVID-19 Preventive Behaviour Intentions: Protection Motivation Theory, Information Acquisition, and Trust","type":"article-journal","volume":"37"},"uris":["http://www.mendeley.com/documents/?uuid=8abd72eb-8ae4-4af7-9da1-be357bf94394"]},{"id":"ITEM-4","itemData":{"DOI":"10.1016/j.ijdrr.2021.102759","ISSN":"22124209","abstract":"The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Reduction","id":"ITEM-4","issued":{"date-parts":[["2022"]]},"page":"1 - 16","title":"Determination of factors affecting the response efficacy of Filipinos under Typhoon Conson 2021 (Jolina): An extended protection motivation theory approach","type":"article-journal","volume":"70"},"uris":["http://www.mendeley.com/documents/?uuid=df8c524a-2262-493d-9e98-6620d59903d4"]}],"mendeley":{"formattedCitation":"(Acar &amp; Kıcali, 2022; Gumasing et al., 2022; Liu &amp; Jiao, 2018; Salman &amp; Li, 2018)","plainTextFormattedCitation":"(Acar &amp; Kıcali, 2022; Gumasing et al., 2022; Liu &amp; Jiao, 2018; Salman &amp; Li, 2018)","previouslyFormattedCitation":"(Acar &amp; Kıcali, 2022; Gumasing et al., 2022; Liu &amp; Jiao, 2018; Salman &amp; Li, 2018)"},"properties":{"noteIndex":0},"schema":"https://github.com/citation-style-language/schema/raw/master/csl-citation.json"}</w:instrText>
      </w:r>
      <w:r>
        <w:rPr>
          <w:rFonts w:cs="Calibri"/>
        </w:rPr>
        <w:fldChar w:fldCharType="separate"/>
      </w:r>
      <w:r>
        <w:rPr>
          <w:rFonts w:cs="Calibri"/>
          <w:noProof/>
        </w:rPr>
        <w:t>(Acar &amp; Kıcali, 2022; Gumasing et al., 2022; Liu &amp; Jiao, 2018; Salman &amp; Li, 2018)</w:t>
      </w:r>
      <w:r>
        <w:rPr>
          <w:rFonts w:cs="Calibri"/>
        </w:rPr>
        <w:fldChar w:fldCharType="end"/>
      </w:r>
      <w:r>
        <w:rPr>
          <w:rFonts w:cs="Calibri"/>
        </w:rPr>
        <w:t>. However, in these exercises, the SYFR Internal Crisis team is formed, so even in internal exercises</w:t>
      </w:r>
      <w:r w:rsidR="001646E8">
        <w:rPr>
          <w:rFonts w:cs="Calibri"/>
        </w:rPr>
        <w:t>,</w:t>
      </w:r>
      <w:r>
        <w:rPr>
          <w:rFonts w:cs="Calibri"/>
        </w:rPr>
        <w:t xml:space="preserve"> the workers are not all included in the building of resilience within the organisation, suggesting that there was a perception that resilience is built and maintained, and was perhaps the responsibility of a specialised team, rather than the individuals affected. This mirrors the discussion in section 4.</w:t>
      </w:r>
      <w:r w:rsidR="00116194">
        <w:rPr>
          <w:rFonts w:cs="Calibri"/>
        </w:rPr>
        <w:t>2</w:t>
      </w:r>
      <w:r>
        <w:rPr>
          <w:rFonts w:cs="Calibri"/>
        </w:rPr>
        <w:t>, where I discussed how SYFR do not have a working definition of resilience</w:t>
      </w:r>
      <w:r w:rsidR="006B3FF1">
        <w:rPr>
          <w:rFonts w:cs="Calibri"/>
        </w:rPr>
        <w:t>.</w:t>
      </w:r>
      <w:r>
        <w:rPr>
          <w:rFonts w:cs="Calibri"/>
        </w:rPr>
        <w:t xml:space="preserve"> </w:t>
      </w:r>
      <w:r w:rsidR="006B3FF1">
        <w:rPr>
          <w:rFonts w:cs="Calibri"/>
        </w:rPr>
        <w:t xml:space="preserve">This suggests </w:t>
      </w:r>
      <w:r>
        <w:rPr>
          <w:rFonts w:cs="Calibri"/>
        </w:rPr>
        <w:t xml:space="preserve">that resilience was not something that is actively considered and worked towards by SYFR. </w:t>
      </w:r>
      <w:bookmarkEnd w:id="754"/>
    </w:p>
    <w:p w14:paraId="7EF998E3" w14:textId="77777777" w:rsidR="00787F73" w:rsidRDefault="00787F73" w:rsidP="00866155">
      <w:pPr>
        <w:rPr>
          <w:rFonts w:cs="Calibri"/>
        </w:rPr>
      </w:pPr>
    </w:p>
    <w:p w14:paraId="486B31BA" w14:textId="40673BD4" w:rsidR="00787F73" w:rsidRDefault="00742FB7" w:rsidP="00866155">
      <w:bookmarkStart w:id="755" w:name="_Hlk155714113"/>
      <w:r>
        <w:rPr>
          <w:rFonts w:cs="Calibri"/>
        </w:rPr>
        <w:t xml:space="preserve">These contingency plans were explicitly aimed at building resilience, focusing on both reactive and proactive resilience </w:t>
      </w:r>
      <w:r>
        <w:fldChar w:fldCharType="begin" w:fldLock="1"/>
      </w:r>
      <w:r>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Pr>
          <w:rFonts w:cs="Calibri"/>
        </w:rPr>
        <w:fldChar w:fldCharType="separate"/>
      </w:r>
      <w:r>
        <w:rPr>
          <w:rFonts w:cs="Calibri"/>
          <w:noProof/>
        </w:rPr>
        <w:t>(Carmen et al., 2022)</w:t>
      </w:r>
      <w:r>
        <w:rPr>
          <w:rFonts w:cs="Calibri"/>
        </w:rPr>
        <w:fldChar w:fldCharType="end"/>
      </w:r>
      <w:r>
        <w:rPr>
          <w:rFonts w:cs="Calibri"/>
        </w:rPr>
        <w:t xml:space="preserve">. However, they were focused on the resilience of SYFR’s </w:t>
      </w:r>
      <w:r>
        <w:rPr>
          <w:rFonts w:cs="Calibri"/>
          <w:i/>
        </w:rPr>
        <w:t>response</w:t>
      </w:r>
      <w:r>
        <w:rPr>
          <w:rFonts w:cs="Calibri"/>
        </w:rPr>
        <w:t>, not on the community’s resilience. This shows that there is capacity and understanding of building resilience, and the method with which plans are created, although it is saved for operational contexts. This appears at odds with the wider neoliberal agenda seen within public services, as the communities could be included in these plans or they could be communicated so that the community are aware of what will happen in a disaster</w:t>
      </w:r>
      <w:r w:rsidR="006B3FF1">
        <w:rPr>
          <w:rFonts w:cs="Calibri"/>
        </w:rPr>
        <w:t>.</w:t>
      </w:r>
      <w:r>
        <w:rPr>
          <w:rFonts w:cs="Calibri"/>
        </w:rPr>
        <w:t xml:space="preserve"> </w:t>
      </w:r>
      <w:r w:rsidR="006B3FF1">
        <w:rPr>
          <w:rFonts w:cs="Calibri"/>
        </w:rPr>
        <w:t>H</w:t>
      </w:r>
      <w:r>
        <w:rPr>
          <w:rFonts w:cs="Calibri"/>
        </w:rPr>
        <w:t>owever, they are simply left in the dark without any knowledge or comprehension of the potential risk.</w:t>
      </w:r>
      <w:bookmarkEnd w:id="755"/>
    </w:p>
    <w:p w14:paraId="535F90C0" w14:textId="77777777" w:rsidR="00787F73" w:rsidRDefault="00787F73" w:rsidP="00866155">
      <w:pPr>
        <w:rPr>
          <w:rFonts w:cs="Calibri"/>
        </w:rPr>
      </w:pPr>
    </w:p>
    <w:p w14:paraId="1440E9F9" w14:textId="05BB5AB0" w:rsidR="00787F73" w:rsidRDefault="00E16D30" w:rsidP="00866155">
      <w:r>
        <w:rPr>
          <w:rFonts w:cs="Calibri"/>
        </w:rPr>
        <w:t xml:space="preserve">While </w:t>
      </w:r>
      <w:r w:rsidR="00742FB7">
        <w:rPr>
          <w:rFonts w:cs="Calibri"/>
        </w:rPr>
        <w:t xml:space="preserve">the BCR team focused on the countywide resilience plans, other teams in SYFR focused on the household level working towards preventing fire and supporting individual people, such as the Community Safety team, who were described by the Communications Strategic Manager as </w:t>
      </w:r>
      <w:r w:rsidR="00742FB7">
        <w:rPr>
          <w:rStyle w:val="QuoteChar"/>
          <w:rFonts w:cs="Calibri"/>
        </w:rPr>
        <w:t>“boots on the ground</w:t>
      </w:r>
      <w:r w:rsidR="00742FB7">
        <w:rPr>
          <w:rFonts w:cs="Calibri"/>
        </w:rPr>
        <w:t xml:space="preserve">” (SM </w:t>
      </w:r>
      <w:r w:rsidR="006A7A2E">
        <w:rPr>
          <w:rFonts w:cs="Calibri"/>
        </w:rPr>
        <w:t xml:space="preserve">interview, </w:t>
      </w:r>
      <w:r w:rsidR="00742FB7">
        <w:rPr>
          <w:rFonts w:cs="Calibri"/>
        </w:rPr>
        <w:t xml:space="preserve">18.9.20); highlighting their active role within the community. </w:t>
      </w:r>
    </w:p>
    <w:p w14:paraId="195CAF3B" w14:textId="77777777" w:rsidR="00787F73" w:rsidRDefault="00787F73" w:rsidP="00866155">
      <w:pPr>
        <w:rPr>
          <w:rFonts w:cs="Calibri"/>
        </w:rPr>
      </w:pPr>
    </w:p>
    <w:p w14:paraId="13BB1FA3" w14:textId="77777777" w:rsidR="00787F73" w:rsidRDefault="00742FB7" w:rsidP="00866155">
      <w:pPr>
        <w:pStyle w:val="Heading3"/>
      </w:pPr>
      <w:bookmarkStart w:id="756" w:name="_heading=h.1t3h5sf"/>
      <w:bookmarkStart w:id="757" w:name="_Toc151994201"/>
      <w:bookmarkStart w:id="758" w:name="_Toc157971001"/>
      <w:bookmarkStart w:id="759" w:name="_Toc157970786"/>
      <w:bookmarkStart w:id="760" w:name="_Toc193367237"/>
      <w:bookmarkStart w:id="761" w:name="_Toc151905013"/>
      <w:bookmarkEnd w:id="756"/>
      <w:r>
        <w:lastRenderedPageBreak/>
        <w:t>4.3.2: Community Safety team – “Boots on the ground”</w:t>
      </w:r>
      <w:bookmarkEnd w:id="757"/>
      <w:bookmarkEnd w:id="758"/>
      <w:bookmarkEnd w:id="759"/>
      <w:bookmarkEnd w:id="760"/>
      <w:r>
        <w:t xml:space="preserve"> </w:t>
      </w:r>
      <w:bookmarkEnd w:id="761"/>
    </w:p>
    <w:p w14:paraId="0CB96258" w14:textId="77777777" w:rsidR="00787F73" w:rsidRDefault="00742FB7" w:rsidP="00866155">
      <w:r>
        <w:rPr>
          <w:rFonts w:cs="Calibri"/>
        </w:rPr>
        <w:t>The Community Safety team worked and communicated closely with the community, working predominantly with ‘vulnerable’ people through home safety checks and attending community events. The team was made up of Fire Community Safety Officers (FCSOs) who visited people who were deemed vulnerable to fire, as well as wider community visits, such as schools, galas, and other community events. The Community safety team members told me:</w:t>
      </w:r>
    </w:p>
    <w:p w14:paraId="3EFE914D" w14:textId="77777777"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720"/>
      </w:pPr>
      <w:r>
        <w:rPr>
          <w:rFonts w:cs="Calibri"/>
          <w:i/>
          <w:color w:val="000000"/>
        </w:rPr>
        <w:t>“We’re very community focussed, so it’s all about prevention, it’s all about preventing house fires. We’re working with lots of other partners and agencies to have a joint approach.” (</w:t>
      </w:r>
      <w:r>
        <w:rPr>
          <w:rFonts w:cs="Calibri"/>
          <w:color w:val="000000"/>
        </w:rPr>
        <w:t xml:space="preserve">Community Safety </w:t>
      </w:r>
      <w:r w:rsidR="006A7A2E">
        <w:rPr>
          <w:rFonts w:cs="Calibri"/>
          <w:color w:val="000000"/>
        </w:rPr>
        <w:t xml:space="preserve">interview, </w:t>
      </w:r>
      <w:r>
        <w:rPr>
          <w:rFonts w:cs="Calibri"/>
          <w:color w:val="000000"/>
        </w:rPr>
        <w:t>20.07.20)</w:t>
      </w:r>
    </w:p>
    <w:p w14:paraId="47190DD0" w14:textId="3B468FB4" w:rsidR="00787F73" w:rsidRDefault="00742FB7" w:rsidP="00866155">
      <w:pPr>
        <w:rPr>
          <w:rFonts w:cs="Calibri"/>
        </w:rPr>
      </w:pPr>
      <w:r>
        <w:rPr>
          <w:rFonts w:cs="Calibri"/>
        </w:rPr>
        <w:t>The focus on prevention linked to their regulative institutional driver of the FRS Act (2004), focusing on the reduction and prevention of fires</w:t>
      </w:r>
      <w:r w:rsidR="006B3FF1">
        <w:rPr>
          <w:rFonts w:cs="Calibri"/>
        </w:rPr>
        <w:t>.W</w:t>
      </w:r>
      <w:r>
        <w:rPr>
          <w:rFonts w:cs="Calibri"/>
        </w:rPr>
        <w:t>hil</w:t>
      </w:r>
      <w:r w:rsidR="00E16D30">
        <w:rPr>
          <w:rFonts w:cs="Calibri"/>
        </w:rPr>
        <w:t>e</w:t>
      </w:r>
      <w:r>
        <w:rPr>
          <w:rFonts w:cs="Calibri"/>
        </w:rPr>
        <w:t xml:space="preserve"> it did not explicitly focus on building resilience, the Community Safety team can be viewed as supporting community resilience through linking social capital </w:t>
      </w:r>
      <w:r>
        <w:fldChar w:fldCharType="begin" w:fldLock="1"/>
      </w:r>
      <w:r>
        <w:rPr>
          <w:rFonts w:cs="Calibri"/>
        </w:rPr>
        <w:instrText>ADDIN CSL_CITATION {"citationItems":[{"id":"ITEM-1","itemData":{"author":[{"dropping-particle":"","family":"Ludin","given":"Salizar M.","non-dropping-particle":"","parse-names":false,"suffix":""},{"dropping-particle":"","family":"Rohaizat","given":"Munirah","non-dropping-particle":"","parse-names":false,"suffix":""},{"dropping-particle":"","family":"Arbon","given":"Paul","non-dropping-particle":"","parse-names":false,"suffix":""}],"container-title":"Health and Social Care in the Community","id":"ITEM-1","issue":"3","issued":{"date-parts":[["2019"]]},"page":"621 - 631","title":"The association between social cohesion and community disaster resilience: A cross‐sectional study","type":"article-journal","volume":"27"},"uris":["http://www.mendeley.com/documents/?uuid=818d7348-40a6-4380-acb5-bd2c514990f2"]}],"mendeley":{"formattedCitation":"(Ludin, Rohaizat, &amp; Arbon, 2019)","plainTextFormattedCitation":"(Ludin, Rohaizat, &amp; Arbon, 2019)","previouslyFormattedCitation":"(Ludin, Rohaizat, &amp; Arbon, 2019)"},"properties":{"noteIndex":0},"schema":"https://github.com/citation-style-language/schema/raw/master/csl-citation.json"}</w:instrText>
      </w:r>
      <w:r>
        <w:rPr>
          <w:rFonts w:cs="Calibri"/>
        </w:rPr>
        <w:fldChar w:fldCharType="separate"/>
      </w:r>
      <w:r>
        <w:rPr>
          <w:rFonts w:cs="Calibri"/>
          <w:noProof/>
        </w:rPr>
        <w:t>(Ludin, Rohaizat, &amp; Arbon, 2019)</w:t>
      </w:r>
      <w:r>
        <w:rPr>
          <w:rFonts w:cs="Calibri"/>
        </w:rPr>
        <w:fldChar w:fldCharType="end"/>
      </w:r>
      <w:r>
        <w:rPr>
          <w:rFonts w:cs="Calibri"/>
        </w:rPr>
        <w:t xml:space="preserve">. In the literature review (chapter 2), there was a discussion of the roles of organisations within the building of community resilience, and the importance of building trust within the community and the creation of linking social capital. The work of the Community Safety team can be seen to be working towards this, </w:t>
      </w:r>
      <w:r w:rsidR="006B3FF1">
        <w:rPr>
          <w:rFonts w:cs="Calibri"/>
        </w:rPr>
        <w:t xml:space="preserve">by </w:t>
      </w:r>
      <w:r>
        <w:rPr>
          <w:rFonts w:cs="Calibri"/>
        </w:rPr>
        <w:t xml:space="preserve">visiting communities and having a visible presence. Working within the community face-to-face is also more inclusive for people who are digitally excluded by choice or circumstance </w:t>
      </w:r>
      <w:r>
        <w:fldChar w:fldCharType="begin" w:fldLock="1"/>
      </w:r>
      <w:r w:rsidR="00974B75">
        <w:rPr>
          <w:rFonts w:cs="Calibri"/>
        </w:rPr>
        <w:instrText>ADDIN CSL_CITATION {"citationItems":[{"id":"ITEM-1","itemData":{"DOI":"10.1080/1369118X.2015.1084023","ISSN":"14684462","abstract":"ABSTRACTBased on the idea that Internet use can be conceptualized in terms of depth (frequency) and width (differentiated) uses of the Web, this study explored how socio-demographic factors and digital skills are related to frequency and types of Facebook use among young adults. It used a face-to-face representative survey conducted in the three main urban areas of Chile among a sample of 18-to 29-year olds. The results found that men and more educated young people had higher levels of skills, confirming that the so-called ‘digital natives’ are not a monolithic group. They also revealed that digital skills did not predict frequency of Facebook use. Furthermore, lower educated young people tended to use Facebook more frequently. Although these results go against the long-established digital divide research, traditional digital gaps emerged when types of use were analyzed. While more educated and skillful individuals tended to use Facebook for informational and mobilizing purposes, socio-demographic factors...","author":[{"dropping-particle":"","family":"Correa","given":"Teresa","non-dropping-particle":"","parse-names":false,"suffix":""}],"container-title":"Information Communication and Society","id":"ITEM-1","issue":"8","issued":{"date-parts":[["2016"]]},"page":"1095-1107","title":"Digital skills and social media use: how Internet skills are related to different types of Facebook use among ‘digital natives’","type":"article-journal","volume":"19"},"uris":["http://www.mendeley.com/documents/?uuid=487b665a-3545-479d-8afb-aa5e78296f9d"]},{"id":"ITEM-2","itemData":{"DOI":"10.1080/1369118X.2017.1353640","ISSN":"14684462","abstract":"Researchers on digital divides have identified demographic and attitudinal factors associated with inequalities in access, skills, and patterns of Internet use, primarily around age, income, and education. While attitudes and values of Internet users and non-users have been studied over the years, they have rarely been used to identify broader ‘cultures of the Internet’ and their role in shaping digital divides. This paper builds on research in Britain, which focused on patterns of attitudes underpinning Internet cultures, to explore the degree that similar or distinctive cultures have developed in the USA, and whether and how they are useful in explaining digital divides. This study utilizes original data drawn from a 2016 telephone survey of residents across the State of Michigan that adapts survey items and methods from the Oxford Internet Survey (OxIS) of Britain. Based on these survey responses, the paper identifies and describes the cultures of the Internet among Michigan residents, as an exploratory case of the US as a whole, and shows how these cultures shape digital divides in Internet and social media use across this one American state. The robustness and explanatory power of these explorations of Internet cultures argues for further research on the United States and other nations.","author":[{"dropping-particle":"","family":"Dutton","given":"William H.","non-dropping-particle":"","parse-names":false,"suffix":""},{"dropping-particle":"","family":"Reisdorf","given":"Bianca C.","non-dropping-particle":"","parse-names":false,"suffix":""}],"container-title":"Information Communication and Society","id":"ITEM-2","issue":"1","issued":{"date-parts":[["2019"]]},"page":"18-38","title":"Cultural divides and digital inequalities: attitudes shaping Internet and social media divides","type":"article-journal","volume":"22"},"uris":["http://www.mendeley.com/documents/?uuid=129e5c56-5f9d-4f4f-9f23-28ff3433f44b"]},{"id":"ITEM-3","itemData":{"DOI":"10.1007/s13753-022-00399-1","ISSN":"21926395","abstract":"This study examined the propensity of social media use by underserved communities by drawing on the literature on the digital divide and attribution theory. Specifically, this research explored the factors that can influence the use of social media for disaster management. The study used survey methodology to collect data and partial least squares structural equation modeling (PLS-SEM) to analyze the data and test the hypotheses. The results of the study indicate: (1) that the propensity of social media use for disaster management is low for underserved communities; (2) a positive relationship between an individual’s effort and the intention to use social media for disaster management; and (3) a negative relationship between task difficulty and the intention to use social media for disaster management. The study expanded the literature on the use of social media in disaster management. The article also provides both theoretical and practical implications.","author":[{"dropping-particle":"","family":"Ramakrishnan","given":"Thiagarajan","non-dropping-particle":"","parse-names":false,"suffix":""},{"dropping-particle":"","family":"Ngamassi","given":"Louis","non-dropping-particle":"","parse-names":false,"suffix":""},{"dropping-particle":"","family":"Rahman","given":"Shahedur","non-dropping-particle":"","parse-names":false,"suffix":""}],"container-title":"International Journal of Disaster Risk Science","id":"ITEM-3","issued":{"date-parts":[["2022"]]},"page":"52-65","title":"Examining the Factors that Influence the Use of Social Media for Disaster Management by Underserved Communities","type":"article-journal","volume":"13"},"uris":["http://www.mendeley.com/documents/?uuid=78f79e65-57eb-4b0f-a3c9-31e43d9f8e7c"]},{"id":"ITEM-4","itemData":{"DOI":"10.1177/1461444810386774","abstract":"Because of the growing amount of information on the internet and people's increasing dependence on information, internet skills should be considered as a vital resource in contemporary society. This article focuses on the differential possession of internet skills among the Dutch population. In two studies, an in-depth range of internet skills are measured by charging subjects assignments to be accomplished on the internet. Subjects were recruited by applying a random stratified sampling method over gender, age, and education. While the level of operational and formal internet skills appeared quite high, the level of information and strategic internet skills is questionable. Whereas education appeared an important contributor to all skill levels, age only appeared a significant contributor to operational and formal skills. The results strengthen the findings that the original digital divide of physical internet access has evolved into a divide that includes differences in skills to use the internet.","author":[{"dropping-particle":"","family":"Deursen","given":"Alexander","non-dropping-particle":"van","parse-names":false,"suffix":""},{"dropping-particle":"","family":"Dijk","given":"Jan","non-dropping-particle":"van","parse-names":false,"suffix":""}],"container-title":"New Media &amp; Society","id":"ITEM-4","issue":"6","issued":{"date-parts":[["2010"]]},"page":"893 - 911","title":"Internet skills and the digital divide","type":"article-journal","volume":"13"},"uris":["http://www.mendeley.com/documents/?uuid=4ab52788-a677-3403-95f9-543bd1f5b973"]}],"mendeley":{"formattedCitation":"(Ramakrishnan, Ngamassi, &amp; Rahman, 2022; Dutton &amp; Reisdorf, 2019; Correa, 2016; van Deursen &amp; van Dijk, 2010)","plainTextFormattedCitation":"(Ramakrishnan, Ngamassi, &amp; Rahman, 2022; Dutton &amp; Reisdorf, 2019; Correa, 2016; van Deursen &amp; van Dijk, 2010)","previouslyFormattedCitation":"(Ramakrishnan, Ngamassi, &amp; Rahman, 2022; Dutton &amp; Reisdorf, 2019; Correa, 2016; van Deursen &amp; van Dijk, 2010)"},"properties":{"noteIndex":0},"schema":"https://github.com/citation-style-language/schema/raw/master/csl-citation.json"}</w:instrText>
      </w:r>
      <w:r>
        <w:rPr>
          <w:rFonts w:cs="Calibri"/>
        </w:rPr>
        <w:fldChar w:fldCharType="separate"/>
      </w:r>
      <w:r>
        <w:rPr>
          <w:rFonts w:cs="Calibri"/>
          <w:noProof/>
        </w:rPr>
        <w:t>(Ramakrishnan, Ngamassi, &amp; Rahman, 2022; Dutton &amp; Reisdorf, 2019; Correa, 2016; van Deursen &amp; van Dijk, 2010)</w:t>
      </w:r>
      <w:r>
        <w:rPr>
          <w:rFonts w:cs="Calibri"/>
        </w:rPr>
        <w:fldChar w:fldCharType="end"/>
      </w:r>
      <w:r>
        <w:rPr>
          <w:rFonts w:cs="Calibri"/>
        </w:rPr>
        <w:t>. Even during COVID-19</w:t>
      </w:r>
      <w:r w:rsidR="006B3FF1">
        <w:rPr>
          <w:rFonts w:cs="Calibri"/>
        </w:rPr>
        <w:t>,</w:t>
      </w:r>
      <w:r>
        <w:rPr>
          <w:rFonts w:cs="Calibri"/>
        </w:rPr>
        <w:t xml:space="preserve"> with social distancing laws and guidelines, the Community Safety team were conducting phone calls and dropping off smoke alarms on people’s doorsteps to continue working with members of the community who were deemed vulnerable to fires. </w:t>
      </w:r>
    </w:p>
    <w:p w14:paraId="2837CD66" w14:textId="77777777" w:rsidR="0013548C" w:rsidRDefault="0013548C" w:rsidP="00866155"/>
    <w:p w14:paraId="2733D269" w14:textId="3323AAC4" w:rsidR="00787F73" w:rsidRDefault="00742FB7" w:rsidP="00866155">
      <w:pPr>
        <w:spacing w:before="200"/>
        <w:ind w:right="864"/>
      </w:pPr>
      <w:r>
        <w:rPr>
          <w:rFonts w:cs="Calibri"/>
        </w:rPr>
        <w:t xml:space="preserve">The Community Safety team were involved in the wider PIC campaigns, however, the Communications team explained that they wanted their campaigns to be integrated more into the community safety work. This </w:t>
      </w:r>
      <w:r>
        <w:rPr>
          <w:rFonts w:cs="Calibri"/>
          <w:color w:val="000000"/>
        </w:rPr>
        <w:t xml:space="preserve">highlights an aim of the Communications team to develop a wider SYFR strategy towards communication </w:t>
      </w:r>
      <w:r>
        <w:rPr>
          <w:rFonts w:cs="Calibri"/>
          <w:color w:val="000000"/>
        </w:rPr>
        <w:lastRenderedPageBreak/>
        <w:t>surrounding prevention in the community</w:t>
      </w:r>
      <w:r w:rsidR="006B3FF1">
        <w:rPr>
          <w:rFonts w:cs="Calibri"/>
          <w:color w:val="000000"/>
        </w:rPr>
        <w:t>.</w:t>
      </w:r>
      <w:r>
        <w:rPr>
          <w:rFonts w:cs="Calibri"/>
          <w:color w:val="000000"/>
        </w:rPr>
        <w:t xml:space="preserve"> </w:t>
      </w:r>
      <w:r w:rsidR="006B3FF1">
        <w:rPr>
          <w:rFonts w:cs="Calibri"/>
          <w:color w:val="000000"/>
        </w:rPr>
        <w:t>H</w:t>
      </w:r>
      <w:r>
        <w:rPr>
          <w:rFonts w:cs="Calibri"/>
          <w:color w:val="000000"/>
        </w:rPr>
        <w:t>owever, each department had different approaches to prevention and building resilience:</w:t>
      </w:r>
    </w:p>
    <w:p w14:paraId="0A1BC490" w14:textId="77777777" w:rsidR="00787F73" w:rsidRDefault="00742FB7" w:rsidP="00866155">
      <w:pPr>
        <w:pStyle w:val="Quote"/>
        <w:spacing w:line="360" w:lineRule="auto"/>
        <w:jc w:val="both"/>
      </w:pPr>
      <w:r>
        <w:rPr>
          <w:rFonts w:cs="Calibri"/>
        </w:rPr>
        <w:t>“They get quite fixated on particular safety issues in community safety. So, there’s an issue with sky lanterns, we might have had one fire caused by a sky lantern. But they sometimes over-resource particular issues, which aren’t actually a priority, if you look at the cold hard facts and data.” (SM</w:t>
      </w:r>
      <w:r w:rsidR="006A7A2E">
        <w:rPr>
          <w:rFonts w:cs="Calibri"/>
        </w:rPr>
        <w:t xml:space="preserve"> interview,</w:t>
      </w:r>
      <w:r>
        <w:rPr>
          <w:rFonts w:cs="Calibri"/>
        </w:rPr>
        <w:t xml:space="preserve"> 30.9.20).</w:t>
      </w:r>
    </w:p>
    <w:p w14:paraId="6650878D" w14:textId="39D013D9" w:rsidR="00787F73" w:rsidRDefault="00742FB7" w:rsidP="00866155">
      <w:bookmarkStart w:id="762" w:name="_Hlk155714397"/>
      <w:r>
        <w:rPr>
          <w:rFonts w:cs="Calibri"/>
        </w:rPr>
        <w:t xml:space="preserve">This suggests that each department had a different way of framing risk and perhaps a different starting point on the </w:t>
      </w:r>
      <w:r w:rsidR="0038275C">
        <w:rPr>
          <w:rFonts w:cs="Calibri"/>
        </w:rPr>
        <w:t>Disaster Management Cycle</w:t>
      </w:r>
      <w:r w:rsidR="006B3FF1">
        <w:rPr>
          <w:rFonts w:cs="Calibri"/>
        </w:rPr>
        <w:t>.</w:t>
      </w:r>
      <w:r>
        <w:rPr>
          <w:rFonts w:cs="Calibri"/>
        </w:rPr>
        <w:t xml:space="preserve"> </w:t>
      </w:r>
      <w:r w:rsidR="006B3FF1">
        <w:rPr>
          <w:rFonts w:cs="Calibri"/>
        </w:rPr>
        <w:t>T</w:t>
      </w:r>
      <w:r>
        <w:rPr>
          <w:rFonts w:cs="Calibri"/>
        </w:rPr>
        <w:t xml:space="preserve">he Community Safety team focused on the potential threat of a new risk (proactive resilience </w:t>
      </w:r>
      <w:r>
        <w:fldChar w:fldCharType="begin" w:fldLock="1"/>
      </w:r>
      <w:r>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Pr>
          <w:rFonts w:cs="Calibri"/>
        </w:rPr>
        <w:fldChar w:fldCharType="separate"/>
      </w:r>
      <w:r>
        <w:rPr>
          <w:rFonts w:cs="Calibri"/>
          <w:noProof/>
        </w:rPr>
        <w:t>(Carmen et al., 2022)</w:t>
      </w:r>
      <w:r>
        <w:rPr>
          <w:rFonts w:cs="Calibri"/>
        </w:rPr>
        <w:fldChar w:fldCharType="end"/>
      </w:r>
      <w:r>
        <w:rPr>
          <w:rFonts w:cs="Calibri"/>
        </w:rPr>
        <w:t xml:space="preserve">), and the Communications team focused on risk based on previous incidents (responsive resilience </w:t>
      </w:r>
      <w:r>
        <w:fldChar w:fldCharType="begin" w:fldLock="1"/>
      </w:r>
      <w:r>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Pr>
          <w:rFonts w:cs="Calibri"/>
        </w:rPr>
        <w:fldChar w:fldCharType="separate"/>
      </w:r>
      <w:r>
        <w:rPr>
          <w:rFonts w:cs="Calibri"/>
          <w:noProof/>
        </w:rPr>
        <w:t>(Carmen et al., 2022)</w:t>
      </w:r>
      <w:r>
        <w:rPr>
          <w:rFonts w:cs="Calibri"/>
        </w:rPr>
        <w:fldChar w:fldCharType="end"/>
      </w:r>
      <w:r>
        <w:rPr>
          <w:rFonts w:cs="Calibri"/>
        </w:rPr>
        <w:t xml:space="preserve">). The siloing of individual departments is linked to NPM, with an increasing sense of competition between departments </w:t>
      </w:r>
      <w:r>
        <w:fldChar w:fldCharType="begin" w:fldLock="1"/>
      </w:r>
      <w:r>
        <w:rPr>
          <w:rFonts w:cs="Calibri"/>
        </w:rPr>
        <w:instrText>ADDIN CSL_CITATION {"citationItems":[{"id":"ITEM-1","itemData":{"DOI":"10.1177/1440783309346472","ISSN":"17412978","author":[{"dropping-particle":"","family":"Connell","given":"Raewyn","non-dropping-particle":"","parse-names":false,"suffix":""},{"dropping-particle":"","family":"Fawcett","given":"Barbara","non-dropping-particle":"","parse-names":false,"suffix":""},{"dropping-particle":"","family":"Meagher","given":"Gabrielle","non-dropping-particle":"","parse-names":false,"suffix":""}],"container-title":"Journal of Sociology","id":"ITEM-1","issue":"4","issued":{"date-parts":[["2009"]]},"page":"331-338","title":"Neoliberalism, new public management and the human service professions","type":"article-journal","volume":"45"},"uris":["http://www.mendeley.com/documents/?uuid=2eaf93b2-17b1-4a88-9a1e-3eb392d9d30f"]}],"mendeley":{"formattedCitation":"(Connell, Fawcett, &amp; Meagher, 2009)","plainTextFormattedCitation":"(Connell, Fawcett, &amp; Meagher, 2009)","previouslyFormattedCitation":"(Connell, Fawcett, &amp; Meagher, 2009)"},"properties":{"noteIndex":0},"schema":"https://github.com/citation-style-language/schema/raw/master/csl-citation.json"}</w:instrText>
      </w:r>
      <w:r>
        <w:rPr>
          <w:rFonts w:cs="Calibri"/>
        </w:rPr>
        <w:fldChar w:fldCharType="separate"/>
      </w:r>
      <w:r>
        <w:rPr>
          <w:rFonts w:cs="Calibri"/>
          <w:noProof/>
        </w:rPr>
        <w:t>(Connell, Fawcett, &amp; Meagher, 2009)</w:t>
      </w:r>
      <w:r>
        <w:rPr>
          <w:rFonts w:cs="Calibri"/>
        </w:rPr>
        <w:fldChar w:fldCharType="end"/>
      </w:r>
      <w:r>
        <w:rPr>
          <w:rFonts w:cs="Calibri"/>
        </w:rPr>
        <w:t>.</w:t>
      </w:r>
      <w:bookmarkEnd w:id="762"/>
    </w:p>
    <w:p w14:paraId="3A6D11C0" w14:textId="77777777" w:rsidR="00787F73" w:rsidRDefault="00787F73" w:rsidP="00866155">
      <w:pPr>
        <w:rPr>
          <w:rFonts w:cs="Calibri"/>
        </w:rPr>
      </w:pPr>
    </w:p>
    <w:p w14:paraId="054ED150" w14:textId="77777777" w:rsidR="00787F73" w:rsidRDefault="00742FB7" w:rsidP="00866155">
      <w:r>
        <w:rPr>
          <w:rFonts w:cs="Calibri"/>
        </w:rPr>
        <w:t>The SM’s comment above (SM 30.9.20) also notes “over-resourcing”, indicat</w:t>
      </w:r>
      <w:r w:rsidR="00287E79">
        <w:rPr>
          <w:rFonts w:cs="Calibri"/>
        </w:rPr>
        <w:t>ing</w:t>
      </w:r>
      <w:r>
        <w:rPr>
          <w:rFonts w:cs="Calibri"/>
        </w:rPr>
        <w:t xml:space="preserve"> a pressure on the resources and capabilities of SYFR, perhaps suggesting the availability of resources was shaping the strategy. This indicates an institutional pressure from the reduction in financial support from central government, and the wider impacts and implications that have affected SYFR since the implementation of austerity measures (discussed in chapter 2.6). </w:t>
      </w:r>
      <w:bookmarkStart w:id="763" w:name="_Hlk155714452"/>
      <w:r>
        <w:rPr>
          <w:rFonts w:cs="Calibri"/>
        </w:rPr>
        <w:t xml:space="preserve">This demonstrates influence from NPM logics, with a focus on reducing budgets and increasing efficiency of projects </w:t>
      </w:r>
      <w:r>
        <w:fldChar w:fldCharType="begin" w:fldLock="1"/>
      </w:r>
      <w:r w:rsidR="00974B75">
        <w:rPr>
          <w:rFonts w:cs="Calibri"/>
        </w:rPr>
        <w:instrText>ADDIN CSL_CITATION {"citationItems":[{"id":"ITEM-1","itemData":{"DOI":"http://dx.doi.org/10.1108/MRR-09-2015-0216","ISBN":"0001253111116","ISSN":"0264-0473","PMID":"42012058","abstract":"Abstract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Journal","id":"ITEM-1","issue":"1/2","issued":{"date-parts":[["2019"]]},"page":"134-151","title":"The impact of new public management through outsourcing on the management of government information: The case of Sweden","type":"article-journal","volume":"29"},"uris":["http://www.mendeley.com/documents/?uuid=4524732a-155c-4c93-922f-cd3a912b45c2"]},{"id":"ITEM-2","itemData":{"DOI":"10.1016/0361-3682(93)E0001-W","ISSN":"03613682","abstract":"Changes in public sector accounting in a number of OECD countries over the 1980s were central to the rise of the \"New Public Management\" (NPM) and its associated doctrines of public accountability and organizational best practice. This paper discusses the rise of NPM as an alternative to the tradition of public accountability embodied in progressive-era public administration ideas. It argues that, in spite of allegations of internationalization and the adoption of a new global paradigm in public management, there was considerable variation in the extent to which different OECD countries adopted NPM over the 1980s. It further argues that conventional explanations of the rise of NPM (\"Englishness\", party political incumbency, economic performance record and government size) seem hard to sustain even from a relatively brief inspection of such cross-national data as are available, and that an explanation based on initial endowment may give us a different perspective on those changes. © 1995.","author":[{"dropping-particle":"","family":"Hood","given":"Christopher","non-dropping-particle":"","parse-names":false,"suffix":""}],"container-title":"Accounting, Organizations and Society","id":"ITEM-2","issue":"2/3","issued":{"date-parts":[["1995"]]},"page":"93-109","title":"The \"New Public Management\" in the 1980s: Variations on a theme","type":"article-journal","volume":"20"},"uris":["http://www.mendeley.com/documents/?uuid=7c2fc97b-7560-4c74-9a7c-9a0f44e73949"]},{"id":"ITEM-3","itemData":{"DOI":"10.1111/padm.12005","ISSN":"00333298","abstract":"Based on empirical research with two non-profit organizations, this article critiques structural explanations of non-profit service innovation, which portray innovation as a response to institutional contexts and downplay the power and role of human agents. We offer, instead, a conceptualization of non-profit innovation in which human agency - and its interplay with institutional logics - is an integral feature. Specifically, we outline the ways in which non-profit actors draw upon the competing institutional logics available to them to frame and serve their interests. We find that actors' assumptions and beliefs about the organization's role in the institutional field and the practice of normative, discursive work are central tenets of both the maintenance and transformation of institutions. We also find instances of service stability and service innovation ensuing from non-profit actors' agency in infusing organizational practices with interpretations and elaborations of institutional logics. © 2013 John Wiley &amp; Sons Ltd.","author":[{"dropping-particle":"","family":"Coule","given":"Tracey","non-dropping-particle":"","parse-names":false,"suffix":""},{"dropping-particle":"","family":"Patmore","given":"Beth","non-dropping-particle":"","parse-names":false,"suffix":""}],"container-title":"Public Administration","id":"ITEM-3","issue":"4","issued":{"date-parts":[["2013"]]},"page":"980-997","title":"Institutional logics, institutional work, and public service innovation in non-profit organizations","type":"article-journal","volume":"91"},"uris":["http://www.mendeley.com/documents/?uuid=5ee53fde-2479-4fb6-8060-8f41cf289650"]}],"mendeley":{"formattedCitation":"(Svärd, 2019; Coule &amp; Patmore, 2013; Hood, 1995)","plainTextFormattedCitation":"(Svärd, 2019; Coule &amp; Patmore, 2013; Hood, 1995)","previouslyFormattedCitation":"(Svärd, 2019; Coule &amp; Patmore, 2013; Hood, 1995)"},"properties":{"noteIndex":0},"schema":"https://github.com/citation-style-language/schema/raw/master/csl-citation.json"}</w:instrText>
      </w:r>
      <w:r>
        <w:rPr>
          <w:rFonts w:cs="Calibri"/>
        </w:rPr>
        <w:fldChar w:fldCharType="separate"/>
      </w:r>
      <w:r>
        <w:rPr>
          <w:rFonts w:cs="Calibri"/>
          <w:noProof/>
        </w:rPr>
        <w:t>(Svärd, 2019; Coule &amp; Patmore, 2013; Hood, 1995)</w:t>
      </w:r>
      <w:r>
        <w:rPr>
          <w:rFonts w:cs="Calibri"/>
        </w:rPr>
        <w:fldChar w:fldCharType="end"/>
      </w:r>
      <w:r>
        <w:rPr>
          <w:rFonts w:cs="Calibri"/>
        </w:rPr>
        <w:t>.</w:t>
      </w:r>
      <w:bookmarkEnd w:id="763"/>
    </w:p>
    <w:p w14:paraId="3BC0A661" w14:textId="77777777" w:rsidR="00787F73" w:rsidRDefault="00787F73" w:rsidP="00866155">
      <w:pPr>
        <w:rPr>
          <w:rFonts w:cs="Calibri"/>
        </w:rPr>
      </w:pPr>
    </w:p>
    <w:p w14:paraId="68BBB98B" w14:textId="5248EA65" w:rsidR="00787F73" w:rsidRDefault="00E16D30" w:rsidP="00866155">
      <w:r>
        <w:rPr>
          <w:rFonts w:cs="Calibri"/>
        </w:rPr>
        <w:t xml:space="preserve">While </w:t>
      </w:r>
      <w:r w:rsidR="00742FB7">
        <w:rPr>
          <w:rFonts w:cs="Calibri"/>
        </w:rPr>
        <w:t xml:space="preserve">the Community Safety team worked in a predominantly face-to-face setting, the Communications team worked more indirectly with the communities, creating materials for both community delivery (signs, billboards, and leaflets) and online methods, such as social media. </w:t>
      </w:r>
    </w:p>
    <w:p w14:paraId="04C9EF54" w14:textId="77777777" w:rsidR="00787F73" w:rsidRDefault="00787F73" w:rsidP="00866155">
      <w:pPr>
        <w:rPr>
          <w:rFonts w:cs="Calibri"/>
        </w:rPr>
      </w:pPr>
    </w:p>
    <w:p w14:paraId="51EF1739" w14:textId="77777777" w:rsidR="00787F73" w:rsidRDefault="00742FB7" w:rsidP="00866155">
      <w:pPr>
        <w:pStyle w:val="Heading3"/>
      </w:pPr>
      <w:bookmarkStart w:id="764" w:name="_Toc151994202"/>
      <w:bookmarkStart w:id="765" w:name="_Toc157971002"/>
      <w:bookmarkStart w:id="766" w:name="_Toc151905014"/>
      <w:bookmarkStart w:id="767" w:name="_Toc157970787"/>
      <w:bookmarkStart w:id="768" w:name="_Toc193367238"/>
      <w:r>
        <w:lastRenderedPageBreak/>
        <w:t>4.3.3: Communications team</w:t>
      </w:r>
      <w:bookmarkEnd w:id="764"/>
      <w:bookmarkEnd w:id="765"/>
      <w:bookmarkEnd w:id="766"/>
      <w:bookmarkEnd w:id="767"/>
      <w:bookmarkEnd w:id="768"/>
      <w:r>
        <w:t xml:space="preserve"> </w:t>
      </w:r>
    </w:p>
    <w:p w14:paraId="5C5AB7E7" w14:textId="5254F769" w:rsidR="00787F73" w:rsidRDefault="00742FB7" w:rsidP="00866155">
      <w:r>
        <w:rPr>
          <w:rFonts w:cs="Calibri"/>
        </w:rPr>
        <w:t xml:space="preserve">This thesis examined the work conducted by the Communications team, with a specific focus on social media and whether it can result in community resilience. </w:t>
      </w:r>
      <w:r w:rsidR="00E16D30">
        <w:rPr>
          <w:rFonts w:cs="Calibri"/>
        </w:rPr>
        <w:t xml:space="preserve">While </w:t>
      </w:r>
      <w:r>
        <w:rPr>
          <w:rFonts w:cs="Calibri"/>
        </w:rPr>
        <w:t>it was noted that resilience was not the explicit aim of their communication, they hoped that it was an outcome that occurred through their aim of prevention. Through analysing the ECS there are some themes which emerged, such as the role of the platform, institutions, the role of trust, and their communication aims.</w:t>
      </w:r>
    </w:p>
    <w:p w14:paraId="1F4DFCBA" w14:textId="77777777" w:rsidR="00787F73" w:rsidRDefault="00787F73" w:rsidP="00866155">
      <w:pPr>
        <w:rPr>
          <w:rFonts w:cs="Calibri"/>
        </w:rPr>
      </w:pPr>
    </w:p>
    <w:p w14:paraId="0DE51CF4" w14:textId="77777777" w:rsidR="00787F73" w:rsidRDefault="00742FB7" w:rsidP="00866155">
      <w:pPr>
        <w:pStyle w:val="Heading4"/>
        <w:spacing w:line="360" w:lineRule="auto"/>
      </w:pPr>
      <w:bookmarkStart w:id="769" w:name="_Toc151905015"/>
      <w:bookmarkStart w:id="770" w:name="_Toc151994203"/>
      <w:bookmarkStart w:id="771" w:name="_Toc157971003"/>
      <w:r>
        <w:t xml:space="preserve">Communication </w:t>
      </w:r>
      <w:bookmarkEnd w:id="769"/>
      <w:bookmarkEnd w:id="770"/>
      <w:r>
        <w:t>aims.</w:t>
      </w:r>
      <w:bookmarkEnd w:id="771"/>
    </w:p>
    <w:p w14:paraId="299464A7" w14:textId="20A4655E" w:rsidR="00787F73" w:rsidRDefault="00742FB7" w:rsidP="00866155">
      <w:r>
        <w:rPr>
          <w:rFonts w:cs="Calibri"/>
        </w:rPr>
        <w:t xml:space="preserve">The Communications team had the goal of </w:t>
      </w:r>
      <w:r>
        <w:rPr>
          <w:rFonts w:cs="Calibri"/>
          <w:i/>
        </w:rPr>
        <w:t>making people safer and stronger</w:t>
      </w:r>
      <w:r>
        <w:rPr>
          <w:rFonts w:cs="Calibri"/>
        </w:rPr>
        <w:t xml:space="preserve">, which was part of their corporate branding. </w:t>
      </w:r>
      <w:r w:rsidR="00E16D30">
        <w:rPr>
          <w:rFonts w:cs="Calibri"/>
        </w:rPr>
        <w:t xml:space="preserve">While </w:t>
      </w:r>
      <w:r>
        <w:rPr>
          <w:rFonts w:cs="Calibri"/>
        </w:rPr>
        <w:t xml:space="preserve">this did not mention building resilience, it alluded to it. The focus on </w:t>
      </w:r>
      <w:r>
        <w:rPr>
          <w:rFonts w:cs="Calibri"/>
          <w:i/>
        </w:rPr>
        <w:t>stronger</w:t>
      </w:r>
      <w:r>
        <w:rPr>
          <w:rFonts w:cs="Calibri"/>
        </w:rPr>
        <w:t xml:space="preserve"> was also ambiguous and appeared to suggest an understanding of resilience that focused on the ability to bounce back and return to the previous state, which traditionally was associated with the physical sciences </w:t>
      </w:r>
      <w:r>
        <w:fldChar w:fldCharType="begin" w:fldLock="1"/>
      </w:r>
      <w:r w:rsidR="00974B75">
        <w:rPr>
          <w:rFonts w:cs="Calibri"/>
        </w:rPr>
        <w:instrText>ADDIN CSL_CITATION {"citationItems":[{"id":"ITEM-1","itemData":{"DOI":"10.1016/j.gloenvcha.2006.04.002","ISBN":"0959-3780","ISSN":"09593780","PMID":"5114078529503471760","abstract":"The resilience perspective is increasingly used as an approach for understanding the dynamics of social-ecological systems. This article presents the origin of the resilience perspective and provides an overview of its development to date. With roots in one branch of ecology and the discovery of multiple basins of attraction in ecosystems in the 1960-1970s, it inspired social and environmental scientists to challenge the dominant stable equilibrium view. The resilience approach emphasizes non-linear dynamics, thresholds, uncertainty and surprise, how periods of gradual change interplay with periods of rapid change and how such dynamics interact across temporal and spatial scales. The history was dominated by empirical observations of ecosystem dynamics interpreted in mathematical models, developing into the adaptive management approach for responding to ecosystem change. Serious attempts to integrate the social dimension is currently taking place in resilience work reflected in the large numbers of sciences involved in explorative studies and new discoveries of linked social-ecological systems. Recent advances include understanding of social processes like, social learning and social memory, mental models and knowledge-system integration, visioning and scenario building, leadership, agents and actor groups, social networks, institutional and organizational inertia and change, adaptive capacity, transformability and systems of adaptive governance that allow for management of essential ecosystem services. © 2006.","author":[{"dropping-particle":"","family":"Folke","given":"Carl","non-dropping-particle":"","parse-names":false,"suffix":""}],"container-title":"Global Environmental Change","id":"ITEM-1","issue":"3","issued":{"date-parts":[["2006"]]},"page":"253-267","title":"Resilience: The emergence of a perspective for social-ecological systems analyses","type":"article-journal","volume":"16"},"uris":["http://www.mendeley.com/documents/?uuid=d1252e50-9f34-4dab-9ba0-b7c60a11ef5a"]},{"id":"ITEM-2","itemData":{"DOI":"10.1007/s10464-007-9156-6","ISBN":"0091-0562 (Print)","ISSN":"00910562","PMID":"18157631","abstract":"Communities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unknowns.","author":[{"dropping-particle":"","family":"Norris","given":"Fran H.","non-dropping-particle":"","parse-names":false,"suffix":""},{"dropping-particle":"","family":"Stevens","given":"Susan P.","non-dropping-particle":"","parse-names":false,"suffix":""},{"dropping-particle":"","family":"Pfefferbaum","given":"Betty","non-dropping-particle":"","parse-names":false,"suffix":""},{"dropping-particle":"","family":"Wyche","given":"Karen F.","non-dropping-particle":"","parse-names":false,"suffix":""},{"dropping-particle":"","family":"Pfefferbaum","given":"Rose L.","non-dropping-particle":"","parse-names":false,"suffix":""}],"container-title":"American Journal of Community Psychology","id":"ITEM-2","issued":{"date-parts":[["2008"]]},"page":"127-150","title":"Community resilience as a metaphor, theory, set of capacities, and strategy for disaster readiness","type":"article-journal","volume":"41"},"uris":["http://www.mendeley.com/documents/?uuid=ce971e9c-40de-4c41-9d71-39c5bbe61334"]}],"mendeley":{"formattedCitation":"(Norris et al., 2008; Folke, 2006)","plainTextFormattedCitation":"(Norris et al., 2008; Folke, 2006)","previouslyFormattedCitation":"(Norris et al., 2008; Folke, 2006)"},"properties":{"noteIndex":0},"schema":"https://github.com/citation-style-language/schema/raw/master/csl-citation.json"}</w:instrText>
      </w:r>
      <w:r>
        <w:rPr>
          <w:rFonts w:cs="Calibri"/>
        </w:rPr>
        <w:fldChar w:fldCharType="separate"/>
      </w:r>
      <w:r>
        <w:rPr>
          <w:rFonts w:cs="Calibri"/>
          <w:noProof/>
        </w:rPr>
        <w:t>(Norris et al., 2008; Folke, 2006)</w:t>
      </w:r>
      <w:r>
        <w:rPr>
          <w:rFonts w:cs="Calibri"/>
        </w:rPr>
        <w:fldChar w:fldCharType="end"/>
      </w:r>
      <w:r>
        <w:rPr>
          <w:rFonts w:cs="Calibri"/>
          <w:color w:val="000000"/>
        </w:rPr>
        <w:t>.</w:t>
      </w:r>
    </w:p>
    <w:p w14:paraId="3CE6345C" w14:textId="4976B0FE" w:rsidR="006B3FF1" w:rsidRDefault="00742FB7" w:rsidP="00866155">
      <w:pPr>
        <w:rPr>
          <w:rFonts w:cs="Calibri"/>
        </w:rPr>
      </w:pPr>
      <w:r>
        <w:rPr>
          <w:rFonts w:cs="Calibri"/>
          <w:color w:val="000000"/>
        </w:rPr>
        <w:t xml:space="preserve">Their aims for external communication were to raise awareness and behaviour change, using local stories and videos. The ECS also noted that they will warn and inform the public on large scale incidents. This implies two different approaches to communication, with warning and informing, suggesting the use of the </w:t>
      </w:r>
      <w:r w:rsidR="00912954">
        <w:rPr>
          <w:rFonts w:cs="Calibri"/>
          <w:color w:val="000000"/>
        </w:rPr>
        <w:t>D</w:t>
      </w:r>
      <w:r w:rsidR="004F7B90">
        <w:rPr>
          <w:rFonts w:cs="Calibri"/>
          <w:color w:val="000000"/>
        </w:rPr>
        <w:t xml:space="preserve">eficit </w:t>
      </w:r>
      <w:r w:rsidR="00912954">
        <w:rPr>
          <w:rFonts w:cs="Calibri"/>
          <w:color w:val="000000"/>
        </w:rPr>
        <w:t>M</w:t>
      </w:r>
      <w:r w:rsidR="004F7B90">
        <w:rPr>
          <w:rFonts w:cs="Calibri"/>
          <w:color w:val="000000"/>
        </w:rPr>
        <w:t xml:space="preserve">odel </w:t>
      </w:r>
      <w:r>
        <w:rPr>
          <w:rFonts w:cs="Calibri"/>
        </w:rPr>
        <w:t xml:space="preserve">(Abunyewah et al., 2018; Cook &amp; Melo Zurita, 2019; Krause et al., 2020), and raising awareness and behaviour change, suggesting a more interactive approach. </w:t>
      </w:r>
    </w:p>
    <w:p w14:paraId="66737128" w14:textId="77777777" w:rsidR="006B3FF1" w:rsidRDefault="006B3FF1" w:rsidP="00866155">
      <w:pPr>
        <w:rPr>
          <w:rFonts w:cs="Calibri"/>
        </w:rPr>
      </w:pPr>
    </w:p>
    <w:p w14:paraId="75C8ED29" w14:textId="70209EE2" w:rsidR="00787F73" w:rsidRDefault="00742FB7" w:rsidP="00866155">
      <w:r>
        <w:rPr>
          <w:rFonts w:cs="Calibri"/>
        </w:rPr>
        <w:t xml:space="preserve">In their ECS they mentioned </w:t>
      </w:r>
      <w:r w:rsidR="00912954">
        <w:rPr>
          <w:rFonts w:cs="Calibri"/>
        </w:rPr>
        <w:t>N</w:t>
      </w:r>
      <w:r>
        <w:rPr>
          <w:rFonts w:cs="Calibri"/>
        </w:rPr>
        <w:t xml:space="preserve">udge </w:t>
      </w:r>
      <w:r w:rsidR="00912954">
        <w:rPr>
          <w:rFonts w:cs="Calibri"/>
        </w:rPr>
        <w:t>T</w:t>
      </w:r>
      <w:r>
        <w:rPr>
          <w:rFonts w:cs="Calibri"/>
        </w:rPr>
        <w:t xml:space="preserve">heory, which has similar traits to the Deficit </w:t>
      </w:r>
      <w:r w:rsidR="00912954">
        <w:rPr>
          <w:rFonts w:cs="Calibri"/>
        </w:rPr>
        <w:t>M</w:t>
      </w:r>
      <w:r w:rsidR="004F7B90">
        <w:rPr>
          <w:rFonts w:cs="Calibri"/>
        </w:rPr>
        <w:t>odel</w:t>
      </w:r>
      <w:r>
        <w:rPr>
          <w:rFonts w:cs="Calibri"/>
        </w:rPr>
        <w:t xml:space="preserve">. Nudge </w:t>
      </w:r>
      <w:r w:rsidR="00912954">
        <w:rPr>
          <w:rFonts w:cs="Calibri"/>
        </w:rPr>
        <w:t>T</w:t>
      </w:r>
      <w:r>
        <w:rPr>
          <w:rFonts w:cs="Calibri"/>
        </w:rPr>
        <w:t xml:space="preserve">heory is a behavioural theory similar to PMT, but focuses on encouraging or </w:t>
      </w:r>
      <w:r>
        <w:rPr>
          <w:rFonts w:cs="Calibri"/>
          <w:i/>
        </w:rPr>
        <w:t>nudging</w:t>
      </w:r>
      <w:r>
        <w:rPr>
          <w:rFonts w:cs="Calibri"/>
        </w:rPr>
        <w:t xml:space="preserve"> people to make the </w:t>
      </w:r>
      <w:r>
        <w:rPr>
          <w:rFonts w:cs="Calibri"/>
          <w:i/>
        </w:rPr>
        <w:t>right</w:t>
      </w:r>
      <w:r>
        <w:rPr>
          <w:rFonts w:cs="Calibri"/>
        </w:rPr>
        <w:t xml:space="preserve"> choices</w:t>
      </w:r>
      <w:r>
        <w:rPr>
          <w:rFonts w:cs="Calibri"/>
          <w:i/>
        </w:rPr>
        <w:t xml:space="preserve"> </w:t>
      </w:r>
      <w:r>
        <w:rPr>
          <w:rFonts w:cs="Calibri"/>
        </w:rPr>
        <w:t xml:space="preserve">through the provision of information, correcting misimpressions about social norms, encouraging different choices (such as healthy fruit in prominent locations in shops and cafes), and creating default options, with the overall aim of making the ‘better’ option more convenient </w:t>
      </w:r>
      <w:r>
        <w:fldChar w:fldCharType="begin" w:fldLock="1"/>
      </w:r>
      <w:r>
        <w:rPr>
          <w:rFonts w:cs="Calibri"/>
        </w:rPr>
        <w:instrText>ADDIN CSL_CITATION {"citationItems":[{"id":"ITEM-1","itemData":{"DOI":"10.1080/01973533.2017.1356304","ISSN":"01973533","abstract":"Nudges are psychologically informed tools designed to promote behavioral change in order to improve health and well-being. In this review, we focus on three areas of concern: theory, evidence base, ethics. We begin by discussing the problems arising from the theoretical framework that nudges are based on and propose an alternative framework that helps to classify nudges into two types (Type 1 and Type 2). We then evaluate the evidence for nudges in the health domain, drawing attention to critical empirical issues (internal and external reliability) that explain the limited evidence base for their effectiveness. The review ends with an examination of the implications of the theoretical and empirical issues we discussed with respect to current debates regarding the ethics of nudge.","author":[{"dropping-particle":"","family":"Lin","given":"Yiling","non-dropping-particle":"","parse-names":false,"suffix":""},{"dropping-particle":"","family":"Osman","given":"Magda","non-dropping-particle":"","parse-names":false,"suffix":""},{"dropping-particle":"","family":"Ashcroft","given":"Richard","non-dropping-particle":"","parse-names":false,"suffix":""}],"container-title":"Basic and Applied Social Psychology","id":"ITEM-1","issue":"6","issued":{"date-parts":[["2017"]]},"page":"293-306","title":"Nudge: Concept, Effectiveness, and Ethics","type":"article-journal","volume":"39"},"uris":["http://www.mendeley.com/documents/?uuid=59633128-2aeb-414e-be10-4bf3dac249d9"]}],"mendeley":{"formattedCitation":"(Lin, Osman, &amp; Ashcroft, 2017)","plainTextFormattedCitation":"(Lin, Osman, &amp; Ashcroft, 2017)","previouslyFormattedCitation":"(Lin, Osman, &amp; Ashcroft, 2017)"},"properties":{"noteIndex":0},"schema":"https://github.com/citation-style-language/schema/raw/master/csl-citation.json"}</w:instrText>
      </w:r>
      <w:r>
        <w:rPr>
          <w:rFonts w:cs="Calibri"/>
        </w:rPr>
        <w:fldChar w:fldCharType="separate"/>
      </w:r>
      <w:r>
        <w:rPr>
          <w:rFonts w:cs="Calibri"/>
          <w:noProof/>
        </w:rPr>
        <w:t>(Lin, Osman, &amp; Ashcroft, 2017)</w:t>
      </w:r>
      <w:r>
        <w:rPr>
          <w:rFonts w:cs="Calibri"/>
        </w:rPr>
        <w:fldChar w:fldCharType="end"/>
      </w:r>
      <w:r>
        <w:rPr>
          <w:rFonts w:cs="Calibri"/>
        </w:rPr>
        <w:t xml:space="preserve">. Nudge </w:t>
      </w:r>
      <w:r w:rsidR="00912954">
        <w:rPr>
          <w:rFonts w:cs="Calibri"/>
        </w:rPr>
        <w:t>T</w:t>
      </w:r>
      <w:r>
        <w:rPr>
          <w:rFonts w:cs="Calibri"/>
        </w:rPr>
        <w:t xml:space="preserve">heory appears to follow the principles of the </w:t>
      </w:r>
      <w:r w:rsidR="00912954">
        <w:rPr>
          <w:rFonts w:cs="Calibri"/>
        </w:rPr>
        <w:t>D</w:t>
      </w:r>
      <w:r w:rsidR="004F7B90">
        <w:rPr>
          <w:rFonts w:cs="Calibri"/>
        </w:rPr>
        <w:t xml:space="preserve">eficit </w:t>
      </w:r>
      <w:r>
        <w:rPr>
          <w:rFonts w:cs="Calibri"/>
        </w:rPr>
        <w:t>Model, that through moving the location of fruit or providing information that an individual will change their behaviour</w:t>
      </w:r>
      <w:r w:rsidR="006B3FF1">
        <w:rPr>
          <w:rFonts w:cs="Calibri"/>
        </w:rPr>
        <w:t>.</w:t>
      </w:r>
      <w:r>
        <w:rPr>
          <w:rFonts w:cs="Calibri"/>
        </w:rPr>
        <w:t xml:space="preserve"> </w:t>
      </w:r>
      <w:r w:rsidR="006B3FF1">
        <w:rPr>
          <w:rFonts w:cs="Calibri"/>
        </w:rPr>
        <w:t>H</w:t>
      </w:r>
      <w:r>
        <w:rPr>
          <w:rFonts w:cs="Calibri"/>
        </w:rPr>
        <w:t xml:space="preserve">owever, as explored in the PMT literature, eliciting behaviour change is dependent on a wider variety of individualised factors, such as previous experiences, education and </w:t>
      </w:r>
      <w:r>
        <w:rPr>
          <w:rFonts w:cs="Calibri"/>
        </w:rPr>
        <w:lastRenderedPageBreak/>
        <w:t xml:space="preserve">personality </w:t>
      </w:r>
      <w:r>
        <w:fldChar w:fldCharType="begin" w:fldLock="1"/>
      </w:r>
      <w:r w:rsidR="00974B75">
        <w:rPr>
          <w:rFonts w:cs="Calibri"/>
        </w:rPr>
        <w:instrText>ADDIN CSL_CITATION {"citationItems":[{"id":"ITEM-1","itemData":{"DOI":"10.1080/19371918.2021.2018082","ISSN":"1937190X","PMID":"34962187","abstract":"COVID-19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Health","id":"ITEM-1","issue":"5","issued":{"date-parts":[["2022"]]},"page":"419-434","title":"An Integrated Approach to COVID-19 Preventive Behaviour Intentions: Protection Motivation Theory, Information Acquisition, and Trust","type":"article-journal","volume":"37"},"uris":["http://www.mendeley.com/documents/?uuid=8abd72eb-8ae4-4af7-9da1-be357bf94394"]},{"id":"ITEM-2","itemData":{"DOI":"10.1016/j.ijdrr.2021.102759","ISSN":"22124209","abstract":"The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Reduction","id":"ITEM-2","issued":{"date-parts":[["2022"]]},"page":"1 - 16","title":"Determination of factors affecting the response efficacy of Filipinos under Typhoon Conson 2021 (Jolina): An extended protection motivation theory approach","type":"article-journal","volume":"70"},"uris":["http://www.mendeley.com/documents/?uuid=df8c524a-2262-493d-9e98-6620d59903d4"]},{"id":"ITEM-3","itemData":{"DOI":"10.1007/s11069-017-3111-0","ISSN":"15730840","abstract":"Communicating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Hazards","id":"ITEM-3","issued":{"date-parts":[["2018"]]},"page":"1461-1483","title":"How does information affect fire risk reduction behaviors? Mediating effects of cognitive processes and subjective knowledge","type":"article-journal","volume":"90"},"uris":["http://www.mendeley.com/documents/?uuid=b253cc58-5f59-4b2e-9c77-76be2b2788b4"]},{"id":"ITEM-4","itemData":{"DOI":"10.1061/(asce)nh.1527-6996.0000294","ISBN":"0000000167","ISSN":"1527-6988","abstract":"©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Review","id":"ITEM-4","issue":"3","issued":{"date-parts":[["2018"]]},"page":"1 - 21","title":"Flood Risk Assessment, Future Trend Modeling, and Risk Communication: A Review of Ongoing Research","type":"article-journal","volume":"19"},"uris":["http://www.mendeley.com/documents/?uuid=72f77961-1216-4228-ab43-b36cf7f2e2d4"]}],"mendeley":{"formattedCitation":"(Acar &amp; Kıcali, 2022; Gumasing et al., 2022; Liu &amp; Jiao, 2018; Salman &amp; Li, 2018)","plainTextFormattedCitation":"(Acar &amp; Kıcali, 2022; Gumasing et al., 2022; Liu &amp; Jiao, 2018; Salman &amp; Li, 2018)","previouslyFormattedCitation":"(Acar &amp; Kıcali, 2022; Gumasing et al., 2022; Liu &amp; Jiao, 2018; Salman &amp; Li, 2018)"},"properties":{"noteIndex":0},"schema":"https://github.com/citation-style-language/schema/raw/master/csl-citation.json"}</w:instrText>
      </w:r>
      <w:r>
        <w:rPr>
          <w:rFonts w:cs="Calibri"/>
        </w:rPr>
        <w:fldChar w:fldCharType="separate"/>
      </w:r>
      <w:r>
        <w:rPr>
          <w:rFonts w:cs="Calibri"/>
          <w:noProof/>
        </w:rPr>
        <w:t>(Acar &amp; Kıcali, 2022; Gumasing et al., 2022; Liu &amp; Jiao, 2018; Salman &amp; Li, 2018)</w:t>
      </w:r>
      <w:r>
        <w:rPr>
          <w:rFonts w:cs="Calibri"/>
        </w:rPr>
        <w:fldChar w:fldCharType="end"/>
      </w:r>
      <w:r>
        <w:rPr>
          <w:rFonts w:cs="Calibri"/>
        </w:rPr>
        <w:t xml:space="preserve">. The ECS does not go into detail about </w:t>
      </w:r>
      <w:r w:rsidR="00912954">
        <w:rPr>
          <w:rFonts w:cs="Calibri"/>
        </w:rPr>
        <w:t>N</w:t>
      </w:r>
      <w:r>
        <w:rPr>
          <w:rFonts w:cs="Calibri"/>
        </w:rPr>
        <w:t xml:space="preserve">udge </w:t>
      </w:r>
      <w:r w:rsidR="00912954">
        <w:rPr>
          <w:rFonts w:cs="Calibri"/>
        </w:rPr>
        <w:t>T</w:t>
      </w:r>
      <w:r>
        <w:rPr>
          <w:rFonts w:cs="Calibri"/>
        </w:rPr>
        <w:t xml:space="preserve">heory, or how they intend to </w:t>
      </w:r>
      <w:r>
        <w:rPr>
          <w:rFonts w:cs="Calibri"/>
          <w:i/>
        </w:rPr>
        <w:t>nudge</w:t>
      </w:r>
      <w:r>
        <w:rPr>
          <w:rFonts w:cs="Calibri"/>
        </w:rPr>
        <w:t xml:space="preserve"> the community through their communication. </w:t>
      </w:r>
    </w:p>
    <w:p w14:paraId="383F31BC" w14:textId="77777777" w:rsidR="00787F73" w:rsidRDefault="00787F73" w:rsidP="00866155">
      <w:pPr>
        <w:rPr>
          <w:rFonts w:cs="Calibri"/>
          <w:color w:val="000000"/>
        </w:rPr>
      </w:pPr>
    </w:p>
    <w:p w14:paraId="6B63CC3D" w14:textId="384D6AAA" w:rsidR="00787F73" w:rsidRDefault="00742FB7" w:rsidP="00866155">
      <w:r>
        <w:rPr>
          <w:rFonts w:cs="Calibri"/>
          <w:color w:val="000000"/>
        </w:rPr>
        <w:t>The ECS noted that they would evaluate success via campaign outcomes (discussed in the next section), and a range of metrics, such as social media, website, and wider media coverage. The ECS suggested that the metrics would be evidence of their communication being a success</w:t>
      </w:r>
      <w:r w:rsidR="006B3FF1">
        <w:rPr>
          <w:rFonts w:cs="Calibri"/>
          <w:color w:val="000000"/>
        </w:rPr>
        <w:t>.</w:t>
      </w:r>
      <w:r>
        <w:rPr>
          <w:rFonts w:cs="Calibri"/>
          <w:color w:val="000000"/>
        </w:rPr>
        <w:t xml:space="preserve"> </w:t>
      </w:r>
      <w:r w:rsidR="006B3FF1">
        <w:rPr>
          <w:rFonts w:cs="Calibri"/>
          <w:color w:val="000000"/>
        </w:rPr>
        <w:t xml:space="preserve">This </w:t>
      </w:r>
      <w:r>
        <w:rPr>
          <w:rFonts w:cs="Calibri"/>
          <w:color w:val="000000"/>
        </w:rPr>
        <w:t xml:space="preserve">implies that they are linking metrics to behaviour change which is misleading. The use of metrics suggests that their content has </w:t>
      </w:r>
      <w:r>
        <w:rPr>
          <w:rFonts w:cs="Calibri"/>
          <w:i/>
          <w:color w:val="000000"/>
        </w:rPr>
        <w:t>reached</w:t>
      </w:r>
      <w:r>
        <w:rPr>
          <w:rFonts w:cs="Calibri"/>
          <w:color w:val="000000"/>
        </w:rPr>
        <w:t xml:space="preserve"> a certain number of people and is therefore evidence of </w:t>
      </w:r>
      <w:r>
        <w:rPr>
          <w:rFonts w:cs="Calibri"/>
          <w:i/>
          <w:color w:val="000000"/>
        </w:rPr>
        <w:t xml:space="preserve">engagement </w:t>
      </w:r>
      <w:r>
        <w:rPr>
          <w:rFonts w:cs="Calibri"/>
          <w:iCs/>
          <w:color w:val="000000"/>
        </w:rPr>
        <w:t>with their followers.</w:t>
      </w:r>
      <w:r>
        <w:rPr>
          <w:rFonts w:cs="Calibri"/>
          <w:color w:val="000000"/>
        </w:rPr>
        <w:t xml:space="preserve"> The assumption of individuals engagement with their messages was suggesting a link between SYFR’s communication and their follower’s potential behaviour change</w:t>
      </w:r>
      <w:r w:rsidR="006B3FF1">
        <w:rPr>
          <w:rFonts w:cs="Calibri"/>
          <w:color w:val="000000"/>
        </w:rPr>
        <w:t>.</w:t>
      </w:r>
      <w:r>
        <w:rPr>
          <w:rFonts w:cs="Calibri"/>
          <w:color w:val="000000"/>
        </w:rPr>
        <w:t xml:space="preserve"> </w:t>
      </w:r>
      <w:r w:rsidR="006B3FF1">
        <w:rPr>
          <w:rFonts w:cs="Calibri"/>
          <w:color w:val="000000"/>
        </w:rPr>
        <w:t>This</w:t>
      </w:r>
      <w:r>
        <w:rPr>
          <w:rFonts w:cs="Calibri"/>
          <w:color w:val="000000"/>
        </w:rPr>
        <w:t xml:space="preserve"> may not have been the case, as discussed in greater detail later in this chapter. As examined in the PMT literature</w:t>
      </w:r>
      <w:r w:rsidR="006B3FF1">
        <w:rPr>
          <w:rFonts w:cs="Calibri"/>
          <w:color w:val="000000"/>
        </w:rPr>
        <w:t>,</w:t>
      </w:r>
      <w:r>
        <w:rPr>
          <w:rFonts w:cs="Calibri"/>
          <w:color w:val="000000"/>
        </w:rPr>
        <w:t xml:space="preserve"> there are a range of factors which influence whether someone changes their behaviour, which implies that the use of metrics is linked to the </w:t>
      </w:r>
      <w:r w:rsidR="00912954">
        <w:rPr>
          <w:rFonts w:cs="Calibri"/>
          <w:color w:val="000000"/>
        </w:rPr>
        <w:t>D</w:t>
      </w:r>
      <w:r w:rsidR="004F7B90">
        <w:rPr>
          <w:rFonts w:cs="Calibri"/>
          <w:color w:val="000000"/>
        </w:rPr>
        <w:t xml:space="preserve">eficit </w:t>
      </w:r>
      <w:r w:rsidR="00912954">
        <w:rPr>
          <w:rFonts w:cs="Calibri"/>
          <w:color w:val="000000"/>
        </w:rPr>
        <w:t>M</w:t>
      </w:r>
      <w:r w:rsidR="004F7B90">
        <w:rPr>
          <w:rFonts w:cs="Calibri"/>
          <w:color w:val="000000"/>
        </w:rPr>
        <w:t>odel</w:t>
      </w:r>
      <w:r>
        <w:rPr>
          <w:rFonts w:cs="Calibri"/>
          <w:color w:val="000000"/>
        </w:rPr>
        <w:t xml:space="preserve">. This suggests their strategy was being created and driven by the platforms that they were using, suggesting a potential social media logic </w:t>
      </w:r>
      <w:r>
        <w:fldChar w:fldCharType="begin" w:fldLock="1"/>
      </w:r>
      <w:r>
        <w:rPr>
          <w:rFonts w:cs="Calibri"/>
          <w:color w:val="000000"/>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Pr>
          <w:rFonts w:cs="Calibri"/>
          <w:color w:val="000000"/>
        </w:rPr>
        <w:fldChar w:fldCharType="separate"/>
      </w:r>
      <w:r>
        <w:rPr>
          <w:rFonts w:cs="Calibri"/>
          <w:noProof/>
          <w:color w:val="000000"/>
        </w:rPr>
        <w:t>(van Dijck &amp; Poell, 2013)</w:t>
      </w:r>
      <w:r>
        <w:rPr>
          <w:rFonts w:cs="Calibri"/>
          <w:color w:val="000000"/>
        </w:rPr>
        <w:fldChar w:fldCharType="end"/>
      </w:r>
      <w:r w:rsidR="00287E79">
        <w:rPr>
          <w:rFonts w:cs="Calibri"/>
          <w:color w:val="000000"/>
        </w:rPr>
        <w:t>.</w:t>
      </w:r>
    </w:p>
    <w:p w14:paraId="6E9F4348" w14:textId="77777777" w:rsidR="00787F73" w:rsidRDefault="00787F73" w:rsidP="00866155">
      <w:pPr>
        <w:rPr>
          <w:rFonts w:cs="Calibri"/>
          <w:color w:val="000000"/>
        </w:rPr>
      </w:pPr>
    </w:p>
    <w:p w14:paraId="6EE51C90" w14:textId="77777777" w:rsidR="00787F73" w:rsidRDefault="00742FB7" w:rsidP="00866155">
      <w:pPr>
        <w:pStyle w:val="Heading4"/>
        <w:spacing w:line="360" w:lineRule="auto"/>
        <w:rPr>
          <w:highlight w:val="yellow"/>
        </w:rPr>
      </w:pPr>
      <w:bookmarkStart w:id="772" w:name="_Toc151905016"/>
      <w:bookmarkStart w:id="773" w:name="_Toc157971004"/>
      <w:bookmarkStart w:id="774" w:name="_Toc151994204"/>
      <w:r w:rsidRPr="00F84689">
        <w:t>Using social media platforms</w:t>
      </w:r>
      <w:bookmarkEnd w:id="772"/>
      <w:bookmarkEnd w:id="773"/>
      <w:bookmarkEnd w:id="774"/>
    </w:p>
    <w:p w14:paraId="6685A072" w14:textId="77777777" w:rsidR="00787F73" w:rsidRDefault="00742FB7" w:rsidP="00866155">
      <w:pPr>
        <w:pStyle w:val="Heading5"/>
        <w:spacing w:line="360" w:lineRule="auto"/>
        <w:rPr>
          <w:highlight w:val="yellow"/>
        </w:rPr>
      </w:pPr>
      <w:bookmarkStart w:id="775" w:name="_Toc151994205"/>
      <w:bookmarkStart w:id="776" w:name="_Toc157971005"/>
      <w:bookmarkStart w:id="777" w:name="_Toc151905017"/>
      <w:r w:rsidRPr="00F84689">
        <w:t>The challenges of changing social media algorithms</w:t>
      </w:r>
      <w:bookmarkEnd w:id="775"/>
      <w:bookmarkEnd w:id="776"/>
      <w:bookmarkEnd w:id="777"/>
    </w:p>
    <w:p w14:paraId="2F69110D" w14:textId="77777777" w:rsidR="00787F73" w:rsidRDefault="00742FB7" w:rsidP="00866155">
      <w:r>
        <w:rPr>
          <w:rFonts w:cs="Calibri"/>
        </w:rPr>
        <w:t>SYFR’s ECS mentioned social media platforms and their algorithms, and noted the challenges they face when the algorithms were changed and the resulting influence on their communication with their followers. The ECS noted that the changing algorithms made it harder to engage with audiences online, impacting how they could reach the community to deliver risk communication and support resilience:</w:t>
      </w:r>
    </w:p>
    <w:p w14:paraId="6CBFFF2E" w14:textId="77777777" w:rsidR="00787F73" w:rsidRDefault="00742FB7" w:rsidP="00866155">
      <w:pPr>
        <w:pStyle w:val="Quote"/>
        <w:spacing w:line="360" w:lineRule="auto"/>
        <w:jc w:val="both"/>
      </w:pPr>
      <w:r>
        <w:rPr>
          <w:rFonts w:cs="Calibri"/>
          <w:szCs w:val="24"/>
        </w:rPr>
        <w:t xml:space="preserve">“Broadcasting stuff out on Facebook is good, but that’s getting harder and harder because Facebook in itself is getting greedy, really. It’s trying to push you down the route of paying to advertise. It’s not going to give you anything for free. (…) Facebook (…) controls what you see in your timeline. So, we can put something out that we think is great, but if we don’t agree with Facebook’s algorithm that they use, then they’ll just stop it going </w:t>
      </w:r>
      <w:r>
        <w:rPr>
          <w:rFonts w:cs="Calibri"/>
          <w:szCs w:val="24"/>
        </w:rPr>
        <w:lastRenderedPageBreak/>
        <w:t xml:space="preserve">anywhere. And they do it making it harder for business pages, like ourselves, to get out.” (CM </w:t>
      </w:r>
      <w:r w:rsidR="006A7A2E">
        <w:rPr>
          <w:rFonts w:cs="Calibri"/>
          <w:szCs w:val="24"/>
        </w:rPr>
        <w:t xml:space="preserve">interview, </w:t>
      </w:r>
      <w:r>
        <w:rPr>
          <w:rFonts w:cs="Calibri"/>
          <w:szCs w:val="24"/>
        </w:rPr>
        <w:t>7.8.19)</w:t>
      </w:r>
    </w:p>
    <w:p w14:paraId="1CAD714A" w14:textId="62E3C3CC"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Calibri"/>
        </w:rPr>
      </w:pPr>
      <w:r>
        <w:rPr>
          <w:rFonts w:cs="Calibri"/>
          <w:iCs/>
        </w:rPr>
        <w:t>This was again echoed a year</w:t>
      </w:r>
      <w:r>
        <w:rPr>
          <w:rFonts w:cs="Calibri"/>
          <w:i/>
        </w:rPr>
        <w:t xml:space="preserve"> </w:t>
      </w:r>
      <w:r>
        <w:rPr>
          <w:rFonts w:cs="Calibri"/>
        </w:rPr>
        <w:t xml:space="preserve">later </w:t>
      </w:r>
      <w:r>
        <w:rPr>
          <w:rStyle w:val="QuoteChar"/>
          <w:rFonts w:cs="Calibri"/>
        </w:rPr>
        <w:t>“if content doesn’t do well on Facebook, it’s not worth posting it.” (SM</w:t>
      </w:r>
      <w:r w:rsidR="006A7A2E">
        <w:rPr>
          <w:rStyle w:val="QuoteChar"/>
          <w:rFonts w:cs="Calibri"/>
        </w:rPr>
        <w:t xml:space="preserve"> interview</w:t>
      </w:r>
      <w:r>
        <w:rPr>
          <w:rStyle w:val="QuoteChar"/>
          <w:rFonts w:cs="Calibri"/>
        </w:rPr>
        <w:t xml:space="preserve"> 23.11.20).</w:t>
      </w:r>
      <w:r>
        <w:rPr>
          <w:rFonts w:cs="Calibri"/>
          <w:i/>
        </w:rPr>
        <w:t xml:space="preserve"> </w:t>
      </w:r>
      <w:r>
        <w:rPr>
          <w:rFonts w:cs="Calibri"/>
          <w:iCs/>
        </w:rPr>
        <w:t>Indicating that SYFR were designing their risk communication materials and messages based on the platforms that they were using and how likely their material would be shared across social media</w:t>
      </w:r>
      <w:r w:rsidR="006B3FF1">
        <w:rPr>
          <w:rFonts w:cs="Calibri"/>
          <w:iCs/>
        </w:rPr>
        <w:t>.</w:t>
      </w:r>
      <w:r>
        <w:rPr>
          <w:rFonts w:cs="Calibri"/>
          <w:iCs/>
        </w:rPr>
        <w:t xml:space="preserve"> </w:t>
      </w:r>
      <w:r w:rsidR="006B3FF1">
        <w:rPr>
          <w:rFonts w:cs="Calibri"/>
          <w:iCs/>
        </w:rPr>
        <w:t>This</w:t>
      </w:r>
      <w:r>
        <w:rPr>
          <w:rFonts w:cs="Calibri"/>
          <w:iCs/>
        </w:rPr>
        <w:t xml:space="preserve"> suggests a social media logic of connectivity, namely how messages are spread across the platform </w:t>
      </w:r>
      <w:r>
        <w:fldChar w:fldCharType="begin" w:fldLock="1"/>
      </w:r>
      <w:r>
        <w:rPr>
          <w:rFonts w:cs="Calibri"/>
          <w:iCs/>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Pr>
          <w:rFonts w:cs="Calibri"/>
          <w:iCs/>
        </w:rPr>
        <w:fldChar w:fldCharType="separate"/>
      </w:r>
      <w:r>
        <w:rPr>
          <w:rFonts w:cs="Calibri"/>
          <w:iCs/>
          <w:noProof/>
        </w:rPr>
        <w:t>(van Dijck &amp; Poell, 2013)</w:t>
      </w:r>
      <w:r>
        <w:rPr>
          <w:rFonts w:cs="Calibri"/>
          <w:iCs/>
        </w:rPr>
        <w:fldChar w:fldCharType="end"/>
      </w:r>
      <w:r>
        <w:rPr>
          <w:rFonts w:cs="Calibri"/>
          <w:iCs/>
        </w:rPr>
        <w:t>. This indicates that SYFR were evaluating their risk communication campaigns to Meta’s</w:t>
      </w:r>
      <w:r>
        <w:rPr>
          <w:rFonts w:cs="Calibri"/>
        </w:rPr>
        <w:t xml:space="preserve"> business practices and platform design. The CM used very frank language to discuss Facebook, noting that they were getting </w:t>
      </w:r>
      <w:r>
        <w:rPr>
          <w:rFonts w:cs="Calibri"/>
          <w:i/>
          <w:iCs/>
        </w:rPr>
        <w:t>greedy</w:t>
      </w:r>
      <w:r>
        <w:rPr>
          <w:rFonts w:cs="Calibri"/>
        </w:rPr>
        <w:t xml:space="preserve"> and perhaps trying to exploit their users further for profit</w:t>
      </w:r>
      <w:r w:rsidR="006B3FF1">
        <w:rPr>
          <w:rFonts w:cs="Calibri"/>
        </w:rPr>
        <w:t>.</w:t>
      </w:r>
      <w:r>
        <w:rPr>
          <w:rFonts w:cs="Calibri"/>
        </w:rPr>
        <w:t xml:space="preserve"> </w:t>
      </w:r>
      <w:r w:rsidR="006B3FF1">
        <w:rPr>
          <w:rFonts w:cs="Calibri"/>
        </w:rPr>
        <w:t>H</w:t>
      </w:r>
      <w:r>
        <w:rPr>
          <w:rFonts w:cs="Calibri"/>
        </w:rPr>
        <w:t xml:space="preserve">owever, Facebook’s business model has always been profiting off communication. This shows conflicting instructional logics, with SYFR wanting to communicate risk for the public good, </w:t>
      </w:r>
      <w:r w:rsidR="00E16D30">
        <w:rPr>
          <w:rFonts w:cs="Calibri"/>
        </w:rPr>
        <w:t xml:space="preserve">while </w:t>
      </w:r>
      <w:r>
        <w:rPr>
          <w:rFonts w:cs="Calibri"/>
        </w:rPr>
        <w:t>social media companies operate under market logics. Many organisations operate their communication based on or around social media, however, there is a growing acknowledgement that this is not a sustainable approach</w:t>
      </w:r>
      <w:r w:rsidR="006B3FF1">
        <w:rPr>
          <w:rFonts w:cs="Calibri"/>
        </w:rPr>
        <w:t xml:space="preserve">.This </w:t>
      </w:r>
      <w:r>
        <w:rPr>
          <w:rFonts w:cs="Calibri"/>
        </w:rPr>
        <w:t xml:space="preserve"> </w:t>
      </w:r>
      <w:r w:rsidR="006B3FF1">
        <w:rPr>
          <w:rFonts w:cs="Calibri"/>
        </w:rPr>
        <w:t>h</w:t>
      </w:r>
      <w:r>
        <w:rPr>
          <w:rFonts w:cs="Calibri"/>
        </w:rPr>
        <w:t>as</w:t>
      </w:r>
      <w:r w:rsidR="006B3FF1">
        <w:rPr>
          <w:rFonts w:cs="Calibri"/>
        </w:rPr>
        <w:t xml:space="preserve"> been</w:t>
      </w:r>
      <w:r>
        <w:rPr>
          <w:rFonts w:cs="Calibri"/>
        </w:rPr>
        <w:t xml:space="preserve"> </w:t>
      </w:r>
      <w:r w:rsidR="006B3FF1">
        <w:rPr>
          <w:rFonts w:cs="Calibri"/>
        </w:rPr>
        <w:t xml:space="preserve">demonstrated </w:t>
      </w:r>
      <w:r>
        <w:rPr>
          <w:rFonts w:cs="Calibri"/>
        </w:rPr>
        <w:t xml:space="preserve">with the changing from Twitter to X at the helm of Elon Musk, and the resulting impact on its customer base and business </w:t>
      </w:r>
      <w:r>
        <w:fldChar w:fldCharType="begin" w:fldLock="1"/>
      </w:r>
      <w:r w:rsidR="00974B75">
        <w:rPr>
          <w:rFonts w:cs="Calibri"/>
        </w:rPr>
        <w:instrText>ADDIN CSL_CITATION {"citationItems":[{"id":"ITEM-1","itemData":{"author":[{"dropping-particle":"","family":"Murphy","given":"Hannah","non-dropping-particle":"","parse-names":false,"suffix":""},{"dropping-particle":"","family":"Aliaj","given":"Ortenca","non-dropping-particle":"","parse-names":false,"suffix":""},{"dropping-particle":"","family":"Fontanella-Khan","given":"James","non-dropping-particle":"","parse-names":false,"suffix":""},{"dropping-particle":"","family":"Bradshaw","given":"Tim","non-dropping-particle":"","parse-names":false,"suffix":""}],"container-title":"Financial Times","id":"ITEM-1","issued":{"date-parts":[["2022","10","28"]]},"title":"Elon Musk closes $ 44bn deal to buy Twitter","type":"article-newspaper"},"uris":["http://www.mendeley.com/documents/?uuid=e495c770-1e63-4df5-a772-49d9032b2ab9"]}],"mendeley":{"formattedCitation":"(Murphy et al., 2022)","plainTextFormattedCitation":"(Murphy et al., 2022)","previouslyFormattedCitation":"(Murphy et al., 2022)"},"properties":{"noteIndex":0},"schema":"https://github.com/citation-style-language/schema/raw/master/csl-citation.json"}</w:instrText>
      </w:r>
      <w:r>
        <w:rPr>
          <w:rFonts w:cs="Calibri"/>
        </w:rPr>
        <w:fldChar w:fldCharType="separate"/>
      </w:r>
      <w:r w:rsidR="00974B75" w:rsidRPr="00974B75">
        <w:rPr>
          <w:rFonts w:cs="Calibri"/>
          <w:noProof/>
        </w:rPr>
        <w:t>(Murphy et al., 2022)</w:t>
      </w:r>
      <w:r>
        <w:rPr>
          <w:rFonts w:cs="Calibri"/>
        </w:rPr>
        <w:fldChar w:fldCharType="end"/>
      </w:r>
      <w:r>
        <w:rPr>
          <w:rFonts w:cs="Calibri"/>
        </w:rPr>
        <w:t xml:space="preserve">. The changing social media algorithms also notes a shifting in the social media logics, namely the programmability of the platform </w:t>
      </w:r>
      <w:r>
        <w:fldChar w:fldCharType="begin" w:fldLock="1"/>
      </w:r>
      <w:r>
        <w:rPr>
          <w:rFonts w:cs="Calibri"/>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Pr>
          <w:rFonts w:cs="Calibri"/>
        </w:rPr>
        <w:fldChar w:fldCharType="separate"/>
      </w:r>
      <w:r>
        <w:rPr>
          <w:rFonts w:cs="Calibri"/>
          <w:noProof/>
        </w:rPr>
        <w:t>(van Dijck &amp; Poell, 2013)</w:t>
      </w:r>
      <w:r>
        <w:rPr>
          <w:rFonts w:cs="Calibri"/>
        </w:rPr>
        <w:fldChar w:fldCharType="end"/>
      </w:r>
      <w:r>
        <w:rPr>
          <w:rFonts w:cs="Calibri"/>
        </w:rPr>
        <w:t xml:space="preserve"> and therefore the need for SYFR to adapt their strategy within an institutionally </w:t>
      </w:r>
      <w:r w:rsidRPr="00CA071E">
        <w:rPr>
          <w:rFonts w:cs="Calibri"/>
        </w:rPr>
        <w:t>pluralistic</w:t>
      </w:r>
      <w:r>
        <w:rPr>
          <w:rFonts w:cs="Calibri"/>
        </w:rPr>
        <w:t xml:space="preserve"> environment.</w:t>
      </w:r>
    </w:p>
    <w:p w14:paraId="68566460" w14:textId="77777777" w:rsidR="0013548C" w:rsidRDefault="0013548C" w:rsidP="00A01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4DFD4D0" w14:textId="77777777"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Pr>
          <w:rFonts w:cs="Calibri"/>
        </w:rPr>
        <w:t>With social media companies changing their algorithms, it requires organisations like SYFR to adapt their messaging and approach to reach the communities at risk, which is noted in the ECS with the drive to work with smaller community groups.</w:t>
      </w:r>
    </w:p>
    <w:p w14:paraId="59F3FA7D" w14:textId="77777777" w:rsidR="00787F73" w:rsidRDefault="00787F73"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Calibri"/>
        </w:rPr>
      </w:pPr>
    </w:p>
    <w:p w14:paraId="7FDD7FD2" w14:textId="77777777" w:rsidR="00787F73" w:rsidRDefault="00742FB7" w:rsidP="00866155">
      <w:pPr>
        <w:pStyle w:val="Heading5"/>
        <w:spacing w:line="360" w:lineRule="auto"/>
      </w:pPr>
      <w:bookmarkStart w:id="778" w:name="_Toc157971006"/>
      <w:bookmarkStart w:id="779" w:name="_Toc151905018"/>
      <w:bookmarkStart w:id="780" w:name="_Toc151994206"/>
      <w:r>
        <w:t>Adapting their strategy for engagement on social media</w:t>
      </w:r>
      <w:bookmarkEnd w:id="778"/>
      <w:bookmarkEnd w:id="779"/>
      <w:bookmarkEnd w:id="780"/>
    </w:p>
    <w:p w14:paraId="6F7DA980" w14:textId="56DB474B" w:rsidR="00787F73" w:rsidRPr="00E97EA9" w:rsidRDefault="00742FB7" w:rsidP="00866155">
      <w:r w:rsidRPr="00E97EA9">
        <w:rPr>
          <w:rFonts w:cs="Calibri"/>
        </w:rPr>
        <w:t xml:space="preserve">SYFR note in their ECS that they were aiming to use social media to target closed Facebook groups, to work around the algorithm changes and to increase engagement with specific communities at risk. </w:t>
      </w:r>
      <w:r w:rsidR="00E16D30" w:rsidRPr="00E97EA9">
        <w:rPr>
          <w:rFonts w:cs="Calibri"/>
        </w:rPr>
        <w:t>Whil</w:t>
      </w:r>
      <w:r w:rsidR="00E16D30">
        <w:rPr>
          <w:rFonts w:cs="Calibri"/>
        </w:rPr>
        <w:t xml:space="preserve">e </w:t>
      </w:r>
      <w:r w:rsidRPr="00E97EA9">
        <w:rPr>
          <w:rFonts w:cs="Calibri"/>
        </w:rPr>
        <w:t xml:space="preserve">this was in their ECS, it appeared that before my internship they had not been actively working towards this goal. </w:t>
      </w:r>
    </w:p>
    <w:p w14:paraId="21B6C22D" w14:textId="26568E1C" w:rsidR="00787F73" w:rsidRDefault="00742FB7" w:rsidP="00866155">
      <w:r w:rsidRPr="00E97EA9">
        <w:rPr>
          <w:rFonts w:cs="Calibri"/>
        </w:rPr>
        <w:lastRenderedPageBreak/>
        <w:t xml:space="preserve">During my internship, they asked me to research towns and villages across South Yorkshire and create a database for the local community groups in that area. This required me searching for locations on Facebook and attempting to find small community groups, such as town groups, or parent groups within that area. Their goal was that if there was an incident near to one of those groups, they would be able to quickly find the relevant community group and get in touch. </w:t>
      </w:r>
      <w:r w:rsidR="00E16D30" w:rsidRPr="00E97EA9">
        <w:rPr>
          <w:rFonts w:cs="Calibri"/>
        </w:rPr>
        <w:t>Whil</w:t>
      </w:r>
      <w:r w:rsidR="00E16D30">
        <w:rPr>
          <w:rFonts w:cs="Calibri"/>
        </w:rPr>
        <w:t>e</w:t>
      </w:r>
      <w:r w:rsidR="00E16D30" w:rsidRPr="00E97EA9">
        <w:rPr>
          <w:rFonts w:cs="Calibri"/>
        </w:rPr>
        <w:t xml:space="preserve"> </w:t>
      </w:r>
      <w:r w:rsidRPr="00E97EA9">
        <w:rPr>
          <w:rFonts w:cs="Calibri"/>
        </w:rPr>
        <w:t xml:space="preserve">this approach showed a desire to engage with the communities, it still appeared to be based on the </w:t>
      </w:r>
      <w:r w:rsidR="00912954">
        <w:rPr>
          <w:rFonts w:cs="Calibri"/>
        </w:rPr>
        <w:t>D</w:t>
      </w:r>
      <w:r w:rsidR="004F7B90" w:rsidRPr="00E97EA9">
        <w:rPr>
          <w:rFonts w:cs="Calibri"/>
        </w:rPr>
        <w:t xml:space="preserve">eficit </w:t>
      </w:r>
      <w:r w:rsidR="00912954">
        <w:rPr>
          <w:rFonts w:cs="Calibri"/>
        </w:rPr>
        <w:t>M</w:t>
      </w:r>
      <w:r w:rsidR="004F7B90" w:rsidRPr="00E97EA9">
        <w:rPr>
          <w:rFonts w:cs="Calibri"/>
        </w:rPr>
        <w:t>odel</w:t>
      </w:r>
      <w:r w:rsidRPr="00E97EA9">
        <w:rPr>
          <w:rFonts w:cs="Calibri"/>
        </w:rPr>
        <w:t xml:space="preserve">; just using these groups in the response and recovery phases of an incident to provide them with information.  As seen during COVID-19, when discussing the increasing rates of garden fires due to recycling centres being shut, the CM noted </w:t>
      </w:r>
      <w:r w:rsidRPr="00E97EA9">
        <w:rPr>
          <w:rStyle w:val="QuoteChar"/>
        </w:rPr>
        <w:t>“in the Facebook groups we basically shared that graphic and gave them all an appeal.”</w:t>
      </w:r>
      <w:r w:rsidRPr="00E97EA9">
        <w:rPr>
          <w:rFonts w:cs="Calibri"/>
        </w:rPr>
        <w:t xml:space="preserve"> </w:t>
      </w:r>
      <w:r w:rsidRPr="00E97EA9">
        <w:t>(CM</w:t>
      </w:r>
      <w:r w:rsidR="006A7A2E">
        <w:t>, interview</w:t>
      </w:r>
      <w:r w:rsidRPr="00E97EA9">
        <w:t xml:space="preserve"> 21.04.20). This again suggests the presence of a social media logic, namely to notion of </w:t>
      </w:r>
      <w:r w:rsidRPr="00E97EA9">
        <w:rPr>
          <w:i/>
          <w:iCs/>
        </w:rPr>
        <w:t xml:space="preserve">connectivity, </w:t>
      </w:r>
      <w:r w:rsidRPr="00E97EA9">
        <w:t>and that SYFR would be able to ‘reach’ large groups of people.</w:t>
      </w:r>
    </w:p>
    <w:p w14:paraId="022F3112" w14:textId="77777777" w:rsidR="00713A0B" w:rsidRDefault="00713A0B" w:rsidP="00866155"/>
    <w:p w14:paraId="7A8C4EDC" w14:textId="66D88C8A" w:rsidR="00787F73" w:rsidRDefault="00742FB7" w:rsidP="00866155">
      <w:pPr>
        <w:pStyle w:val="TranscriptTableT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Calibri" w:hAnsi="Calibri" w:cs="Calibri"/>
          <w:sz w:val="24"/>
          <w:szCs w:val="24"/>
        </w:rPr>
      </w:pPr>
      <w:r w:rsidRPr="00E97EA9">
        <w:rPr>
          <w:rFonts w:ascii="Calibri" w:hAnsi="Calibri" w:cs="Calibri"/>
          <w:sz w:val="24"/>
          <w:szCs w:val="24"/>
        </w:rPr>
        <w:t>There is also an issue with the sustainability of this approach, namely that community groups, especially online, can be temporary or have closed access, as was seen in the low-risk community group (discussed in RQ3). However, in the final interview I had with the CM</w:t>
      </w:r>
      <w:r w:rsidR="00243ED8">
        <w:rPr>
          <w:rFonts w:ascii="Calibri" w:hAnsi="Calibri" w:cs="Calibri"/>
          <w:sz w:val="24"/>
          <w:szCs w:val="24"/>
        </w:rPr>
        <w:t>,</w:t>
      </w:r>
      <w:r w:rsidRPr="00E97EA9">
        <w:rPr>
          <w:rFonts w:ascii="Calibri" w:hAnsi="Calibri" w:cs="Calibri"/>
          <w:sz w:val="24"/>
          <w:szCs w:val="24"/>
        </w:rPr>
        <w:t xml:space="preserve"> they mentioned they had developed a hyper local campaign, focusing on risk areas, and had started using Facebook groups. They explained that engaging in this way was tied to resources, and if they wanted to use Facebook group engagement on a larger scale, they would have to hire </w:t>
      </w:r>
      <w:r w:rsidR="00243ED8" w:rsidRPr="00E97EA9">
        <w:rPr>
          <w:rFonts w:ascii="Calibri" w:hAnsi="Calibri" w:cs="Calibri"/>
          <w:sz w:val="24"/>
          <w:szCs w:val="24"/>
        </w:rPr>
        <w:t>someone</w:t>
      </w:r>
      <w:r w:rsidR="00243ED8">
        <w:rPr>
          <w:rFonts w:ascii="Calibri" w:hAnsi="Calibri" w:cs="Calibri"/>
          <w:sz w:val="24"/>
          <w:szCs w:val="24"/>
        </w:rPr>
        <w:t>. They</w:t>
      </w:r>
      <w:r w:rsidRPr="00E97EA9">
        <w:rPr>
          <w:rFonts w:ascii="Calibri" w:hAnsi="Calibri" w:cs="Calibri"/>
          <w:sz w:val="24"/>
          <w:szCs w:val="24"/>
        </w:rPr>
        <w:t>explained that this approach would only be used for areas that have “</w:t>
      </w:r>
      <w:r w:rsidRPr="00E97EA9">
        <w:rPr>
          <w:rFonts w:ascii="Calibri" w:hAnsi="Calibri" w:cs="Calibri"/>
          <w:i/>
          <w:sz w:val="24"/>
          <w:szCs w:val="24"/>
        </w:rPr>
        <w:t>serious issues”</w:t>
      </w:r>
      <w:r w:rsidRPr="00E97EA9">
        <w:rPr>
          <w:rFonts w:ascii="Calibri" w:hAnsi="Calibri" w:cs="Calibri"/>
          <w:sz w:val="24"/>
          <w:szCs w:val="24"/>
        </w:rPr>
        <w:t xml:space="preserve"> (CM</w:t>
      </w:r>
      <w:r w:rsidR="006A7A2E">
        <w:rPr>
          <w:rFonts w:ascii="Calibri" w:hAnsi="Calibri" w:cs="Calibri"/>
          <w:sz w:val="24"/>
          <w:szCs w:val="24"/>
        </w:rPr>
        <w:t xml:space="preserve"> interview,</w:t>
      </w:r>
      <w:r w:rsidRPr="00E97EA9">
        <w:rPr>
          <w:rFonts w:ascii="Calibri" w:hAnsi="Calibri" w:cs="Calibri"/>
          <w:sz w:val="24"/>
          <w:szCs w:val="24"/>
        </w:rPr>
        <w:t xml:space="preserve"> 28.4.21).</w:t>
      </w:r>
    </w:p>
    <w:p w14:paraId="36814438" w14:textId="77777777" w:rsidR="00713A0B" w:rsidRDefault="00713A0B" w:rsidP="00866155">
      <w:pPr>
        <w:pStyle w:val="TranscriptTableT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Calibri" w:hAnsi="Calibri" w:cs="Calibri"/>
          <w:sz w:val="24"/>
          <w:szCs w:val="24"/>
        </w:rPr>
      </w:pPr>
    </w:p>
    <w:p w14:paraId="076CF967" w14:textId="77777777" w:rsidR="00713A0B" w:rsidRDefault="00742FB7" w:rsidP="00713A0B">
      <w:pPr>
        <w:rPr>
          <w:rFonts w:cs="Calibri"/>
        </w:rPr>
      </w:pPr>
      <w:r w:rsidRPr="00E97EA9">
        <w:rPr>
          <w:rFonts w:cs="Calibri"/>
        </w:rPr>
        <w:t xml:space="preserve">One can see the benefit of using these small local groups for communication, as it could be argued they work towards community resilience through providing a method with which to develop the community networks and relationships </w:t>
      </w:r>
      <w:r w:rsidRPr="00E97EA9">
        <w:fldChar w:fldCharType="begin" w:fldLock="1"/>
      </w:r>
      <w:r w:rsidR="00974B75" w:rsidRPr="00E97EA9">
        <w:rPr>
          <w:rFonts w:cs="Calibri"/>
        </w:rPr>
        <w:instrText>ADDIN CSL_CITATION {"citationItems":[{"id":"ITEM-1","itemData":{"DOI":"10.1371/currents.dis.db775aff25efc5ac4f0660ad9c9f7db2","ISSN":"2157-3999","abstract":"Background: Government, industry and charitable organisations have an increasing focus on programs intended to support community resilience to disasters. But has consensus been reached as to what defines 'community resilience' and what its core characteristics are? Methods: We undertook a systematic literature review of definitions of community resilience related to disasters. We conducted an inductive thematic analysis of the definitions and descriptions that we identified, in order to determine the proposed characteristics of community resilience prior to, during and after a disaster. Results: We identified 80 relevant papers. There was no evidence of a common, agreed definition of community resilience. In spite of this, evidence was found of nine core elements of community resilience that were common among the definitions. The core elements were: local knowledge, community networks and relationships, communication, health, governance and leadership, resources, economic investment, preparedness, and mental outlook. Within these core elements, we identified 19 sub-elements linked to community resilience. Conclusion: Our findings show that community resilience remains an amorphous concept that is understood and applied differently by different research groups. Yet in spite of the differences in conception and application, there are well-understood elements that are widely proposed as important for a resilient community. A focus on these individual elements may be more productive than attempting to define and study community resilience as a distinct concept. Tweet Patel SS, Rogers MB, Amlôt R, Rubin GJ. What Do We Mean by 'Community Resilience'? A","author":[{"dropping-particle":"","family":"Patel","given":"Sonny S","non-dropping-particle":"","parse-names":false,"suffix":""},{"dropping-particle":"","family":"Rogers","given":"M Brooke","non-dropping-particle":"","parse-names":false,"suffix":""},{"dropping-particle":"","family":"Amlôt","given":"Richard","non-dropping-particle":"","parse-names":false,"suffix":""},{"dropping-particle":"","family":"Rubin","given":"G James","non-dropping-particle":"","parse-names":false,"suffix":""}],"container-title":"PLoS currents","id":"ITEM-1","issued":{"date-parts":[["2017"]]},"page":"1-22","title":"What Do We Mean by 'Community Resilience'? A Systematic Literature Review of How It Is Defined in the Literature","type":"article-journal","volume":"9"},"uris":["http://www.mendeley.com/documents/?uuid=8b7e845a-0cc5-4c23-b38e-826bdf09e29d"]}],"mendeley":{"formattedCitation":"(Patel et al., 2017)","plainTextFormattedCitation":"(Patel et al., 2017)","previouslyFormattedCitation":"(Patel et al., 2017)"},"properties":{"noteIndex":0},"schema":"https://github.com/citation-style-language/schema/raw/master/csl-citation.json"}</w:instrText>
      </w:r>
      <w:r w:rsidRPr="00E97EA9">
        <w:rPr>
          <w:rFonts w:cs="Calibri"/>
        </w:rPr>
        <w:fldChar w:fldCharType="separate"/>
      </w:r>
      <w:r w:rsidRPr="00E97EA9">
        <w:rPr>
          <w:rFonts w:cs="Calibri"/>
          <w:noProof/>
        </w:rPr>
        <w:t>(Patel et al., 2017)</w:t>
      </w:r>
      <w:r w:rsidRPr="00E97EA9">
        <w:rPr>
          <w:rFonts w:cs="Calibri"/>
        </w:rPr>
        <w:fldChar w:fldCharType="end"/>
      </w:r>
      <w:r w:rsidRPr="00E97EA9">
        <w:rPr>
          <w:rFonts w:cs="Calibri"/>
        </w:rPr>
        <w:t xml:space="preserve">. SYFR explained how the Facebook groups can be used in the response and recovery phases of a disaster, however, it is perhaps more challenging to use them for the development of community resilience in the mitigation and preparation phases for several reasons. </w:t>
      </w:r>
    </w:p>
    <w:p w14:paraId="6222BDC9" w14:textId="77777777" w:rsidR="00713A0B" w:rsidRDefault="00713A0B" w:rsidP="00713A0B">
      <w:pPr>
        <w:rPr>
          <w:rFonts w:cs="Calibri"/>
        </w:rPr>
      </w:pPr>
    </w:p>
    <w:p w14:paraId="26AF6ED4" w14:textId="46F3F786" w:rsidR="00787F73" w:rsidRDefault="00742FB7" w:rsidP="00713A0B">
      <w:pPr>
        <w:rPr>
          <w:rFonts w:cs="Calibri"/>
        </w:rPr>
      </w:pPr>
      <w:r w:rsidRPr="00E97EA9">
        <w:rPr>
          <w:rFonts w:cs="Calibri"/>
        </w:rPr>
        <w:lastRenderedPageBreak/>
        <w:t xml:space="preserve">Firstly, I witnessed this challenge first-hand while collecting the community level data; I spent a long time trying to communicate and engage with people in these sorts of groups and did not have many responses to my posts or messages. </w:t>
      </w:r>
      <w:r w:rsidR="00E16D30" w:rsidRPr="00E97EA9">
        <w:rPr>
          <w:rFonts w:cs="Calibri"/>
        </w:rPr>
        <w:t>Whil</w:t>
      </w:r>
      <w:r w:rsidR="00E16D30">
        <w:rPr>
          <w:rFonts w:cs="Calibri"/>
        </w:rPr>
        <w:t xml:space="preserve">e </w:t>
      </w:r>
      <w:r w:rsidRPr="00E97EA9">
        <w:rPr>
          <w:rFonts w:cs="Calibri"/>
        </w:rPr>
        <w:t xml:space="preserve">this approach may be more successful with a member of SYFR messaging due to the community reputation of SYFR and the wider FRS, it is very time consuming and labour intensive. With austerity measures and lack of funding it would be very challenging for an organisation such as SYFR, as they would need to find the resources to hire additional staff to engage with the communities during different disasters, which may require varying levels of engagement. This suggests that social media has been beneficial in the response and recovery phases of disasters, but this is perhaps due to the captive audience and wider social media logics of connectivity, meaning that people flock to online platforms to get the most up to date information from sources that they trust </w:t>
      </w:r>
      <w:r w:rsidRPr="00E97EA9">
        <w:fldChar w:fldCharType="begin" w:fldLock="1"/>
      </w:r>
      <w:r w:rsidRPr="00E97EA9">
        <w:rPr>
          <w:rFonts w:cs="Calibri"/>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sidRPr="00E97EA9">
        <w:rPr>
          <w:rFonts w:cs="Calibri"/>
        </w:rPr>
        <w:fldChar w:fldCharType="separate"/>
      </w:r>
      <w:r w:rsidRPr="00E97EA9">
        <w:rPr>
          <w:rFonts w:cs="Calibri"/>
          <w:noProof/>
          <w:color w:val="000000"/>
        </w:rPr>
        <w:t>(van Dijck &amp; Poell, 2013)</w:t>
      </w:r>
      <w:r w:rsidRPr="00E97EA9">
        <w:rPr>
          <w:rFonts w:cs="Calibri"/>
        </w:rPr>
        <w:fldChar w:fldCharType="end"/>
      </w:r>
      <w:r w:rsidRPr="00E97EA9">
        <w:rPr>
          <w:rFonts w:cs="Calibri"/>
        </w:rPr>
        <w:t>. Secondly, this approach does not factor in the dynamic environment of Facebook groups. Not only can they be created and used quickly, but they can also be abandoned and discarded at the same rate</w:t>
      </w:r>
      <w:r w:rsidR="00243ED8">
        <w:rPr>
          <w:rFonts w:cs="Calibri"/>
        </w:rPr>
        <w:t>.</w:t>
      </w:r>
      <w:r w:rsidRPr="00E97EA9">
        <w:rPr>
          <w:rFonts w:cs="Calibri"/>
        </w:rPr>
        <w:t xml:space="preserve"> </w:t>
      </w:r>
      <w:r w:rsidR="00243ED8">
        <w:rPr>
          <w:rFonts w:cs="Calibri"/>
        </w:rPr>
        <w:t>T</w:t>
      </w:r>
      <w:r w:rsidRPr="00E97EA9">
        <w:rPr>
          <w:rFonts w:cs="Calibri"/>
        </w:rPr>
        <w:t xml:space="preserve">hey do not include a discussion with those who are not online and are digitally excluded. </w:t>
      </w:r>
    </w:p>
    <w:p w14:paraId="4121817F" w14:textId="77777777" w:rsidR="00713A0B" w:rsidRPr="00E97EA9" w:rsidRDefault="00713A0B" w:rsidP="00713A0B">
      <w:pPr>
        <w:rPr>
          <w:rFonts w:cs="Calibri"/>
        </w:rPr>
      </w:pPr>
    </w:p>
    <w:p w14:paraId="0B7A98E5" w14:textId="77777777" w:rsidR="00787F73" w:rsidRDefault="00742FB7" w:rsidP="00866155">
      <w:pPr>
        <w:pStyle w:val="Heading5"/>
        <w:spacing w:line="360" w:lineRule="auto"/>
      </w:pPr>
      <w:bookmarkStart w:id="781" w:name="_Toc157971007"/>
      <w:bookmarkStart w:id="782" w:name="_Toc151905019"/>
      <w:bookmarkStart w:id="783" w:name="_Toc151994207"/>
      <w:r>
        <w:t>Following trends or developing strategy?</w:t>
      </w:r>
      <w:bookmarkEnd w:id="781"/>
      <w:bookmarkEnd w:id="782"/>
      <w:bookmarkEnd w:id="783"/>
      <w:r>
        <w:t xml:space="preserve"> </w:t>
      </w:r>
    </w:p>
    <w:p w14:paraId="794845CE" w14:textId="77777777" w:rsidR="00787F73" w:rsidRDefault="00742FB7" w:rsidP="00866155">
      <w:r>
        <w:rPr>
          <w:rFonts w:cs="Calibri"/>
        </w:rPr>
        <w:t>Social media is an ever-changing landscape with new and established platforms gaining and losing popularity. The SYFR ECS mentioned the changing trends in social media and that the Communications team would stay up to date with current trends, an example of this was SYFR’s relationship with TikTok.</w:t>
      </w:r>
    </w:p>
    <w:p w14:paraId="64AAEE03" w14:textId="77777777" w:rsidR="00787F73" w:rsidRDefault="00787F73" w:rsidP="00866155">
      <w:pPr>
        <w:rPr>
          <w:rFonts w:cs="Calibri"/>
        </w:rPr>
      </w:pPr>
    </w:p>
    <w:p w14:paraId="0C79E4CD" w14:textId="77777777" w:rsidR="00787F73" w:rsidRDefault="00742FB7" w:rsidP="00866155">
      <w:r>
        <w:rPr>
          <w:rFonts w:cs="Calibri"/>
          <w:color w:val="000000"/>
        </w:rPr>
        <w:t xml:space="preserve">Members of the Communications team were initially sceptical about how an organisation could use </w:t>
      </w:r>
      <w:r>
        <w:rPr>
          <w:rFonts w:cs="Calibri"/>
        </w:rPr>
        <w:t>TikTok, noting that it was predominantly used by marketing teams to promote goods and services. They noted the importance of using different channels in effective ways:</w:t>
      </w:r>
    </w:p>
    <w:p w14:paraId="3B4B3BAE" w14:textId="77777777" w:rsidR="00787F73" w:rsidRDefault="00742FB7" w:rsidP="00866155">
      <w:pPr>
        <w:pStyle w:val="Quote"/>
        <w:spacing w:line="360" w:lineRule="auto"/>
        <w:jc w:val="both"/>
      </w:pPr>
      <w:r>
        <w:rPr>
          <w:rFonts w:cs="Calibri"/>
          <w:szCs w:val="24"/>
        </w:rPr>
        <w:t>“TikTok’s a new big thing for marketers, but how is a Fire Service realistically going to use TikTok to engage people in a meaningful way around not setting fire to stuff. It’s picking the channel, but it’s also thinking about how you, actually, engage people on that.” (SYFR Progress meeting 2020)</w:t>
      </w:r>
    </w:p>
    <w:p w14:paraId="503D4652" w14:textId="77777777"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Pr>
          <w:rFonts w:cs="Calibri"/>
        </w:rPr>
        <w:lastRenderedPageBreak/>
        <w:t>A year later, when discussing different age categories on different social media platforms, the SM noted that TikTok may be a way to access younger demographics and the need to have training to use the platform effectively:</w:t>
      </w:r>
    </w:p>
    <w:p w14:paraId="59BF95E6" w14:textId="77777777" w:rsidR="00243ED8" w:rsidRPr="00A0151B" w:rsidRDefault="00742FB7" w:rsidP="00243ED8">
      <w:pPr>
        <w:pStyle w:val="Quote"/>
        <w:spacing w:line="360" w:lineRule="auto"/>
        <w:jc w:val="both"/>
        <w:rPr>
          <w:rFonts w:eastAsia="Arial" w:cs="Calibri"/>
          <w:szCs w:val="24"/>
        </w:rPr>
      </w:pPr>
      <w:r>
        <w:rPr>
          <w:rFonts w:cs="Calibri"/>
          <w:szCs w:val="24"/>
        </w:rPr>
        <w:t>“... we think TikTok might play a role. But as I say, we haven't got a clue. So, I have approached someone who’s a social media consultant. He's going to do a little bit of training with the team (...) so that we don't look like embarrassing dads when we join. But there are some really good examples out there where organisations are using it well. British Red Cross is one example. They’ve done quite a lot of stuff on there. So, it's possible. I think we just need to get our head around what type of content we’d be posting, who we’d be trying to reach and that sort of thing.”</w:t>
      </w:r>
      <w:r>
        <w:rPr>
          <w:rFonts w:eastAsia="Arial" w:cs="Calibri"/>
          <w:szCs w:val="24"/>
        </w:rPr>
        <w:t xml:space="preserve"> (SM </w:t>
      </w:r>
      <w:r w:rsidR="006A7A2E">
        <w:rPr>
          <w:rFonts w:eastAsia="Arial" w:cs="Calibri"/>
          <w:szCs w:val="24"/>
        </w:rPr>
        <w:t xml:space="preserve">interview, </w:t>
      </w:r>
      <w:r>
        <w:rPr>
          <w:rFonts w:eastAsia="Arial" w:cs="Calibri"/>
          <w:szCs w:val="24"/>
        </w:rPr>
        <w:t>21.4.21)</w:t>
      </w:r>
    </w:p>
    <w:p w14:paraId="134AB5A0" w14:textId="36495E95" w:rsidR="00713A0B" w:rsidRDefault="00742FB7" w:rsidP="00713A0B">
      <w:pPr>
        <w:rPr>
          <w:rFonts w:eastAsia="Arial" w:cs="Calibri"/>
        </w:rPr>
      </w:pPr>
      <w:r>
        <w:rPr>
          <w:rFonts w:eastAsia="Arial" w:cs="Calibri"/>
        </w:rPr>
        <w:t xml:space="preserve">In earlier discussions with the Communications team, they noted that it was used by marketing teams, however, a year later, they were looking to develop their use of the platform. The SM mentioned the British Red Cross and their use of the </w:t>
      </w:r>
      <w:r w:rsidR="00866155">
        <w:rPr>
          <w:rFonts w:eastAsia="Arial" w:cs="Calibri"/>
        </w:rPr>
        <w:t>platform</w:t>
      </w:r>
      <w:r w:rsidR="00243ED8">
        <w:rPr>
          <w:rFonts w:eastAsia="Arial" w:cs="Calibri"/>
        </w:rPr>
        <w:t>.</w:t>
      </w:r>
      <w:r>
        <w:rPr>
          <w:rFonts w:eastAsia="Arial" w:cs="Calibri"/>
        </w:rPr>
        <w:t xml:space="preserve"> </w:t>
      </w:r>
      <w:r w:rsidR="00243ED8">
        <w:rPr>
          <w:rFonts w:eastAsia="Arial" w:cs="Calibri"/>
        </w:rPr>
        <w:t>H</w:t>
      </w:r>
      <w:r>
        <w:rPr>
          <w:rFonts w:eastAsia="Arial" w:cs="Calibri"/>
        </w:rPr>
        <w:t xml:space="preserve">owever, their organisational focus is less on prevention and more focused on raising awareness of events and fundraising, which fits more with a marketing approach. The SM noted that they did not want to look like embarrassing dads, which indicates SYFR’s aim to communicate with younger demographics, but not feeling comfortable with a new platform. This, combined with mentioning other organisations, suggests that the adoption of TikTok may have been more about trends, going where there is a large following, and trying to develop a strategy around the platform, rather than focusing on a strategic approach initially. This again highlights a sustainability challenge with using social media channels, namely that trends can come and go; they could use resources to start using a platform for it then to become defunct. </w:t>
      </w:r>
    </w:p>
    <w:p w14:paraId="610384E2" w14:textId="77777777" w:rsidR="00713A0B" w:rsidRDefault="00713A0B" w:rsidP="00713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p w14:paraId="05B6B804" w14:textId="37BE41FC" w:rsidR="00713A0B" w:rsidRPr="00A0151B" w:rsidRDefault="00742FB7" w:rsidP="00A0151B">
      <w:pPr>
        <w:rPr>
          <w:lang w:eastAsia="en-US"/>
        </w:rPr>
      </w:pPr>
      <w:r w:rsidRPr="00713A0B">
        <w:rPr>
          <w:rFonts w:cs="Calibri"/>
          <w:color w:val="000000"/>
        </w:rPr>
        <w:t>The quote above (SM 21.4.21 discussing TikTok) highlights the changing landscape of social media</w:t>
      </w:r>
      <w:r w:rsidRPr="00713A0B">
        <w:rPr>
          <w:rFonts w:cs="Calibri"/>
        </w:rPr>
        <w:t xml:space="preserve"> and new social media logics </w:t>
      </w:r>
      <w:r w:rsidRPr="00713A0B">
        <w:rPr>
          <w:rFonts w:eastAsia="DengXian Light" w:cs="Calibri"/>
          <w:color w:val="538135"/>
          <w:lang w:eastAsia="en-US"/>
        </w:rPr>
        <w:fldChar w:fldCharType="begin" w:fldLock="1"/>
      </w:r>
      <w:r w:rsidRPr="00713A0B">
        <w:rPr>
          <w:rFonts w:cs="Calibri"/>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sidRPr="00713A0B">
        <w:rPr>
          <w:rFonts w:eastAsia="DengXian Light" w:cs="Calibri"/>
          <w:color w:val="538135"/>
          <w:lang w:eastAsia="en-US"/>
        </w:rPr>
        <w:fldChar w:fldCharType="separate"/>
      </w:r>
      <w:r w:rsidRPr="00713A0B">
        <w:rPr>
          <w:rFonts w:cs="Calibri"/>
          <w:noProof/>
          <w:color w:val="000000"/>
        </w:rPr>
        <w:t>(van Dijck &amp; Poell, 2013)</w:t>
      </w:r>
      <w:r w:rsidRPr="00713A0B">
        <w:rPr>
          <w:rFonts w:eastAsia="DengXian Light" w:cs="Calibri"/>
          <w:color w:val="538135"/>
          <w:lang w:eastAsia="en-US"/>
        </w:rPr>
        <w:fldChar w:fldCharType="end"/>
      </w:r>
      <w:r w:rsidRPr="00713A0B">
        <w:rPr>
          <w:rFonts w:cs="Calibri"/>
        </w:rPr>
        <w:t xml:space="preserve"> </w:t>
      </w:r>
      <w:r w:rsidRPr="00713A0B">
        <w:rPr>
          <w:rFonts w:cs="Calibri"/>
          <w:color w:val="000000"/>
        </w:rPr>
        <w:t xml:space="preserve">with new platforms being created and attracting different demographics in society. The mention of a social media consultant indicates a perceived institutional driver from the community, for SYFR to adopt new ways to communicate and engage and gain institutional legitimacy </w:t>
      </w:r>
      <w:r w:rsidRPr="00713A0B">
        <w:rPr>
          <w:rFonts w:eastAsia="DengXian Light" w:cs="Calibri"/>
          <w:lang w:eastAsia="en-US"/>
        </w:rPr>
        <w:fldChar w:fldCharType="begin" w:fldLock="1"/>
      </w:r>
      <w:r w:rsidR="00974B75" w:rsidRPr="00713A0B">
        <w:rPr>
          <w:rFonts w:cs="Calibri"/>
          <w:color w:val="000000"/>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Phenomena","type":"article-journal","volume":"47"},"uris":["http://www.mendeley.com/documents/?uuid=3561369e-31b0-40ce-940d-739bd34cab24"]},{"id":"ITEM-2","itemData":{"DOI":"10.1108/S0733-558X(2013)0039A&amp;B015","ISSN":"0733558X","abstract":"This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Organizations","id":"ITEM-2","issue":"B","issued":{"date-parts":[["2013"]]},"page":"37-61","publisher":"Emerald Group Publishing Limited","title":"Institutional ambidexterity: Leveraging institutional complexity in practice","type":"article-journal","volume":"39"},"uris":["http://www.mendeley.com/documents/?uuid=ff8dc873-f050-4c05-bdec-08925d6e6ab8"]}],"mendeley":{"formattedCitation":"(Lounsbury et al., 2021; Jarzabkowski et al., 2013)","plainTextFormattedCitation":"(Lounsbury et al., 2021; Jarzabkowski et al., 2013)","previouslyFormattedCitation":"(Lounsbury et al., 2021; Jarzabkowski et al., 2013)"},"properties":{"noteIndex":0},"schema":"https://github.com/citation-style-language/schema/raw/master/csl-citation.json"}</w:instrText>
      </w:r>
      <w:r w:rsidRPr="00713A0B">
        <w:rPr>
          <w:rFonts w:eastAsia="DengXian Light" w:cs="Calibri"/>
          <w:color w:val="000000"/>
          <w:lang w:eastAsia="en-US"/>
        </w:rPr>
        <w:fldChar w:fldCharType="separate"/>
      </w:r>
      <w:r w:rsidRPr="00713A0B">
        <w:rPr>
          <w:rFonts w:cs="Calibri"/>
          <w:noProof/>
          <w:color w:val="000000"/>
        </w:rPr>
        <w:t xml:space="preserve">(Lounsbury et al., </w:t>
      </w:r>
      <w:r w:rsidRPr="00713A0B">
        <w:rPr>
          <w:rFonts w:cs="Calibri"/>
          <w:noProof/>
          <w:color w:val="000000"/>
        </w:rPr>
        <w:lastRenderedPageBreak/>
        <w:t>2021; Jarzabkowski et al., 2013)</w:t>
      </w:r>
      <w:r w:rsidRPr="00713A0B">
        <w:rPr>
          <w:rFonts w:eastAsia="DengXian Light" w:cs="Calibri"/>
          <w:color w:val="000000"/>
          <w:lang w:eastAsia="en-US"/>
        </w:rPr>
        <w:fldChar w:fldCharType="end"/>
      </w:r>
      <w:r w:rsidRPr="00713A0B">
        <w:rPr>
          <w:rFonts w:cs="Calibri"/>
          <w:color w:val="000000"/>
        </w:rPr>
        <w:t>. The progression from the first mention of TikTok in 2020, to the interview in 2021 shows how TikTok embedded itself within the social media landscape over the course of the COVID-19 lockdowns and how quickly social media companies can grow in popularity</w:t>
      </w:r>
      <w:r w:rsidRPr="00713A0B">
        <w:rPr>
          <w:rFonts w:cs="Calibri"/>
        </w:rPr>
        <w:t xml:space="preserve">, and the pressure on organisations to develop strategies to utilise those new channels. This suggests that in trying to follow trends on social media, organisations may lose focus on their strategy and whether the new platforms are appropriate for their organisational needs. Therefore, following social media trends may not be a sustainable approach to communication, with trends ending often as quickly as they begin. </w:t>
      </w:r>
      <w:r w:rsidR="00ED2F2A" w:rsidRPr="00713A0B">
        <w:rPr>
          <w:rFonts w:cs="Calibri"/>
        </w:rPr>
        <w:t xml:space="preserve">This can also impact the efficacy of risk communication and the development of community resilience, due to the need for communities to access and interact with trusted and established channels, which takes time for agencies to develop and grow </w:t>
      </w:r>
      <w:r w:rsidR="00ED2F2A" w:rsidRPr="00713A0B">
        <w:rPr>
          <w:rFonts w:eastAsia="DengXian Light" w:cs="Calibri"/>
          <w:color w:val="538135"/>
          <w:lang w:eastAsia="en-US"/>
        </w:rPr>
        <w:fldChar w:fldCharType="begin" w:fldLock="1"/>
      </w:r>
      <w:r w:rsidR="00773ACF" w:rsidRPr="00713A0B">
        <w:rPr>
          <w:rFonts w:cs="Calibri"/>
        </w:rPr>
        <w:instrText>ADDIN CSL_CITATION {"citationItems":[{"id":"ITEM-1","itemData":{"DOI":"10.1111/1468-5973.12195","ISSN":"14685973","abstract":"Social media has become an integrated part of human communication, both as a means to establish and maintain social relationships, and as a means of sharing and co&amp;#8208;creating information. Social media comes with an array of possibilities for individuals as well as organizations, corporations, and authorities. Within the field of crisis communication, social media possibilities such as online sharing and social networking have had an impact on the way crisis information is disseminated and updated. This paper addresses the issues related to using social media for communicating crisis information and broadcasting alert messages to the general population, discusses the role of social media in future pan&amp;#8208;European crisis alerting, and presents a prototype system demonstrating the possibilities. An extensive systematic literature review was carried out to identify factors that affect the use of social media for alerting and warning. These factors were mirrored in experiences, collected through interviews, obtained by emergency management organizations in three European countries (Sweden, Czech Republic, and Spain). The factors finally form the basis for suggestions and recommendations regarding the design of technological tools for both communication and information collection to serve as an integral part of a future pan&amp;#8208;European crisis alerting system.","author":[{"dropping-particle":"","family":"Brynielsson","given":"Joel","non-dropping-particle":"","parse-names":false,"suffix":""},{"dropping-particle":"","family":"Granåsen","given":"Magdalena","non-dropping-particle":"","parse-names":false,"suffix":""},{"dropping-particle":"","family":"Lindquist","given":"Sinna","non-dropping-particle":"","parse-names":false,"suffix":""},{"dropping-particle":"","family":"Narganes Quijano","given":"Maribel","non-dropping-particle":"","parse-names":false,"suffix":""},{"dropping-particle":"","family":"Nilsson","given":"Susanna","non-dropping-particle":"","parse-names":false,"suffix":""},{"dropping-particle":"","family":"Trnka","given":"Jiri","non-dropping-particle":"","parse-names":false,"suffix":""}],"container-title":"Journal of Contingencies and Crisis Management","id":"ITEM-1","issue":"1","issued":{"date-parts":[["2018"]]},"page":"28-40","title":"Informing crisis alerts using social media: Best practices and proof of concept","type":"article-journal","volume":"26"},"uris":["http://www.mendeley.com/documents/?uuid=fc9c28a7-84e6-4ab4-89e1-372a245eb7f4"]},{"id":"ITEM-2","itemData":{"DOI":"10.1177/0894439317721985","ISSN":"15528286","abstract":"© The Author(s) 2017. While emerging technologies such as social media have demonstrated value for crisis communications, significant question remains regarding how these tools can be most effectively leveraged to facilitate the flow of valid information under crisis conditions. In an effort to address these issues, this article examines the use of Twitter during the 2015–2016 Zika virus outbreak in the United States. Particular attention is paid to network structures within the Zika conversation and how different actors and communities contribute to the flow of information throughout the broader Twitter community. Public-facing organizations can benefit from a deeper understanding of the nature and structure of spontaneously occurring communities on social media as well as the types of content that they create and circulate. As such, these findings have significant implications for the development of effective social media strategies during natural disasters and public health emergencies. In particular, this analysis identifies several predominant themes communicated through Zika-related tweets as well as a number of distinct communities and influential actors. The findings suggest that respected political actors, public institutions, as well as those with valid scientific credentials can help to facilitate the flow of accurate and vital information across disparate communities.","author":[{"dropping-particle":"","family":"Hagen","given":"Loni","non-dropping-particle":"","parse-names":false,"suffix":""},{"dropping-particle":"","family":"Keller","given":"Thomas","non-dropping-particle":"","parse-names":false,"suffix":""},{"dropping-particle":"","family":"Neely","given":"Stephen","non-dropping-particle":"","parse-names":false,"suffix":""},{"dropping-particle":"","family":"DePaula","given":"Nic","non-dropping-particle":"","parse-names":false,"suffix":""},{"dropping-particle":"","family":"Robert-Cooperman","given":"Claudia","non-dropping-particle":"","parse-names":false,"suffix":""}],"container-title":"Social Science Computer Review","id":"ITEM-2","issue":"5","issued":{"date-parts":[["2018"]]},"page":"523-541","title":"Crisis Communications in the Age of Social Media: A Network Analysis of Zika-Related Tweets","type":"article-journal","volume":"36"},"uris":["http://www.mendeley.com/documents/?uuid=ee190255-6115-4f33-a816-3d19d3c3e85b"]}],"mendeley":{"formattedCitation":"(Brynielsson et al., 2018; Hagen et al., 2018)","plainTextFormattedCitation":"(Brynielsson et al., 2018; Hagen et al., 2018)","previouslyFormattedCitation":"(Brynielsson et al., 2018; Hagen et al., 2018)"},"properties":{"noteIndex":0},"schema":"https://github.com/citation-style-language/schema/raw/master/csl-citation.json"}</w:instrText>
      </w:r>
      <w:r w:rsidR="00ED2F2A" w:rsidRPr="00713A0B">
        <w:rPr>
          <w:rFonts w:eastAsia="DengXian Light" w:cs="Calibri"/>
          <w:color w:val="538135"/>
          <w:lang w:eastAsia="en-US"/>
        </w:rPr>
        <w:fldChar w:fldCharType="separate"/>
      </w:r>
      <w:r w:rsidR="00ED2F2A" w:rsidRPr="00713A0B">
        <w:rPr>
          <w:rFonts w:cs="Calibri"/>
          <w:noProof/>
        </w:rPr>
        <w:t>(Brynielsson et al., 2018; Hagen et al., 2018)</w:t>
      </w:r>
      <w:r w:rsidR="00ED2F2A" w:rsidRPr="00713A0B">
        <w:rPr>
          <w:rFonts w:eastAsia="DengXian Light" w:cs="Calibri"/>
          <w:color w:val="538135"/>
          <w:lang w:eastAsia="en-US"/>
        </w:rPr>
        <w:fldChar w:fldCharType="end"/>
      </w:r>
      <w:r w:rsidR="00ED2F2A" w:rsidRPr="00713A0B">
        <w:rPr>
          <w:rFonts w:cs="Calibri"/>
        </w:rPr>
        <w:t xml:space="preserve">. </w:t>
      </w:r>
    </w:p>
    <w:p w14:paraId="0FC1EE2D" w14:textId="77777777" w:rsidR="00787F73" w:rsidRDefault="00787F73" w:rsidP="00866155">
      <w:pPr>
        <w:pStyle w:val="Heading5"/>
        <w:spacing w:line="360" w:lineRule="auto"/>
        <w:rPr>
          <w:rFonts w:ascii="Calibri" w:hAnsi="Calibri" w:cs="Calibri"/>
        </w:rPr>
      </w:pPr>
    </w:p>
    <w:p w14:paraId="1DDAE8BA" w14:textId="77777777" w:rsidR="00787F73" w:rsidRDefault="00742FB7" w:rsidP="00866155">
      <w:pPr>
        <w:pStyle w:val="Heading5"/>
        <w:spacing w:line="360" w:lineRule="auto"/>
      </w:pPr>
      <w:bookmarkStart w:id="784" w:name="_Toc157971008"/>
      <w:bookmarkStart w:id="785" w:name="_Toc151905020"/>
      <w:bookmarkStart w:id="786" w:name="_Toc151994208"/>
      <w:r>
        <w:t>The importance of trust</w:t>
      </w:r>
      <w:bookmarkEnd w:id="784"/>
      <w:bookmarkEnd w:id="785"/>
      <w:bookmarkEnd w:id="786"/>
    </w:p>
    <w:p w14:paraId="721ED9C5" w14:textId="77777777" w:rsidR="00787F73" w:rsidRDefault="00742FB7" w:rsidP="00866155">
      <w:r>
        <w:rPr>
          <w:rFonts w:cs="Calibri"/>
        </w:rPr>
        <w:t xml:space="preserve">Examining the literature on risk communication and PICs, it is clear that to be able to effectively communicate with an audience, there needs to be a foundation of trust for the organisation communicating </w:t>
      </w:r>
      <w:r>
        <w:fldChar w:fldCharType="begin" w:fldLock="1"/>
      </w:r>
      <w:r>
        <w:rPr>
          <w:rFonts w:cs="Calibri"/>
        </w:rPr>
        <w:instrText>ADDIN CSL_CITATION {"citationItems":[{"id":"ITEM-1","itemData":{"DOI":"10.1111/gove.12645","ISSN":"14680491","abstract":"While information campaigns have been widely recognized as a pillar of public health crisis management and heightened by the current COVID-19 pandemic, an insufficient number of studies have investigated the impact of information disclosure on influencing citizen cooperation crucial for emergency management. Focusing on generic information disclosure practices during the recovery period from January 19, 2020, to February 29, 2020, in China and by employing a difference-in-difference method, this study finds that information disclosure significantly enhanced citizen coproduction as measured by aggregated search queries of COVID-19-related information, and earlier disclosure yielded greater effect more quickly. Moreover, government capacity and citizens' trust in government at the local level significantly moderate the positive impact of information disclosure. This study uncovers the novel relationship between information disclosure and citizen coproduction during emergencies in the Chinese context.","author":[{"dropping-particle":"","family":"Wu","given":"Yiping","non-dropping-particle":"","parse-names":false,"suffix":""},{"dropping-particle":"","family":"Xiao","given":"Hanyu","non-dropping-particle":"","parse-names":false,"suffix":""},{"dropping-particle":"","family":"Yang","given":"Fang","non-dropping-particle":"","parse-names":false,"suffix":""}],"container-title":"Governance","id":"ITEM-1","issue":"4","issued":{"date-parts":[["2022"]]},"page":"1005-1027","title":"Government information disclosure and citizen coproduction during COVID-19 in China","type":"article-journal","volume":"35"},"uris":["http://www.mendeley.com/documents/?uuid=23abe183-22b0-432d-ae37-147088b539b7"]}],"mendeley":{"formattedCitation":"(Wu, Xiao, &amp; Yang, 2022)","plainTextFormattedCitation":"(Wu, Xiao, &amp; Yang, 2022)","previouslyFormattedCitation":"(Wu, Xiao, &amp; Yang, 2022)"},"properties":{"noteIndex":0},"schema":"https://github.com/citation-style-language/schema/raw/master/csl-citation.json"}</w:instrText>
      </w:r>
      <w:r>
        <w:rPr>
          <w:rFonts w:cs="Calibri"/>
        </w:rPr>
        <w:fldChar w:fldCharType="separate"/>
      </w:r>
      <w:r>
        <w:rPr>
          <w:rFonts w:cs="Calibri"/>
          <w:noProof/>
        </w:rPr>
        <w:t>(Wu, Xiao, &amp; Yang, 2022)</w:t>
      </w:r>
      <w:r>
        <w:rPr>
          <w:rFonts w:cs="Calibri"/>
        </w:rPr>
        <w:fldChar w:fldCharType="end"/>
      </w:r>
      <w:r>
        <w:rPr>
          <w:rFonts w:cs="Calibri"/>
        </w:rPr>
        <w:t>. Trust is also an important element for linking social capital with organisations to support the development of community resilience, highlighting that trust is an important theme within this research. In their ECS, SYFR discuss the wider societal decline in trust of public authorities, suggesting that members of the community are more likely to focus on peer-to-peer communication, rather than listening to official organisations:</w:t>
      </w:r>
    </w:p>
    <w:p w14:paraId="24954F3B" w14:textId="77777777" w:rsidR="00787F73" w:rsidRDefault="00742FB7" w:rsidP="00866155">
      <w:pPr>
        <w:pStyle w:val="Quote"/>
        <w:spacing w:line="360" w:lineRule="auto"/>
        <w:jc w:val="both"/>
      </w:pPr>
      <w:r>
        <w:rPr>
          <w:rFonts w:cs="Calibri"/>
          <w:szCs w:val="24"/>
        </w:rPr>
        <w:t>“A long-term decline in trust of public authorities and their leaders makes it harder to change people’s behaviour through traditional methods. People are “fed up of experts”, meaning we have to find new ways of nudging people into desired behaviour and focus more on peer-to-peer communication” (pg. 2)</w:t>
      </w:r>
    </w:p>
    <w:p w14:paraId="0F0D5D3C" w14:textId="3AB5BB9C" w:rsidR="00787F73" w:rsidRDefault="00742FB7" w:rsidP="00866155">
      <w:r>
        <w:rPr>
          <w:rFonts w:cs="Calibri"/>
        </w:rPr>
        <w:t xml:space="preserve">Mentioning peer-to-peer communication suggests a return of the </w:t>
      </w:r>
      <w:r w:rsidR="00912954">
        <w:rPr>
          <w:rFonts w:cs="Calibri"/>
        </w:rPr>
        <w:t>T</w:t>
      </w:r>
      <w:r w:rsidR="004F7B90">
        <w:rPr>
          <w:rFonts w:cs="Calibri"/>
        </w:rPr>
        <w:t>wo</w:t>
      </w:r>
      <w:r>
        <w:rPr>
          <w:rFonts w:cs="Calibri"/>
        </w:rPr>
        <w:t xml:space="preserve">-step </w:t>
      </w:r>
      <w:r w:rsidR="00912954">
        <w:rPr>
          <w:rFonts w:cs="Calibri"/>
        </w:rPr>
        <w:t>F</w:t>
      </w:r>
      <w:r w:rsidR="004F7B90">
        <w:rPr>
          <w:rFonts w:cs="Calibri"/>
        </w:rPr>
        <w:t xml:space="preserve">low </w:t>
      </w:r>
      <w:r w:rsidR="00912954">
        <w:rPr>
          <w:rFonts w:cs="Calibri"/>
        </w:rPr>
        <w:t>M</w:t>
      </w:r>
      <w:r w:rsidR="004F7B90">
        <w:rPr>
          <w:rFonts w:cs="Calibri"/>
        </w:rPr>
        <w:t xml:space="preserve">odel </w:t>
      </w:r>
      <w:r>
        <w:rPr>
          <w:rFonts w:cs="Calibri"/>
        </w:rPr>
        <w:t xml:space="preserve">of </w:t>
      </w:r>
      <w:r w:rsidR="00912954">
        <w:rPr>
          <w:rFonts w:cs="Calibri"/>
        </w:rPr>
        <w:t>C</w:t>
      </w:r>
      <w:r w:rsidR="004F7B90">
        <w:rPr>
          <w:rFonts w:cs="Calibri"/>
        </w:rPr>
        <w:t>ommunication</w:t>
      </w:r>
      <w:r>
        <w:rPr>
          <w:rFonts w:cs="Calibri"/>
        </w:rPr>
        <w:t xml:space="preserve">, namely that information flows require a trusted local source </w:t>
      </w:r>
      <w:r>
        <w:fldChar w:fldCharType="begin" w:fldLock="1"/>
      </w:r>
      <w:r w:rsidR="00974B75">
        <w:rPr>
          <w:rFonts w:cs="Calibri"/>
        </w:rPr>
        <w:instrText>ADDIN CSL_CITATION {"citationItems":[{"id":"ITEM-1","itemData":{"author":[{"dropping-particle":"","family":"Katz","given":"Elihu","non-dropping-particle":"","parse-names":false,"suffix":""}],"container-title":"Public Opinion Quarterly","id":"ITEM-1","issue":"1","issued":{"date-parts":[["1957"]]},"page":"61–78","title":"The Two-Step Flow of Communication: An Up-To-Date Report on an Hypothesis","type":"article-journal","volume":"21"},"uris":["http://www.mendeley.com/documents/?uuid=229f56e7-6b91-4c34-8c9e-99b44cfa1d2d"]},{"id":"ITEM-2","itemData":{"DOI":"10.1177/0002764214527088","author":[{"dropping-particle":"","family":"Dubois","given":"Elizabeth","non-dropping-particle":"","parse-names":false,"suffix":""},{"dropping-particle":"","family":"Gaffney","given":"Devin","non-dropping-particle":"","parse-names":false,"suffix":""}],"container-title":"American Behavioral Scientist","id":"ITEM-2","issue":"10","issued":{"date-parts":[["2014"]]},"page":"1260 - 1277","title":"The Multiple Facets of Influence: Identifying Political Influentials and Opinion Leaders on Twitter","type":"article-journal","volume":"58"},"uris":["http://www.mendeley.com/documents/?uuid=d4f01e89-1dae-44c0-9e92-ab54f3f52269"]},{"id":"ITEM-3","itemData":{"DOI":"10.1177/0894439316639561","ISBN":"0894439316","author":[{"dropping-particle":"","family":"Hilbert","given":"Martin","non-dropping-particle":"","parse-names":false,"suffix":""},{"dropping-particle":"","family":"Vasquez","given":"Javier","non-dropping-particle":"","parse-names":false,"suffix":""},{"dropping-particle":"","family":"Halpern","given":"Daniel","non-dropping-particle":"","parse-names":false,"suffix":""},{"dropping-particle":"","family":"Valenzuela","given":"Sebastian","non-dropping-particle":"","parse-names":false,"suffix":""},{"dropping-particle":"","family":"Arriagada","given":"Eduardo","non-dropping-particle":"","parse-names":false,"suffix":""}],"container-title":"Social Science Computer Review","id":"ITEM-3","issue":"4","issued":{"date-parts":[["2017"]]},"page":"444-461","title":"One Step , Two Step , Network Step? Complementary Perspectives on Communication Flows in Twittered Citizen Protests","type":"article-journal","volume":"35"},"uris":["http://www.mendeley.com/documents/?uuid=7e554358-c6b5-4cac-a7f1-6593bb1900c9"]},{"id":"ITEM-4","itemData":{"DOI":"10.1080/1553118X.2022.2042694","ISSN":"15531198","abstract":"During public health crises, public organizations face a variety of strategic communication challenges, and the outbreak of the COVID-19 pandemic in 2020 is an extreme example. In Finland, the Prime Minister’s Office initiated a communication campaign that utilized social media influencers to communicate timely instructions regarding the pandemic. However, it is uncertain how social media influencers adapt to briefings of public organizations given that they typically work with brands that align with their own interests and expertise, which rarely is epidemiology. We use the two-step flow of communication model and social influence theory to analyze research data that consisted of 96 Instagram posts, 108 Instagram Stories and 1097 comments. Qualitative content analysis was used to see how the influencers communicated about the pandemic and how their followers reacted. The results suggest that the influencers tried to adapt the messages to their own style, and, instead of committing to the wordings of the campaign, they shared general guidelines and, with their own example, showed how to behave during the pandemic. Their participation in the campaign helped affect social norms during the time of the crisis, which in the case of public health communication is a substantial, strategic goal.","author":[{"dropping-particle":"","family":"Pöyry","given":"Essi","non-dropping-particle":"","parse-names":false,"suffix":""},{"dropping-particle":"","family":"Reinikainen","given":"Hanna","non-dropping-particle":"","parse-names":false,"suffix":""},{"dropping-particle":"","family":"Luoma-Aho","given":"Vilma","non-dropping-particle":"","parse-names":false,"suffix":""}],"container-title":"International Journal of Strategic Communication","id":"ITEM-4","issue":"3","issued":{"date-parts":[["2022"]]},"page":"469-484","publisher":"Routledge","title":"The Role of Social Media Influencers in Public Health Communication: Case COVID-19 Pandemic","type":"article-journal","volume":"16"},"uris":["http://www.mendeley.com/documents/?uuid=041b3053-0f7b-454b-b756-4657b3eee0bb"]},{"id":"ITEM-5","itemData":{"DOI":"10.1016/j.ssci.2022.105796","ISSN":"18791042","abstract":"This study explores how YouTube facilitates construction safety knowledge sharing. It contributes to knowledge by applying two-step flow theory, social network analysis, and semantic analysis to explore the video network and investigate how sentiment affects users’ viewing and commenting behaviours. By conducting data mining and interactive visualisation algorithms, this study analysed 500 construction safety videos from 2007 to 2021, 2000 users and 2608 comments about these videos. Most top commenters were construction safety experts and staff from training institutes or companies. They attempted to market their brands via YouTube. 3722-word pairs semantic analysis, indicated that most opinion leaders expressed their opinions positively. Half of the construction safety YouTube videos were uploaded in 2020 and 2021, indicating that YouTube social network and video making activities became prevalent during the COVID-19 pandemic. Besides, the US accounts for half of the top ten videos uploaders. Many YouTube videos mentioned social media such as “Facebook,” “Instagram”, “Twitter,” and “LinkedIn”, evidenced cross information sharing among social network platforms. Popular Indonesian words like “Bangunan” (building), “kerja” (work) and Ahmedabad (India's industrial hub) evidenced the popularity of Indonesian and Indian in sharing construction safety knowledge via YouTube. Unlike many YouTubers in the entertainment sector who utilised it to interact with fans, Harel-Koren Fast Multiscale layout algorithm results of 277 YouTube video clusters revealed that neither the opinion leaders nor the users had a strong will to interact with others.","author":[{"dropping-particle":"","family":"Yao","given":"Qi","non-dropping-particle":"","parse-names":false,"suffix":""},{"dropping-particle":"","family":"Li","given":"Rita Yi Man","non-dropping-particle":"","parse-names":false,"suffix":""},{"dropping-particle":"","family":"Song","given":"Lingxi","non-dropping-particle":"","parse-names":false,"suffix":""}],"container-title":"Safety Science","id":"ITEM-5","issued":{"date-parts":[["2022"]]},"page":"1 - 8","title":"Construction safety knowledge sharing on YouTube from 2007 to 2021: Two-step flow theory and semantic analysis","type":"article-journal","volume":"153"},"uris":["http://www.mendeley.com/documents/?uuid=cd6560c3-6c46-4252-acab-fd488ce6af19"]}],"mendeley":{"formattedCitation":"(Pöyry, Reinikainen, &amp; Luoma-Aho, 2022; Yao, Li, &amp; Song, 2022; Hilbert et al., 2017; Dubois &amp; Gaffney, 2014; Katz, 1957)","plainTextFormattedCitation":"(Pöyry, Reinikainen, &amp; Luoma-Aho, 2022; Yao, Li, &amp; Song, 2022; Hilbert et al., 2017; Dubois &amp; Gaffney, 2014; Katz, 1957)","previouslyFormattedCitation":"(Pöyry, Reinikainen, &amp; Luoma-Aho, 2022; Yao, Li, &amp; Song, 2022; Hilbert et al., 2017; Dubois &amp; Gaffney, 2014; Katz, 1957)"},"properties":{"noteIndex":0},"schema":"https://github.com/citation-style-language/schema/raw/master/csl-citation.json"}</w:instrText>
      </w:r>
      <w:r>
        <w:rPr>
          <w:rFonts w:cs="Calibri"/>
        </w:rPr>
        <w:fldChar w:fldCharType="separate"/>
      </w:r>
      <w:r>
        <w:rPr>
          <w:rFonts w:cs="Calibri"/>
          <w:noProof/>
        </w:rPr>
        <w:t xml:space="preserve">(Pöyry, </w:t>
      </w:r>
      <w:r>
        <w:rPr>
          <w:rFonts w:cs="Calibri"/>
          <w:noProof/>
        </w:rPr>
        <w:lastRenderedPageBreak/>
        <w:t>Reinikainen, &amp; Luoma-Aho, 2022; Yao, Li, &amp; Song, 2022; Hilbert et al., 2017; Dubois &amp; Gaffney, 2014; Katz, 1957)</w:t>
      </w:r>
      <w:r>
        <w:rPr>
          <w:rFonts w:cs="Calibri"/>
        </w:rPr>
        <w:fldChar w:fldCharType="end"/>
      </w:r>
      <w:r>
        <w:rPr>
          <w:rFonts w:cs="Calibri"/>
        </w:rPr>
        <w:t>.</w:t>
      </w:r>
    </w:p>
    <w:p w14:paraId="0EBE6F43" w14:textId="77777777" w:rsidR="00787F73" w:rsidRDefault="00787F73" w:rsidP="00866155">
      <w:pPr>
        <w:rPr>
          <w:rFonts w:cs="Calibri"/>
        </w:rPr>
      </w:pPr>
    </w:p>
    <w:p w14:paraId="3ABF141D" w14:textId="1780E2C0" w:rsidR="00787F73" w:rsidRDefault="00742FB7" w:rsidP="00866155">
      <w:r>
        <w:rPr>
          <w:rFonts w:cs="Calibri"/>
        </w:rPr>
        <w:t xml:space="preserve">SYFR noted that the aim to increase trust was so they can change or </w:t>
      </w:r>
      <w:r>
        <w:rPr>
          <w:rFonts w:cs="Calibri"/>
          <w:i/>
        </w:rPr>
        <w:t>nudge</w:t>
      </w:r>
      <w:r>
        <w:rPr>
          <w:rFonts w:cs="Calibri"/>
        </w:rPr>
        <w:t xml:space="preserve"> people’s behaviours, linking to risk communication and behaviour change. The idea of nudging people to change their behaviour suggests a move away from the </w:t>
      </w:r>
      <w:r w:rsidR="00912954">
        <w:rPr>
          <w:rFonts w:cs="Calibri"/>
        </w:rPr>
        <w:t>D</w:t>
      </w:r>
      <w:r w:rsidR="004F7B90">
        <w:rPr>
          <w:rFonts w:cs="Calibri"/>
        </w:rPr>
        <w:t xml:space="preserve">eficit </w:t>
      </w:r>
      <w:r w:rsidR="00912954">
        <w:rPr>
          <w:rFonts w:cs="Calibri"/>
        </w:rPr>
        <w:t>M</w:t>
      </w:r>
      <w:r w:rsidR="004F7B90">
        <w:rPr>
          <w:rFonts w:cs="Calibri"/>
        </w:rPr>
        <w:t xml:space="preserve">odel </w:t>
      </w:r>
      <w:r>
        <w:rPr>
          <w:rFonts w:cs="Calibri"/>
        </w:rPr>
        <w:t>of communication which focuses on simply giving the information (Abunyewah et al., 2018; Cook &amp; Melo Zurita, 2019; Krause et al., 2020)</w:t>
      </w:r>
      <w:r w:rsidR="00243ED8">
        <w:rPr>
          <w:rFonts w:cs="Calibri"/>
        </w:rPr>
        <w:t>.</w:t>
      </w:r>
      <w:r>
        <w:rPr>
          <w:rFonts w:cs="Calibri"/>
        </w:rPr>
        <w:t xml:space="preserve"> </w:t>
      </w:r>
      <w:r w:rsidR="00243ED8">
        <w:rPr>
          <w:rFonts w:cs="Calibri"/>
        </w:rPr>
        <w:t>H</w:t>
      </w:r>
      <w:r>
        <w:rPr>
          <w:rFonts w:cs="Calibri"/>
        </w:rPr>
        <w:t xml:space="preserve">owever, as discussed, </w:t>
      </w:r>
      <w:r w:rsidR="00912954">
        <w:rPr>
          <w:rFonts w:cs="Calibri"/>
        </w:rPr>
        <w:t>N</w:t>
      </w:r>
      <w:r>
        <w:rPr>
          <w:rFonts w:cs="Calibri"/>
        </w:rPr>
        <w:t xml:space="preserve">udge </w:t>
      </w:r>
      <w:r w:rsidR="00912954">
        <w:rPr>
          <w:rFonts w:cs="Calibri"/>
        </w:rPr>
        <w:t>T</w:t>
      </w:r>
      <w:r>
        <w:rPr>
          <w:rFonts w:cs="Calibri"/>
        </w:rPr>
        <w:t>heory does not focus on the individual and the impact of their lives experiences on the choices they make.</w:t>
      </w:r>
    </w:p>
    <w:p w14:paraId="4F736DE8" w14:textId="77777777" w:rsidR="00787F73" w:rsidRDefault="00787F73" w:rsidP="00866155">
      <w:pPr>
        <w:rPr>
          <w:rFonts w:cs="Calibri"/>
        </w:rPr>
      </w:pPr>
    </w:p>
    <w:p w14:paraId="1A4C412A" w14:textId="46879207" w:rsidR="00787F73" w:rsidRDefault="00742FB7" w:rsidP="00866155">
      <w:r>
        <w:rPr>
          <w:rFonts w:cs="Calibri"/>
        </w:rPr>
        <w:t xml:space="preserve">This general community decline in trust of public authorities is documented by The Edelman Trust, who collect data on public trust for a range of organisations, including public organisations, such as local government, the police, NHS, and other frontline services </w:t>
      </w:r>
      <w:r>
        <w:fldChar w:fldCharType="begin" w:fldLock="1"/>
      </w:r>
      <w:r>
        <w:rPr>
          <w:rFonts w:cs="Calibri"/>
        </w:rPr>
        <w:instrText>ADDIN CSL_CITATION {"citationItems":[{"id":"ITEM-1","itemData":{"author":[{"dropping-particle":"","family":"Edelman Trust","given":"","non-dropping-particle":"","parse-names":false,"suffix":""}],"id":"ITEM-1","issued":{"date-parts":[["2023"]]},"number-of-pages":"1-71","title":"2023 Edelman Trust Barometer: UK Supplement Report","type":"report"},"uris":["http://www.mendeley.com/documents/?uuid=2a18f611-8356-4df5-b900-536e520f84cc"]}],"mendeley":{"formattedCitation":"(Edelman Trust, 2023)","plainTextFormattedCitation":"(Edelman Trust, 2023)","previouslyFormattedCitation":"(Edelman Trust, 2023)"},"properties":{"noteIndex":0},"schema":"https://github.com/citation-style-language/schema/raw/master/csl-citation.json"}</w:instrText>
      </w:r>
      <w:r>
        <w:rPr>
          <w:rFonts w:cs="Calibri"/>
        </w:rPr>
        <w:fldChar w:fldCharType="separate"/>
      </w:r>
      <w:r>
        <w:rPr>
          <w:rFonts w:cs="Calibri"/>
          <w:noProof/>
        </w:rPr>
        <w:t>(Edelman Trust, 2023)</w:t>
      </w:r>
      <w:r>
        <w:rPr>
          <w:rFonts w:cs="Calibri"/>
        </w:rPr>
        <w:fldChar w:fldCharType="end"/>
      </w:r>
      <w:r>
        <w:rPr>
          <w:rFonts w:cs="Calibri"/>
        </w:rPr>
        <w:t xml:space="preserve">. </w:t>
      </w:r>
      <w:r w:rsidR="00E16D30">
        <w:rPr>
          <w:rFonts w:cs="Calibri"/>
        </w:rPr>
        <w:t xml:space="preserve">While </w:t>
      </w:r>
      <w:r>
        <w:rPr>
          <w:rFonts w:cs="Calibri"/>
        </w:rPr>
        <w:t>this provides an overall understanding of the trust within organisations, the organisations in these categories are very different, especially if one includes the local context of South Yorkshire. Due to a series of high-profile events in South Yorkshire, such as the Hillsborough disaster, the</w:t>
      </w:r>
      <w:r w:rsidRPr="00F84689">
        <w:t xml:space="preserve"> relationship </w:t>
      </w:r>
      <w:r w:rsidRPr="00CA071E">
        <w:rPr>
          <w:rFonts w:cs="Calibri"/>
        </w:rPr>
        <w:t>with</w:t>
      </w:r>
      <w:r w:rsidRPr="00F84689">
        <w:t xml:space="preserve"> the police</w:t>
      </w:r>
      <w:r>
        <w:rPr>
          <w:rFonts w:cs="Calibri"/>
        </w:rPr>
        <w:t xml:space="preserve"> and other front-line services, such as the FRS, is very different. However, as mentioned there is a strong level of trust for UK FRS among the British Public </w:t>
      </w:r>
      <w:r>
        <w:fldChar w:fldCharType="begin" w:fldLock="1"/>
      </w:r>
      <w:r w:rsidR="00974B75">
        <w:rPr>
          <w:rFonts w:cs="Calibri"/>
        </w:rPr>
        <w:instrText>ADDIN CSL_CITATION {"citationItems":[{"id":"ITEM-1","itemData":{"author":[{"dropping-particle":"","family":"HMICFRS","given":"","non-dropping-particle":"","parse-names":false,"suffix":""}],"id":"ITEM-1","issued":{"date-parts":[["2018"]]},"number-of-pages":"1 - 52","publisher-place":"London","title":"Public Perceptions of Fire and Rescue Services in England 2018","type":"report"},"uris":["http://www.mendeley.com/documents/?uuid=b925a175-f787-4be1-bb7d-2e89478c257d"]}],"mendeley":{"formattedCitation":"(HMICFRS, 2018)","plainTextFormattedCitation":"(HMICFRS, 2018)","previouslyFormattedCitation":"(HMICFRS, 2018)"},"properties":{"noteIndex":0},"schema":"https://github.com/citation-style-language/schema/raw/master/csl-citation.json"}</w:instrText>
      </w:r>
      <w:r>
        <w:rPr>
          <w:rFonts w:cs="Calibri"/>
        </w:rPr>
        <w:fldChar w:fldCharType="separate"/>
      </w:r>
      <w:r>
        <w:rPr>
          <w:rFonts w:cs="Calibri"/>
          <w:noProof/>
        </w:rPr>
        <w:t>(HMICFRS, 2018)</w:t>
      </w:r>
      <w:r>
        <w:rPr>
          <w:rFonts w:cs="Calibri"/>
        </w:rPr>
        <w:fldChar w:fldCharType="end"/>
      </w:r>
      <w:r>
        <w:rPr>
          <w:rFonts w:cs="Calibri"/>
        </w:rPr>
        <w:t xml:space="preserve">, but to better understand the levels of community trust for an individual FRS, an individual study would be needed to better understand the feelings from the community. A future study examining trust for SYFR would enable the SYFR Communications team to better understand how their communication is being received with residents in South Yorkshire, which would impact how their risk communication is received and used. </w:t>
      </w:r>
    </w:p>
    <w:p w14:paraId="7A6CA09A" w14:textId="77777777" w:rsidR="00787F73" w:rsidRDefault="00787F73" w:rsidP="00866155">
      <w:pPr>
        <w:rPr>
          <w:rFonts w:cs="Calibri"/>
        </w:rPr>
      </w:pPr>
    </w:p>
    <w:p w14:paraId="345A2490" w14:textId="77777777" w:rsidR="00787F73" w:rsidRDefault="00742FB7" w:rsidP="00866155">
      <w:r>
        <w:rPr>
          <w:rFonts w:cs="Calibri"/>
        </w:rPr>
        <w:t>Not only do organisations have different levels of trust, but platforms and communication methods have different levels of trust:</w:t>
      </w:r>
    </w:p>
    <w:p w14:paraId="01398275" w14:textId="77777777" w:rsidR="00787F73" w:rsidRDefault="00742FB7" w:rsidP="00866155">
      <w:pPr>
        <w:pStyle w:val="Quote"/>
        <w:spacing w:line="360" w:lineRule="auto"/>
        <w:jc w:val="both"/>
      </w:pPr>
      <w:r>
        <w:rPr>
          <w:rFonts w:cs="Calibri"/>
          <w:szCs w:val="24"/>
        </w:rPr>
        <w:t xml:space="preserve">“One thing I think we're interested in (...) in relation to disaster management is trust, and how that plays out on the various channels that we might use. </w:t>
      </w:r>
      <w:r>
        <w:rPr>
          <w:rFonts w:cs="Calibri"/>
          <w:szCs w:val="24"/>
        </w:rPr>
        <w:lastRenderedPageBreak/>
        <w:t>I think the Ofcom does a really useful guide to how people consume media, (...) And TV often comes top of the list.” (SM - SYFR progress meeting 2019).</w:t>
      </w:r>
    </w:p>
    <w:p w14:paraId="164E6353" w14:textId="77777777"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Pr>
          <w:rFonts w:cs="Calibri"/>
          <w:color w:val="000000"/>
        </w:rPr>
        <w:t xml:space="preserve">This is seen within the PIC literature and the need for communities to have trust in agencies </w:t>
      </w:r>
      <w:r>
        <w:rPr>
          <w:rFonts w:cs="Calibri"/>
          <w:i/>
          <w:color w:val="000000"/>
        </w:rPr>
        <w:t>before</w:t>
      </w:r>
      <w:r>
        <w:rPr>
          <w:rFonts w:cs="Calibri"/>
          <w:color w:val="000000"/>
        </w:rPr>
        <w:t xml:space="preserve"> they share information </w:t>
      </w:r>
      <w:r>
        <w:fldChar w:fldCharType="begin" w:fldLock="1"/>
      </w:r>
      <w:r>
        <w:rPr>
          <w:rFonts w:cs="Calibri"/>
          <w:color w:val="000000"/>
        </w:rPr>
        <w:instrText>ADDIN CSL_CITATION {"citationItems":[{"id":"ITEM-1","itemData":{"DOI":"10.1371/journal.pone.0266242","ISBN":"1111111111","ISSN":"19326203","PMID":"35381026","abstract":"From an out-of-province/state and international post-secondary student perspective, this article (a) explores mass email risk communication facilitation during the COVID-19-triggered campus-wide evictions in Canada and the United States; and (b) develops relative recommendations to improve mass email risk communication strategies for future emergency response. Investigating mass email risk communication-related impacts on students in a tertiary educational context has revealed a significant deficit in emergency response research, practice, and policymaking. Mandatory temporary university and college closures during the COVID-19 first wave provided an opportunity to address this research and practice deficit, as most Canadian and American universities/colleges administered their eviction communication via daily mass email chains. Through a phenomenological lens, this study interviewed twenty out-of-province/state and international students, ten from each country respectively, to examine student eviction experiences associated with intensive mass email risk communication. This research identified four factors linked to mass email risk communication: email chain characteristics, student interpretation, interdepartmental cooperation, and frontline voices. Synthesizing these findings, four evidence-based recommendations were developed: to efficiently convey risk information to students, to understand student perceptions and to inform their behaviors, to enhance interdepartmental cooperation, and to enable mutual dialogue in decision making. These recommendations could assist post-secondary institutions, and other organizations, in strengthening their mass email risk communication strategies and advancing organizational emergency response plans for future extreme events.","author":[{"dropping-particle":"","family":"Wu","given":"Haorui","non-dropping-particle":"","parse-names":false,"suffix":""}],"container-title":"PLoS ONE","id":"ITEM-1","issue":"4","issued":{"date-parts":[["2022"]]},"page":"1-22","title":"Mass email risk communication: Lessons learned from COVID-19-triggered campus-wide evictions in Canada and the United States","type":"article-journal","volume":"17"},"uris":["http://www.mendeley.com/documents/?uuid=6c5c54fa-9dc3-4ba9-a878-bff9adc0ffde"]}],"mendeley":{"formattedCitation":"(Wu, 2022)","manualFormatting":"(Wu, 2022)","plainTextFormattedCitation":"(Wu, 2022)","previouslyFormattedCitation":"(Wu, 2022)"},"properties":{"noteIndex":0},"schema":"https://github.com/citation-style-language/schema/raw/master/csl-citation.json"}</w:instrText>
      </w:r>
      <w:r>
        <w:rPr>
          <w:rFonts w:cs="Calibri"/>
          <w:color w:val="000000"/>
        </w:rPr>
        <w:fldChar w:fldCharType="separate"/>
      </w:r>
      <w:r>
        <w:rPr>
          <w:rFonts w:cs="Calibri"/>
          <w:noProof/>
          <w:color w:val="000000"/>
        </w:rPr>
        <w:t>(Wu, 2022)</w:t>
      </w:r>
      <w:r>
        <w:rPr>
          <w:rFonts w:cs="Calibri"/>
          <w:color w:val="000000"/>
        </w:rPr>
        <w:fldChar w:fldCharType="end"/>
      </w:r>
      <w:r>
        <w:rPr>
          <w:rFonts w:cs="Calibri"/>
          <w:color w:val="000000"/>
        </w:rPr>
        <w:t xml:space="preserve">, placing the importance of developing relationships with the communities </w:t>
      </w:r>
      <w:r>
        <w:rPr>
          <w:rFonts w:cs="Calibri"/>
          <w:i/>
          <w:iCs/>
          <w:color w:val="000000"/>
        </w:rPr>
        <w:t>prior</w:t>
      </w:r>
      <w:r>
        <w:rPr>
          <w:rFonts w:cs="Calibri"/>
          <w:color w:val="000000"/>
        </w:rPr>
        <w:t xml:space="preserve"> to an event, creating the linking social capital </w:t>
      </w:r>
      <w:r>
        <w:fldChar w:fldCharType="begin" w:fldLock="1"/>
      </w:r>
      <w:r>
        <w:rPr>
          <w:rFonts w:cs="Calibri"/>
          <w:color w:val="000000"/>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India","type":"article-journal","volume":"19"},"uris":["http://www.mendeley.com/documents/?uuid=d8bcf27c-1efc-4c15-8204-cd8b37719dd2"]}],"mendeley":{"formattedCitation":"(Sanyal &amp; Routray, 2016)","plainTextFormattedCitation":"(Sanyal &amp; Routray, 2016)","previouslyFormattedCitation":"(Sanyal &amp; Routray, 2016)"},"properties":{"noteIndex":0},"schema":"https://github.com/citation-style-language/schema/raw/master/csl-citation.json"}</w:instrText>
      </w:r>
      <w:r>
        <w:rPr>
          <w:rFonts w:cs="Calibri"/>
          <w:color w:val="000000"/>
        </w:rPr>
        <w:fldChar w:fldCharType="separate"/>
      </w:r>
      <w:r>
        <w:rPr>
          <w:rFonts w:cs="Calibri"/>
          <w:noProof/>
          <w:color w:val="000000"/>
        </w:rPr>
        <w:t>(Sanyal &amp; Routray, 2016)</w:t>
      </w:r>
      <w:r>
        <w:rPr>
          <w:rFonts w:cs="Calibri"/>
          <w:color w:val="000000"/>
        </w:rPr>
        <w:fldChar w:fldCharType="end"/>
      </w:r>
      <w:r>
        <w:rPr>
          <w:rFonts w:cs="Calibri"/>
          <w:color w:val="000000"/>
        </w:rPr>
        <w:t xml:space="preserve">. This shows the shifting community and social media logic, with information and news being consumed increasingly online and away from traditional methods which have better rates of community trust. This indicates that SYFR need to be mindful of the methods that they use to get their message across, and to focus on more local and small-scale methods, such as Facebook groups, but to be aware of the more trusted sources, such as TV. However, this poses a challenge, such as the reliance on communication companies such as Meta to </w:t>
      </w:r>
      <w:r>
        <w:rPr>
          <w:rFonts w:cs="Calibri"/>
        </w:rPr>
        <w:t>conduct risk communication</w:t>
      </w:r>
      <w:r>
        <w:rPr>
          <w:rFonts w:cs="Calibri"/>
          <w:color w:val="000000"/>
        </w:rPr>
        <w:t xml:space="preserve"> and SYFR operational information. </w:t>
      </w:r>
    </w:p>
    <w:p w14:paraId="5845300F" w14:textId="77777777" w:rsidR="00787F73" w:rsidRDefault="00787F73"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Calibri"/>
          <w:color w:val="000000"/>
        </w:rPr>
      </w:pPr>
    </w:p>
    <w:p w14:paraId="71518AAC" w14:textId="77777777" w:rsidR="00787F73" w:rsidRDefault="00742FB7" w:rsidP="00866155">
      <w:pPr>
        <w:pStyle w:val="Heading4"/>
        <w:spacing w:line="360" w:lineRule="auto"/>
      </w:pPr>
      <w:bookmarkStart w:id="787" w:name="_Toc151994225"/>
      <w:bookmarkStart w:id="788" w:name="_Toc157970788"/>
      <w:bookmarkStart w:id="789" w:name="_Toc153554353"/>
      <w:bookmarkStart w:id="790" w:name="_Toc151905021"/>
      <w:bookmarkStart w:id="791" w:name="_Toc157971009"/>
      <w:bookmarkStart w:id="792" w:name="_Toc151994209"/>
      <w:r>
        <w:t>How does this work in practice?</w:t>
      </w:r>
      <w:bookmarkEnd w:id="787"/>
      <w:bookmarkEnd w:id="788"/>
      <w:bookmarkEnd w:id="789"/>
      <w:bookmarkEnd w:id="790"/>
      <w:bookmarkEnd w:id="791"/>
      <w:bookmarkEnd w:id="792"/>
      <w:r>
        <w:t xml:space="preserve"> </w:t>
      </w:r>
    </w:p>
    <w:p w14:paraId="6041DB1F" w14:textId="77777777" w:rsidR="00787F73" w:rsidRDefault="00742FB7" w:rsidP="00866155">
      <w:pPr>
        <w:rPr>
          <w:rFonts w:cs="Calibri"/>
        </w:rPr>
      </w:pPr>
      <w:r>
        <w:rPr>
          <w:rFonts w:cs="Calibri"/>
        </w:rPr>
        <w:t>I first started working with SYFR in 2017, and since then the Communications team has consisted of three or four people, focusing on both internal and external communications. In 2018, the SYFR team welcomed a Campaigns Manager, whose role it was to focus on the creation and maintenance of campaigns which sit within the public information campaign field. These campaigns make up most of the community engagement work that the Communications team carry out, along with the regular maintenance of various social media platforms (Facebook, Twitter, Instagram, LinkedIn, and more recently TikTok).</w:t>
      </w:r>
    </w:p>
    <w:p w14:paraId="5980312A" w14:textId="77777777" w:rsidR="00866155" w:rsidRDefault="00866155" w:rsidP="00866155"/>
    <w:p w14:paraId="25EB1098" w14:textId="77777777" w:rsidR="00787F73" w:rsidRDefault="00742FB7" w:rsidP="00866155">
      <w:r>
        <w:rPr>
          <w:rFonts w:cs="Calibri"/>
        </w:rPr>
        <w:t>The following sections explor</w:t>
      </w:r>
      <w:r w:rsidR="00866155">
        <w:rPr>
          <w:rFonts w:cs="Calibri"/>
        </w:rPr>
        <w:t>e</w:t>
      </w:r>
      <w:r>
        <w:rPr>
          <w:rFonts w:cs="Calibri"/>
        </w:rPr>
        <w:t xml:space="preserve"> SYFR’s campaigns, focusing on the annual campaign calendars, as well as the themes which arose from examining the campaign plans and evaluation, to gain an understanding of the rationale behind the campaigns, and how SYFR evaluate their impact. </w:t>
      </w:r>
    </w:p>
    <w:p w14:paraId="45E8661E" w14:textId="77777777" w:rsidR="00787F73" w:rsidRDefault="00787F73" w:rsidP="00866155">
      <w:pPr>
        <w:rPr>
          <w:rFonts w:cs="Calibri"/>
        </w:rPr>
      </w:pPr>
    </w:p>
    <w:p w14:paraId="7FA27100" w14:textId="77777777" w:rsidR="00787F73" w:rsidRDefault="00742FB7" w:rsidP="00866155">
      <w:pPr>
        <w:pStyle w:val="Heading5"/>
        <w:spacing w:line="360" w:lineRule="auto"/>
      </w:pPr>
      <w:bookmarkStart w:id="793" w:name="_heading=h.17dp8vu"/>
      <w:bookmarkStart w:id="794" w:name="_Toc151994210"/>
      <w:bookmarkStart w:id="795" w:name="_Toc151905022"/>
      <w:bookmarkStart w:id="796" w:name="_Toc157971010"/>
      <w:bookmarkEnd w:id="793"/>
      <w:r>
        <w:lastRenderedPageBreak/>
        <w:t>Campaigns Calendars</w:t>
      </w:r>
      <w:bookmarkEnd w:id="794"/>
      <w:bookmarkEnd w:id="795"/>
      <w:bookmarkEnd w:id="796"/>
    </w:p>
    <w:p w14:paraId="15D6009E" w14:textId="77777777" w:rsidR="00787F73" w:rsidRDefault="00742FB7" w:rsidP="00866155">
      <w:r>
        <w:rPr>
          <w:rFonts w:cs="Calibri"/>
        </w:rPr>
        <w:t xml:space="preserve">Since 2019, SYFR have implemented annual campaign calendars. These are usually created in the autumn months of the previous year, e.g., 2019 was created in autumn 2018. The aim of the calendars is to ensure cohesion across the service and to enable all members of SYFR to be aware of the different campaigns the organisation is currently running. These campaigns are mainly aimed at the prevention of fires and other incidents, including water safety, and as such can be viewed as communicating risk with the aim to increase the individual and community resilience to fires.  </w:t>
      </w:r>
    </w:p>
    <w:p w14:paraId="4DE26B5D" w14:textId="77777777" w:rsidR="00787F73" w:rsidRDefault="00787F73" w:rsidP="00866155">
      <w:pPr>
        <w:rPr>
          <w:rFonts w:cs="Calibri"/>
        </w:rPr>
      </w:pPr>
    </w:p>
    <w:p w14:paraId="023DB0F2" w14:textId="77777777" w:rsidR="00787F73" w:rsidRDefault="00742FB7" w:rsidP="00866155">
      <w:pPr>
        <w:sectPr w:rsidR="00787F73">
          <w:footerReference w:type="default" r:id="rId26"/>
          <w:footerReference w:type="first" r:id="rId27"/>
          <w:pgSz w:w="11906" w:h="16838"/>
          <w:pgMar w:top="1440" w:right="1440" w:bottom="1440" w:left="1440" w:header="0" w:footer="708" w:gutter="0"/>
          <w:cols w:space="720"/>
          <w:formProt w:val="0"/>
          <w:docGrid w:linePitch="100"/>
        </w:sectPr>
      </w:pPr>
      <w:r>
        <w:rPr>
          <w:rFonts w:cs="Calibri"/>
        </w:rPr>
        <w:t xml:space="preserve">The campaign calendars for 2019, 2020, and 2021 (see Figures 13 - 15) reveal similarities and differences across the years. These campaign calendars were run to schedule, except for the 2020 calendar which was created in the autumn of 2019, and as such was not created with the knowledge of the impact of COVID-19. The 2020 calendar was replaced by a series of ad hoc campaigns set up to manage the shifting dynamic of the COVID-19 pandemic, including a home fire safety campaign, as well as a garden fires campaign in response to the increase in garden fires due to the closure of some refuse centres across the country. The 2020 campaign calendar is included as it demonstrates the aims of SYFR and the topics that were relevant to SYFR at the time of its creation. </w:t>
      </w:r>
    </w:p>
    <w:p w14:paraId="13B9E572" w14:textId="77777777" w:rsidR="00787F73" w:rsidRDefault="00742FB7" w:rsidP="00866155">
      <w:pPr>
        <w:keepNext/>
      </w:pPr>
      <w:r>
        <w:rPr>
          <w:noProof/>
        </w:rPr>
        <w:lastRenderedPageBreak/>
        <w:drawing>
          <wp:inline distT="0" distB="0" distL="0" distR="0" wp14:anchorId="46C9340E" wp14:editId="2FDED9EC">
            <wp:extent cx="7753350" cy="5133975"/>
            <wp:effectExtent l="0" t="0" r="0" b="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0"/>
                    <pic:cNvPicPr>
                      <a:picLocks noChangeAspect="1" noChangeArrowheads="1"/>
                    </pic:cNvPicPr>
                  </pic:nvPicPr>
                  <pic:blipFill>
                    <a:blip r:embed="rId28"/>
                    <a:stretch>
                      <a:fillRect/>
                    </a:stretch>
                  </pic:blipFill>
                  <pic:spPr bwMode="auto">
                    <a:xfrm>
                      <a:off x="0" y="0"/>
                      <a:ext cx="7753350" cy="5133975"/>
                    </a:xfrm>
                    <a:prstGeom prst="rect">
                      <a:avLst/>
                    </a:prstGeom>
                  </pic:spPr>
                </pic:pic>
              </a:graphicData>
            </a:graphic>
          </wp:inline>
        </w:drawing>
      </w:r>
    </w:p>
    <w:p w14:paraId="5DA3FC5D" w14:textId="1A54ED07" w:rsidR="00787F73" w:rsidRDefault="00742FB7" w:rsidP="00A0151B">
      <w:pPr>
        <w:pStyle w:val="caption1"/>
        <w:jc w:val="center"/>
      </w:pPr>
      <w:bookmarkStart w:id="797" w:name="_Toc153554394"/>
      <w:bookmarkStart w:id="798" w:name="_Toc193367291"/>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13</w:t>
      </w:r>
      <w:r>
        <w:rPr>
          <w:rFonts w:cs="Calibri"/>
        </w:rPr>
        <w:fldChar w:fldCharType="end"/>
      </w:r>
      <w:r>
        <w:rPr>
          <w:rFonts w:cs="Calibri"/>
        </w:rPr>
        <w:t>: SYFR campaign calendar 2019</w:t>
      </w:r>
      <w:bookmarkEnd w:id="797"/>
      <w:bookmarkEnd w:id="798"/>
    </w:p>
    <w:p w14:paraId="7715643B" w14:textId="77777777" w:rsidR="00787F73" w:rsidRDefault="00742FB7" w:rsidP="00866155">
      <w:pPr>
        <w:keepNext/>
      </w:pPr>
      <w:r>
        <w:rPr>
          <w:noProof/>
        </w:rPr>
        <w:lastRenderedPageBreak/>
        <w:drawing>
          <wp:inline distT="0" distB="0" distL="0" distR="0" wp14:anchorId="135B0E99" wp14:editId="274BD196">
            <wp:extent cx="7442835" cy="5149850"/>
            <wp:effectExtent l="0" t="0" r="0" b="0"/>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1"/>
                    <pic:cNvPicPr>
                      <a:picLocks noChangeAspect="1" noChangeArrowheads="1"/>
                    </pic:cNvPicPr>
                  </pic:nvPicPr>
                  <pic:blipFill>
                    <a:blip r:embed="rId29"/>
                    <a:stretch>
                      <a:fillRect/>
                    </a:stretch>
                  </pic:blipFill>
                  <pic:spPr bwMode="auto">
                    <a:xfrm>
                      <a:off x="0" y="0"/>
                      <a:ext cx="7442835" cy="5149850"/>
                    </a:xfrm>
                    <a:prstGeom prst="rect">
                      <a:avLst/>
                    </a:prstGeom>
                  </pic:spPr>
                </pic:pic>
              </a:graphicData>
            </a:graphic>
          </wp:inline>
        </w:drawing>
      </w:r>
    </w:p>
    <w:p w14:paraId="0AB33395" w14:textId="04CC7FC2" w:rsidR="00787F73" w:rsidRDefault="00742FB7" w:rsidP="00A0151B">
      <w:pPr>
        <w:pStyle w:val="caption1"/>
        <w:jc w:val="center"/>
      </w:pPr>
      <w:bookmarkStart w:id="799" w:name="_Toc153554395"/>
      <w:bookmarkStart w:id="800" w:name="_Toc193367292"/>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14</w:t>
      </w:r>
      <w:r>
        <w:rPr>
          <w:rFonts w:cs="Calibri"/>
        </w:rPr>
        <w:fldChar w:fldCharType="end"/>
      </w:r>
      <w:r>
        <w:rPr>
          <w:rFonts w:cs="Calibri"/>
        </w:rPr>
        <w:t>: SYFR campaign calendar 2020</w:t>
      </w:r>
      <w:bookmarkEnd w:id="799"/>
      <w:bookmarkEnd w:id="800"/>
    </w:p>
    <w:p w14:paraId="17CE9041" w14:textId="77777777" w:rsidR="00787F73" w:rsidRDefault="00742FB7" w:rsidP="00866155">
      <w:pPr>
        <w:keepNext/>
      </w:pPr>
      <w:r>
        <w:rPr>
          <w:noProof/>
        </w:rPr>
        <w:lastRenderedPageBreak/>
        <w:drawing>
          <wp:inline distT="0" distB="0" distL="0" distR="0" wp14:anchorId="22B41E58" wp14:editId="72FCC7F1">
            <wp:extent cx="8166735" cy="5038090"/>
            <wp:effectExtent l="0" t="0" r="0" b="0"/>
            <wp:docPr id="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3"/>
                    <pic:cNvPicPr>
                      <a:picLocks noChangeAspect="1" noChangeArrowheads="1"/>
                    </pic:cNvPicPr>
                  </pic:nvPicPr>
                  <pic:blipFill>
                    <a:blip r:embed="rId30"/>
                    <a:srcRect t="1279" b="2057"/>
                    <a:stretch>
                      <a:fillRect/>
                    </a:stretch>
                  </pic:blipFill>
                  <pic:spPr bwMode="auto">
                    <a:xfrm>
                      <a:off x="0" y="0"/>
                      <a:ext cx="8166735" cy="5038090"/>
                    </a:xfrm>
                    <a:prstGeom prst="rect">
                      <a:avLst/>
                    </a:prstGeom>
                  </pic:spPr>
                </pic:pic>
              </a:graphicData>
            </a:graphic>
          </wp:inline>
        </w:drawing>
      </w:r>
    </w:p>
    <w:p w14:paraId="6A80DF22" w14:textId="5337544B" w:rsidR="00787F73" w:rsidRDefault="00742FB7" w:rsidP="00A0151B">
      <w:pPr>
        <w:pStyle w:val="caption1"/>
        <w:jc w:val="center"/>
        <w:sectPr w:rsidR="00787F73">
          <w:footerReference w:type="default" r:id="rId31"/>
          <w:footerReference w:type="first" r:id="rId32"/>
          <w:pgSz w:w="16838" w:h="11906" w:orient="landscape"/>
          <w:pgMar w:top="1440" w:right="1440" w:bottom="1440" w:left="1440" w:header="0" w:footer="709" w:gutter="0"/>
          <w:cols w:space="720"/>
          <w:formProt w:val="0"/>
          <w:docGrid w:linePitch="100"/>
        </w:sectPr>
      </w:pPr>
      <w:bookmarkStart w:id="801" w:name="_Toc193367293"/>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15</w:t>
      </w:r>
      <w:r>
        <w:rPr>
          <w:rFonts w:cs="Calibri"/>
        </w:rPr>
        <w:fldChar w:fldCharType="end"/>
      </w:r>
      <w:r>
        <w:rPr>
          <w:rFonts w:cs="Calibri"/>
        </w:rPr>
        <w:t xml:space="preserve">: SYFR campaign calendar </w:t>
      </w:r>
      <w:bookmarkStart w:id="802" w:name="_Toc153554396"/>
      <w:r>
        <w:rPr>
          <w:rFonts w:cs="Calibri"/>
        </w:rPr>
        <w:t>2</w:t>
      </w:r>
      <w:bookmarkEnd w:id="802"/>
      <w:r>
        <w:rPr>
          <w:rFonts w:cs="Calibri"/>
        </w:rPr>
        <w:t>021</w:t>
      </w:r>
      <w:bookmarkEnd w:id="801"/>
    </w:p>
    <w:p w14:paraId="6CFD0D2A" w14:textId="59F9EBCF" w:rsidR="00787F73" w:rsidRDefault="00742FB7" w:rsidP="00866155">
      <w:r>
        <w:rPr>
          <w:rFonts w:cs="Calibri"/>
        </w:rPr>
        <w:lastRenderedPageBreak/>
        <w:t xml:space="preserve">Figures 13 - 15 show the PICs that SYFR were aiming to create and run across their various channels. They range from 4-5 campaigns each year either focusing on a certain audience (e.g., older adults) or a topic (e.g., electrical fires). Throughout the rest of the calendar, there are other weeks that are highlighted, such as the NFCC Business Safety Week in 2019. These weeks were organised by other organisations, or were national safety weeks which SYFR were encouraged to take part in. These could be viewed as </w:t>
      </w:r>
      <w:r>
        <w:rPr>
          <w:rFonts w:cs="Calibri"/>
          <w:i/>
        </w:rPr>
        <w:t xml:space="preserve">Institutional </w:t>
      </w:r>
      <w:r>
        <w:rPr>
          <w:rFonts w:cs="Calibri"/>
        </w:rPr>
        <w:t xml:space="preserve">weeks as they are suggested by external institutions and agencies, however, there is an element of institutional agency within this </w:t>
      </w:r>
      <w:r>
        <w:fldChar w:fldCharType="begin" w:fldLock="1"/>
      </w:r>
      <w:r>
        <w:rPr>
          <w:rFonts w:cs="Calibri"/>
        </w:rPr>
        <w:instrText>ADDIN CSL_CITATION {"citationItems":[{"id":"ITEM-1","itemData":{"DOI":"10.1177/0170840615604503","ISSN":"17413044","abstract":"Our study examines how interdependent actors in a professionalized context interpret the co-occurrence of a professional logic and a policy-driven logic. The empirical setting comprises two hospitals in the English National Health Service. Two issues stand out. First, our study shows that any logic is variegated and ambiguous, so policymakers and organizational managers cannot assume that they are easily blended. Second, it shows how nurse consultants exhibit agency in blending these two logics in pursuit of positional gain in professional and managerial organization. They can do so because of their ambiguous status level: in comparison to doctors, their status as nurses is low; within the nursing profession their status is high. Theoretically, by focusing upon interpretation of multiple institutional logics at the micro level, our study renders visible the agency of interpreting actors, interdependency of actors, their interpretation of institutional logics, situational context, and the effect of, and upon, social position of actors.","author":[{"dropping-particle":"","family":"Currie","given":"Graeme","non-dropping-particle":"","parse-names":false,"suffix":""},{"dropping-particle":"","family":"Spyridonidis","given":"Dimitrios","non-dropping-particle":"","parse-names":false,"suffix":""}],"container-title":"Organization Studies","id":"ITEM-1","issue":"1","issued":{"date-parts":[["2016"]]},"page":"77-97","title":"Interpretation of Multiple Institutional Logics on the Ground: Actors’ Position, their Agency and Situational Constraints in Professionalized Contexts","type":"article-journal","volume":"37"},"uris":["http://www.mendeley.com/documents/?uuid=be657142-d26b-4dc5-bf61-aff1e8d069fa"]}],"mendeley":{"formattedCitation":"(Currie &amp; Spyridonidis, 2016)","plainTextFormattedCitation":"(Currie &amp; Spyridonidis, 2016)","previouslyFormattedCitation":"(Currie &amp; Spyridonidis, 2016)"},"properties":{"noteIndex":0},"schema":"https://github.com/citation-style-language/schema/raw/master/csl-citation.json"}</w:instrText>
      </w:r>
      <w:r>
        <w:rPr>
          <w:rFonts w:cs="Calibri"/>
        </w:rPr>
        <w:fldChar w:fldCharType="separate"/>
      </w:r>
      <w:r>
        <w:rPr>
          <w:rFonts w:cs="Calibri"/>
          <w:noProof/>
        </w:rPr>
        <w:t>(Currie &amp; Spyridonidis, 2016)</w:t>
      </w:r>
      <w:r>
        <w:rPr>
          <w:rFonts w:cs="Calibri"/>
        </w:rPr>
        <w:fldChar w:fldCharType="end"/>
      </w:r>
      <w:r>
        <w:rPr>
          <w:rFonts w:cs="Calibri"/>
        </w:rPr>
        <w:t xml:space="preserve">. </w:t>
      </w:r>
      <w:r w:rsidR="00E16D30">
        <w:rPr>
          <w:rFonts w:cs="Calibri"/>
        </w:rPr>
        <w:t xml:space="preserve">While </w:t>
      </w:r>
      <w:r>
        <w:rPr>
          <w:rFonts w:cs="Calibri"/>
        </w:rPr>
        <w:t>the weeks are on the calendars, it does not mean members of SYFR are duty bound to support them, with the CM explaining to me that they only focused on national campaigns which are relevant to South Yorkshire. The CM also noted that the national campaigns calendar has a new campaign each month, but that they chose to focus on one campaign for a few months, explaining:</w:t>
      </w:r>
    </w:p>
    <w:p w14:paraId="42EF0117" w14:textId="77777777" w:rsidR="00787F73" w:rsidRDefault="00742FB7" w:rsidP="00866155">
      <w:pPr>
        <w:pStyle w:val="Quote"/>
        <w:spacing w:line="360" w:lineRule="auto"/>
      </w:pPr>
      <w:r>
        <w:rPr>
          <w:rFonts w:cs="Calibri"/>
          <w:szCs w:val="24"/>
        </w:rPr>
        <w:t xml:space="preserve">“You can’t change behaviour in one month and one month alone, and you can’t, equally, hop from one topic to another.” (CM </w:t>
      </w:r>
      <w:r w:rsidR="006A7A2E">
        <w:rPr>
          <w:rFonts w:cs="Calibri"/>
          <w:szCs w:val="24"/>
        </w:rPr>
        <w:t xml:space="preserve">interview, </w:t>
      </w:r>
      <w:r>
        <w:rPr>
          <w:rFonts w:cs="Calibri"/>
          <w:szCs w:val="24"/>
        </w:rPr>
        <w:t>07.08.19)</w:t>
      </w:r>
    </w:p>
    <w:p w14:paraId="66099A82" w14:textId="7DE1687C" w:rsidR="00787F73" w:rsidRDefault="00E16D30" w:rsidP="00866155">
      <w:r>
        <w:rPr>
          <w:rFonts w:cs="Calibri"/>
        </w:rPr>
        <w:t xml:space="preserve">While </w:t>
      </w:r>
      <w:r w:rsidR="00742FB7">
        <w:rPr>
          <w:rFonts w:cs="Calibri"/>
        </w:rPr>
        <w:t xml:space="preserve">the Communications team had a statutory obligation to work towards preventing fire, they can develop their own style and approach to this communication, </w:t>
      </w:r>
      <w:r>
        <w:rPr>
          <w:rFonts w:cs="Calibri"/>
        </w:rPr>
        <w:t xml:space="preserve">while </w:t>
      </w:r>
      <w:r w:rsidR="00742FB7">
        <w:rPr>
          <w:rFonts w:cs="Calibri"/>
        </w:rPr>
        <w:t xml:space="preserve">fitting within the professional field level institutional logics </w:t>
      </w:r>
      <w:r w:rsidR="00742FB7">
        <w:fldChar w:fldCharType="begin" w:fldLock="1"/>
      </w:r>
      <w:r w:rsidR="00D177B9">
        <w:rPr>
          <w:rFonts w:cs="Calibri"/>
        </w:rPr>
        <w:instrText>ADDIN CSL_CITATION {"citationItems":[{"id":"ITEM-1","itemData":{"DOI":"10.1111/joms.12070","ISBN":"7804923325","ISSN":"14676486","abstract":"In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Studies","id":"ITEM-1","issue":"7","issued":{"date-parts":[["2014"]]},"page":"1206-1220","title":"Rethinking institutions and organizations","type":"article-journal","volume":"51"},"uris":["http://www.mendeley.com/documents/?uuid=0af2a191-4e5d-48b8-8f8d-ce7200539d20"]},{"id":"ITEM-2","itemData":{"DOI":"10.1177/1476127015625040","author":[{"dropping-particle":"","family":"Ocasio","given":"William","non-dropping-particle":"","parse-names":false,"suffix":""},{"dropping-particle":"","family":"Radoynovska","given":"Nevena","non-dropping-particle":"","parse-names":false,"suffix":""}],"container-title":"Strategic Organization","id":"ITEM-2","issue":"4","issued":{"date-parts":[["2016"]]},"page":"287 - 309","title":"Strategy and commitments to institutional logics : Organizational heterogeneity in business models and governance","type":"article-journal","volume":"14"},"uris":["http://www.mendeley.com/documents/?uuid=eede86b6-3a39-4b52-acc9-94e8cc3fbd5e"]},{"id":"ITEM-3","itemData":{"DOI":"10.1177/1476127015589981","author":[{"dropping-particle":"","family":"Reay","given":"Trish","non-dropping-particle":"","parse-names":false,"suffix":""},{"dropping-particle":"","family":"Jones","given":"Candace","non-dropping-particle":"","parse-names":false,"suffix":""}],"container-title":"Strategic Organization","id":"ITEM-3","issue":"4","issued":{"date-parts":[["2016"]]},"page":"441 - 454","title":"Qualitatively capturing institutional logics","type":"article-journal","volume":"14"},"uris":["http://www.mendeley.com/documents/?uuid=4878ad0c-874d-46a5-9871-26e4841eb77c"]},{"id":"ITEM-4","itemData":{"DOI":"10.1007/s11186-008-9067-z","ISSN":"03042421","abstract":"I summarize seven general trends in the institutional analysis of organizations which I view as constructive and provide evidence of progress in the development of this perspective. I emphasize corrections in early theoretical limitations as well as improvements in the use of empirical indicators and an expansion of the types of organizations included and issues addressed by institutional theorists.","author":[{"dropping-particle":"","family":"Scott","given":"W. Richard","non-dropping-particle":"","parse-names":false,"suffix":""}],"container-title":"Theory and Society","id":"ITEM-4","issued":{"date-parts":[["2008"]]},"page":"427-442","title":"Approaching adulthood: The maturing of institutional theory","type":"article-journal","volume":"37"},"uris":["http://www.mendeley.com/documents/?uuid=c1be5aba-eef5-4103-a9c4-66512b0bd310"]},{"id":"ITEM-5","itemData":{"DOI":"10.1093/acprof","ISBN":"9780199682676","ISSN":"0873626X","PMID":"16683413","abstract":"This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-5","issued":{"date-parts":[["2012"]]},"publisher":"Oxford Acdemic","publisher-place":"Oxford","title":"The Institutional Logics Perspective: A New Approach to Culture, Structure and Process","type":"book"},"uris":["http://www.mendeley.com/documents/?uuid=7afe7588-cd0b-4a95-b78a-3214c1130169"]}],"mendeley":{"formattedCitation":"(Ocasio &amp; Radoynovska, 2016; Reay &amp; Jones, 2016; Greenwood, Hinings, &amp; Whetten, 2014; Thornton, Ocasio, &amp; Lounsbury, 2012; Scott, 2008a)","plainTextFormattedCitation":"(Ocasio &amp; Radoynovska, 2016; Reay &amp; Jones, 2016; Greenwood, Hinings, &amp; Whetten, 2014; Thornton, Ocasio, &amp; Lounsbury, 2012; Scott, 2008a)","previouslyFormattedCitation":"(Ocasio &amp; Radoynovska, 2016; Reay &amp; Jones, 2016; Greenwood, Hinings, &amp; Whetten, 2014; Thornton, Ocasio, &amp; Lounsbury, 2012; Scott, 2008a)"},"properties":{"noteIndex":0},"schema":"https://github.com/citation-style-language/schema/raw/master/csl-citation.json"}</w:instrText>
      </w:r>
      <w:r w:rsidR="00742FB7">
        <w:rPr>
          <w:rFonts w:cs="Calibri"/>
        </w:rPr>
        <w:fldChar w:fldCharType="separate"/>
      </w:r>
      <w:r w:rsidR="00E37B0E" w:rsidRPr="00E37B0E">
        <w:rPr>
          <w:rFonts w:cs="Calibri"/>
          <w:noProof/>
        </w:rPr>
        <w:t>(Ocasio &amp; Radoynovska, 2016; Reay &amp; Jones, 2016; Greenwood, Hinings, &amp; Whetten, 2014; Thornton, Ocasio, &amp; Lounsbury, 2012; Scott, 2008a)</w:t>
      </w:r>
      <w:r w:rsidR="00742FB7">
        <w:rPr>
          <w:rFonts w:cs="Calibri"/>
        </w:rPr>
        <w:fldChar w:fldCharType="end"/>
      </w:r>
      <w:r w:rsidR="00742FB7">
        <w:rPr>
          <w:rFonts w:cs="Calibri"/>
        </w:rPr>
        <w:t>, such as that of a communications team, or a FRS. This differs from other departments and operations within the FRS, with response and recovery operations following a more prescriptive approach such as the business continuity and resilience plans discussed by the EPO.</w:t>
      </w:r>
    </w:p>
    <w:p w14:paraId="19794E30" w14:textId="77777777" w:rsidR="00787F73" w:rsidRDefault="00787F73" w:rsidP="00866155">
      <w:pPr>
        <w:rPr>
          <w:rFonts w:cs="Calibri"/>
        </w:rPr>
      </w:pPr>
    </w:p>
    <w:p w14:paraId="5DB93C8F" w14:textId="7E05AB45" w:rsidR="00787F73" w:rsidRDefault="00E16D30" w:rsidP="00866155">
      <w:r>
        <w:rPr>
          <w:rFonts w:cs="Calibri"/>
        </w:rPr>
        <w:t xml:space="preserve">While </w:t>
      </w:r>
      <w:r w:rsidR="00742FB7">
        <w:rPr>
          <w:rFonts w:cs="Calibri"/>
        </w:rPr>
        <w:t xml:space="preserve">there is an element of institutional agency, the CM explained that it was important to take part in the national messaging to ensure that all services are working towards the same goal. This suggests that there was collaboration across the services, however, in my time with the FRS, and at events, it appeared that materials were created and used by individual FRS. At the FirePro event, it was evident they shared best practice and ideas, but not actual materials. </w:t>
      </w:r>
      <w:r>
        <w:rPr>
          <w:rFonts w:cs="Calibri"/>
        </w:rPr>
        <w:t xml:space="preserve">While </w:t>
      </w:r>
      <w:r w:rsidR="00742FB7">
        <w:rPr>
          <w:rFonts w:cs="Calibri"/>
        </w:rPr>
        <w:t xml:space="preserve">communication does need to be tailored to the audience, such as different community logics influencing the communication style (for instance a direct approach for South Yorkshire may not be received well in another county), some of the messaging does </w:t>
      </w:r>
      <w:r w:rsidR="00742FB7">
        <w:rPr>
          <w:rFonts w:cs="Calibri"/>
        </w:rPr>
        <w:lastRenderedPageBreak/>
        <w:t xml:space="preserve">not have these local logics embedded, and therefore there could be a nationalised approach to PICs. The division of risk communication into individual FRS highlights the role of NPM logics and wider neoliberal agendas, with the disaggregation of service </w:t>
      </w:r>
      <w:r w:rsidR="00742FB7">
        <w:fldChar w:fldCharType="begin" w:fldLock="1"/>
      </w:r>
      <w:r w:rsidR="00974B75">
        <w:rPr>
          <w:rFonts w:cs="Calibri"/>
        </w:rPr>
        <w:instrText>ADDIN CSL_CITATION {"citationItems":[{"id":"ITEM-1","itemData":{"DOI":"10.1016/0361-3682(93)E0001-W","ISSN":"03613682","abstract":"Changes in public sector accounting in a number of OECD countries over the 1980s were central to the rise of the \"New Public Management\" (NPM) and its associated doctrines of public accountability and organizational best practice. This paper discusses the rise of NPM as an alternative to the tradition of public accountability embodied in progressive-era public administration ideas. It argues that, in spite of allegations of internationalization and the adoption of a new global paradigm in public management, there was considerable variation in the extent to which different OECD countries adopted NPM over the 1980s. It further argues that conventional explanations of the rise of NPM (\"Englishness\", party political incumbency, economic performance record and government size) seem hard to sustain even from a relatively brief inspection of such cross-national data as are available, and that an explanation based on initial endowment may give us a different perspective on those changes. © 1995.","author":[{"dropping-particle":"","family":"Hood","given":"Christopher","non-dropping-particle":"","parse-names":false,"suffix":""}],"container-title":"Accounting, Organizations and Society","id":"ITEM-1","issue":"2/3","issued":{"date-parts":[["1995"]]},"page":"93-109","title":"The \"New Public Management\" in the 1980s: Variations on a theme","type":"article-journal","volume":"20"},"uris":["http://www.mendeley.com/documents/?uuid=7c2fc97b-7560-4c74-9a7c-9a0f44e73949"]},{"id":"ITEM-2","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Journal","id":"ITEM-2","issue":"1/2","issued":{"date-parts":[["2019"]]},"page":"134-151","title":"The impact of new public management through outsourcing on the management of government information: The case of Sweden","type":"article-journal","volume":"29"},"uris":["http://www.mendeley.com/documents/?uuid=4524732a-155c-4c93-922f-cd3a912b45c2"]}],"mendeley":{"formattedCitation":"(Svärd, 2019; Hood, 1995)","plainTextFormattedCitation":"(Svärd, 2019; Hood, 1995)","previouslyFormattedCitation":"(Svärd, 2019; Hood, 1995)"},"properties":{"noteIndex":0},"schema":"https://github.com/citation-style-language/schema/raw/master/csl-citation.json"}</w:instrText>
      </w:r>
      <w:r w:rsidR="00742FB7">
        <w:rPr>
          <w:rFonts w:cs="Calibri"/>
        </w:rPr>
        <w:fldChar w:fldCharType="separate"/>
      </w:r>
      <w:r w:rsidR="00742FB7">
        <w:rPr>
          <w:rFonts w:cs="Calibri"/>
          <w:noProof/>
        </w:rPr>
        <w:t>(Svärd, 2019; Hood, 1995)</w:t>
      </w:r>
      <w:r w:rsidR="00742FB7">
        <w:rPr>
          <w:rFonts w:cs="Calibri"/>
        </w:rPr>
        <w:fldChar w:fldCharType="end"/>
      </w:r>
      <w:r w:rsidR="00742FB7">
        <w:rPr>
          <w:rFonts w:cs="Calibri"/>
        </w:rPr>
        <w:t>.</w:t>
      </w:r>
    </w:p>
    <w:p w14:paraId="265531D6" w14:textId="77777777" w:rsidR="00787F73" w:rsidRDefault="00787F73" w:rsidP="00866155">
      <w:pPr>
        <w:rPr>
          <w:rFonts w:cs="Calibri"/>
        </w:rPr>
      </w:pPr>
    </w:p>
    <w:p w14:paraId="2D65AA32" w14:textId="77777777" w:rsidR="00787F73" w:rsidRDefault="00742FB7" w:rsidP="00866155">
      <w:r>
        <w:rPr>
          <w:rFonts w:cs="Calibri"/>
        </w:rPr>
        <w:t xml:space="preserve">To create the campaigns, the Communications team </w:t>
      </w:r>
      <w:r w:rsidR="0049076A">
        <w:rPr>
          <w:rFonts w:cs="Calibri"/>
        </w:rPr>
        <w:t xml:space="preserve">conducted research, </w:t>
      </w:r>
      <w:r>
        <w:rPr>
          <w:rFonts w:cs="Calibri"/>
        </w:rPr>
        <w:t>devised a plan, ran the campaign, and then conducted an evaluation of it. The following section examines the key themes from the campaign plans and evaluations to better ascertain how they practically plan to communicate risk and prevention, and how they view success. From th</w:t>
      </w:r>
      <w:r w:rsidR="00BC0904">
        <w:rPr>
          <w:rFonts w:cs="Calibri"/>
        </w:rPr>
        <w:t>e</w:t>
      </w:r>
      <w:r>
        <w:rPr>
          <w:rFonts w:cs="Calibri"/>
        </w:rPr>
        <w:t>s</w:t>
      </w:r>
      <w:r w:rsidR="00BC0904">
        <w:rPr>
          <w:rFonts w:cs="Calibri"/>
        </w:rPr>
        <w:t>e</w:t>
      </w:r>
      <w:r>
        <w:rPr>
          <w:rFonts w:cs="Calibri"/>
        </w:rPr>
        <w:t xml:space="preserve"> </w:t>
      </w:r>
      <w:r w:rsidR="00500023">
        <w:rPr>
          <w:rFonts w:cs="Calibri"/>
        </w:rPr>
        <w:t>findings</w:t>
      </w:r>
      <w:r>
        <w:rPr>
          <w:rFonts w:cs="Calibri"/>
        </w:rPr>
        <w:t>, the main takeaway is that they had a strong focus on quantification and metrics.</w:t>
      </w:r>
    </w:p>
    <w:p w14:paraId="303F16A2" w14:textId="77777777" w:rsidR="00787F73" w:rsidRDefault="00787F73" w:rsidP="00866155">
      <w:pPr>
        <w:rPr>
          <w:rFonts w:cs="Calibri"/>
        </w:rPr>
      </w:pPr>
    </w:p>
    <w:p w14:paraId="7F540FDA" w14:textId="77777777" w:rsidR="00787F73" w:rsidRDefault="00742FB7" w:rsidP="00866155">
      <w:pPr>
        <w:pStyle w:val="Heading5"/>
        <w:spacing w:line="360" w:lineRule="auto"/>
      </w:pPr>
      <w:bookmarkStart w:id="803" w:name="_Toc151994211"/>
      <w:bookmarkStart w:id="804" w:name="_Toc151905023"/>
      <w:bookmarkStart w:id="805" w:name="_Toc157971011"/>
      <w:r>
        <w:t>The reliance on metrics and quantification</w:t>
      </w:r>
      <w:bookmarkEnd w:id="803"/>
      <w:bookmarkEnd w:id="804"/>
      <w:bookmarkEnd w:id="805"/>
    </w:p>
    <w:p w14:paraId="56F11794" w14:textId="77777777" w:rsidR="00787F73" w:rsidRDefault="00742FB7" w:rsidP="00866155">
      <w:r>
        <w:rPr>
          <w:rFonts w:cs="Calibri"/>
        </w:rPr>
        <w:t>Throughout the ECS and interviews with SYFR, it was evident that there was a wider culture of using quantified metrics to measure engagement with the community, not only within SYFR but the wider FRS sector. During the creation of the campaigns, there was a focus on quantification and metrics, this began with the initial plan and aim of the campaign</w:t>
      </w:r>
      <w:r w:rsidR="0049076A">
        <w:rPr>
          <w:rFonts w:cs="Calibri"/>
        </w:rPr>
        <w:t>,</w:t>
      </w:r>
      <w:r>
        <w:rPr>
          <w:rFonts w:cs="Calibri"/>
        </w:rPr>
        <w:t xml:space="preserve"> with a focus on previous incident data. This focus of metrics and quantification was then followed through the campaign to evaluate and measure success, both of which will be discussed in the following section.</w:t>
      </w:r>
    </w:p>
    <w:p w14:paraId="7A226C7E" w14:textId="77777777" w:rsidR="00787F73" w:rsidRDefault="00787F73" w:rsidP="00866155">
      <w:pPr>
        <w:rPr>
          <w:rFonts w:cs="Calibri"/>
        </w:rPr>
      </w:pPr>
    </w:p>
    <w:p w14:paraId="15A914EA" w14:textId="77777777" w:rsidR="00787F73" w:rsidRDefault="00742FB7" w:rsidP="00866155">
      <w:pPr>
        <w:pStyle w:val="Heading6"/>
        <w:spacing w:line="360" w:lineRule="auto"/>
      </w:pPr>
      <w:bookmarkStart w:id="806" w:name="_Toc151994212"/>
      <w:bookmarkStart w:id="807" w:name="_Toc157971012"/>
      <w:bookmarkStart w:id="808" w:name="_Toc151905024"/>
      <w:r>
        <w:t>Incident data and responsive resilience</w:t>
      </w:r>
      <w:bookmarkEnd w:id="806"/>
      <w:bookmarkEnd w:id="807"/>
      <w:bookmarkEnd w:id="808"/>
    </w:p>
    <w:p w14:paraId="1294014B" w14:textId="77777777" w:rsidR="00787F73" w:rsidRDefault="00742FB7" w:rsidP="00866155">
      <w:r>
        <w:rPr>
          <w:rFonts w:cs="Calibri"/>
        </w:rPr>
        <w:t xml:space="preserve">In the initial scoping of the PICs, SYFR used incident data to highlight the main issues in the area, as well as the subsections of the community that they wanted to engage with. Incident data are collected </w:t>
      </w:r>
      <w:r>
        <w:rPr>
          <w:rFonts w:cs="Calibri"/>
          <w:color w:val="000000"/>
        </w:rPr>
        <w:t>at each call out of the FRS, and this is a nationally imposed system:</w:t>
      </w:r>
    </w:p>
    <w:p w14:paraId="53025B22" w14:textId="77777777" w:rsidR="00787F73" w:rsidRDefault="00742FB7" w:rsidP="00866155">
      <w:pPr>
        <w:pStyle w:val="Quote"/>
        <w:spacing w:line="360" w:lineRule="auto"/>
        <w:jc w:val="both"/>
      </w:pPr>
      <w:r>
        <w:rPr>
          <w:rFonts w:cs="Calibri"/>
          <w:szCs w:val="24"/>
        </w:rPr>
        <w:t>“IRS is Incident Recording System. So, every single Fire Service has one of these, and it basically looks the same. And the reason for that is that every single service collects the same data and can send it up to the Home Office or the central government basically.”</w:t>
      </w:r>
      <w:r>
        <w:rPr>
          <w:rFonts w:cs="Calibri"/>
          <w:color w:val="538135"/>
          <w:szCs w:val="24"/>
        </w:rPr>
        <w:t xml:space="preserve"> (</w:t>
      </w:r>
      <w:r>
        <w:rPr>
          <w:rFonts w:cs="Calibri"/>
          <w:color w:val="000000"/>
          <w:szCs w:val="24"/>
        </w:rPr>
        <w:t>CM</w:t>
      </w:r>
      <w:r w:rsidR="006A7A2E">
        <w:rPr>
          <w:rFonts w:cs="Calibri"/>
          <w:color w:val="000000"/>
          <w:szCs w:val="24"/>
        </w:rPr>
        <w:t xml:space="preserve"> interview,</w:t>
      </w:r>
      <w:r>
        <w:rPr>
          <w:rFonts w:cs="Calibri"/>
          <w:color w:val="000000"/>
          <w:szCs w:val="24"/>
        </w:rPr>
        <w:t xml:space="preserve"> 29.11.19)</w:t>
      </w:r>
    </w:p>
    <w:p w14:paraId="1C6F0CBB" w14:textId="77777777"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Calibri"/>
        </w:rPr>
      </w:pPr>
      <w:r>
        <w:rPr>
          <w:rFonts w:cs="Calibri"/>
        </w:rPr>
        <w:t xml:space="preserve">This nationally imposed system can be viewed as a regulative and normative institutional driver </w:t>
      </w:r>
      <w:r>
        <w:fldChar w:fldCharType="begin" w:fldLock="1"/>
      </w:r>
      <w:r w:rsidR="00974B75">
        <w:rPr>
          <w:rFonts w:cs="Calibri"/>
        </w:rPr>
        <w:instrText>ADDIN CSL_CITATION {"citationItems":[{"id":"ITEM-1","itemData":{"DOI":"10.1108/S0277-2833(2010)0000021006","ISBN":"0000021008","ISSN":"02772833","abstract":"Social science attention to the distinctive role played by the professions\\nin modern society dates, at least, from the 1930s, beginning with\\nthe pioneering research of Carr-Saunders and Wilson (1933) and the\\ntheorizing of Parsons (1939). A considerable body of work was produced\\nwell into the 1960s, most of which embraced what was subsequently\\ntermed a functionalist approach. It was argued that in return for\\nemploying their specialized knowledge in the client's interest, professionals\\nwere ceded the right to set standards of training and practice and\\nto exercise autonomy of decision making in their spheres of competence\\n(e.g., Goode, 1957; Goss, 1961; Greenwood, 1957; Hughes, 1958b).\\nConsiderable effort was expended in differentiating between more-\\nand less-fully developed types of professions (e.g., Etzioni, 1969;\\nScott, 1965), as well as identifying the stages and strategies by\\nwhich professions acquired their distinctive features and status\\n(e.g., Abbott, 1988; Freidson, 1986; Wilensky, 1964).","author":[{"dropping-particle":"","family":"Scott","given":"W. Richard","non-dropping-particle":"","parse-names":false,"suffix":""}],"container-title":"Institutions and Entrepreneurship (Research in the Sociology of Work, Vol. 21)","editor":[{"dropping-particle":"","family":"Wesley D. Sine","given":"Robert J. David","non-dropping-particle":"","parse-names":false,"suffix":""}],"id":"ITEM-1","issued":{"date-parts":[["2010"]]},"page":"27-49","publisher":"Emerald Group Publishing Limited","publisher-place":"Leeds","title":"Entrepreneurs and professionals: The mediating role of institutions","type":"chapter"},"uris":["http://www.mendeley.com/documents/?uuid=8748eab4-c587-451c-8f5e-723bdb377cea"]},{"id":"ITEM-2","itemData":{"DOI":"10.1111/joms.12070","ISBN":"7804923325","ISSN":"14676486","abstract":"In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Studies","id":"ITEM-2","issue":"7","issued":{"date-parts":[["2014"]]},"page":"1206-1220","title":"Rethinking institutions and organizations","type":"article-journal","volume":"51"},"uris":["http://www.mendeley.com/documents/?uuid=0af2a191-4e5d-48b8-8f8d-ce7200539d20"]},{"id":"ITEM-3","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Practice","id":"ITEM-3","issue":"3","issued":{"date-parts":[["2010"]]},"page":"421-440","title":"Institutional theory and entrepreneurship: Where are we now and where do we need to move in the future?","type":"article-journal","volume":"34"},"uris":["http://www.mendeley.com/documents/?uuid=e36ff41e-f87e-4ac2-ad15-cf1983b501ae"]},{"id":"ITEM-4","itemData":{"DOI":"10.1177/0170840607088151","ISBN":"0170-8406","ISSN":"01708406","PMID":"31323064","abstract":"More so than other types of social actors, the professions in modern society have assumed leading roles in the creation and tending of institutions. They are the preeminent institutional agents of our time. Different professions work in various ways: some attempt to create general cultural-cognitive frameworks; others to devise normative pre- scriptions to guide behavior; and still others to exercise coercive authority. Also, indi- vidual professionals assume varying roles within their professional community: some concentrate on devising and testing general principles, others transport these ideas to varying communities; and still others work to apply the principles to individual cases. Professions themselves adhere to an institutional model, but this model has undergone important changes over time.","author":[{"dropping-particle":"","family":"Scott","given":"W. Richard","non-dropping-particle":"","parse-names":false,"suffix":""}],"container-title":"Organization Studies","id":"ITEM-4","issue":"2","issued":{"date-parts":[["2008"]]},"page":"219-238","title":"Lords of the dance: Professionals as institutional agents","type":"article-journal","volume":"29"},"uris":["http://www.mendeley.com/documents/?uuid=08afe149-5ce2-4fa3-a5be-8ece63af6202"]},{"id":"ITEM-5","itemData":{"author":[{"dropping-particle":"","family":"Scott","given":"W. R.","non-dropping-particle":"","parse-names":false,"suffix":""}],"chapter-number":"22","container-title":"Great Minds in Management: The Process of Theory Development","editor":[{"dropping-particle":"","family":"Smith","given":"Ken G.","non-dropping-particle":"","parse-names":false,"suffix":""},{"dropping-particle":"","family":"Hitt","given":"Michael A.","non-dropping-particle":"","parse-names":false,"suffix":""}],"id":"ITEM-5","issued":{"date-parts":[["2005"]]},"page":"460-484","publisher":"Oxford University Press","publisher-place":"Oxford","title":"Institutional theory: Contributing to a theoretical research program","type":"chapter"},"uris":["http://www.mendeley.com/documents/?uuid=8de1c0a6-4550-442d-8529-9841b65f3d92"]}],"mendeley":{"formattedCitation":"(Greenwood, Hinings, &amp; Whetten, 2014; Bruton, Ahlstrom, &amp; Li, 2010; Scott, 2005, 2008b, 2010a)","plainTextFormattedCitation":"(Greenwood, Hinings, &amp; Whetten, 2014; Bruton, Ahlstrom, &amp; Li, 2010; Scott, 2005, 2008b, 2010a)","previouslyFormattedCitation":"(Greenwood, Hinings, &amp; Whetten, 2014; Bruton, Ahlstrom, &amp; Li, 2010; Scott, 2005, 2008b, 2010a)"},"properties":{"noteIndex":0},"schema":"https://github.com/citation-style-language/schema/raw/master/csl-citation.json"}</w:instrText>
      </w:r>
      <w:r>
        <w:rPr>
          <w:rFonts w:cs="Calibri"/>
        </w:rPr>
        <w:fldChar w:fldCharType="separate"/>
      </w:r>
      <w:r>
        <w:rPr>
          <w:rFonts w:cs="Calibri"/>
          <w:noProof/>
        </w:rPr>
        <w:t xml:space="preserve">(Greenwood, Hinings, &amp; Whetten, 2014; Bruton, Ahlstrom, &amp; Li, 2010; Scott, 2005, </w:t>
      </w:r>
      <w:r>
        <w:rPr>
          <w:rFonts w:cs="Calibri"/>
          <w:noProof/>
        </w:rPr>
        <w:lastRenderedPageBreak/>
        <w:t>2008b, 2010a)</w:t>
      </w:r>
      <w:r>
        <w:rPr>
          <w:rFonts w:cs="Calibri"/>
        </w:rPr>
        <w:fldChar w:fldCharType="end"/>
      </w:r>
      <w:r>
        <w:rPr>
          <w:rFonts w:cs="Calibri"/>
        </w:rPr>
        <w:t xml:space="preserve">, influencing how SYFR collect data and therefore what is counted as relevant and important data. The comparison of services against each other also follows on from the NPM discussion in the literature review (chapter 2), namely that NPM creates a sense of competition and hierarchy between departments and agencies, aiming to increase efficiency </w:t>
      </w:r>
      <w:r>
        <w:fldChar w:fldCharType="begin" w:fldLock="1"/>
      </w:r>
      <w:r>
        <w:rPr>
          <w:rFonts w:cs="Calibri"/>
        </w:rPr>
        <w:instrText>ADDIN CSL_CITATION {"citationItems":[{"id":"ITEM-1","itemData":{"DOI":"10.1177/1440783309346472","ISSN":"17412978","author":[{"dropping-particle":"","family":"Connell","given":"Raewyn","non-dropping-particle":"","parse-names":false,"suffix":""},{"dropping-particle":"","family":"Fawcett","given":"Barbara","non-dropping-particle":"","parse-names":false,"suffix":""},{"dropping-particle":"","family":"Meagher","given":"Gabrielle","non-dropping-particle":"","parse-names":false,"suffix":""}],"container-title":"Journal of Sociology","id":"ITEM-1","issue":"4","issued":{"date-parts":[["2009"]]},"page":"331-338","title":"Neoliberalism, new public management and the human service professions","type":"article-journal","volume":"45"},"uris":["http://www.mendeley.com/documents/?uuid=2eaf93b2-17b1-4a88-9a1e-3eb392d9d30f"]}],"mendeley":{"formattedCitation":"(Connell, Fawcett, &amp; Meagher, 2009)","plainTextFormattedCitation":"(Connell, Fawcett, &amp; Meagher, 2009)","previouslyFormattedCitation":"(Connell, Fawcett, &amp; Meagher, 2009)"},"properties":{"noteIndex":0},"schema":"https://github.com/citation-style-language/schema/raw/master/csl-citation.json"}</w:instrText>
      </w:r>
      <w:r>
        <w:rPr>
          <w:rFonts w:cs="Calibri"/>
        </w:rPr>
        <w:fldChar w:fldCharType="separate"/>
      </w:r>
      <w:r>
        <w:rPr>
          <w:rFonts w:cs="Calibri"/>
          <w:noProof/>
        </w:rPr>
        <w:t>(Connell, Fawcett, &amp; Meagher, 2009)</w:t>
      </w:r>
      <w:r>
        <w:rPr>
          <w:rFonts w:cs="Calibri"/>
        </w:rPr>
        <w:fldChar w:fldCharType="end"/>
      </w:r>
      <w:r>
        <w:rPr>
          <w:rFonts w:cs="Calibri"/>
        </w:rPr>
        <w:t>.</w:t>
      </w:r>
    </w:p>
    <w:p w14:paraId="3CAA83BB" w14:textId="77777777" w:rsidR="00713A0B" w:rsidRDefault="00713A0B"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p w14:paraId="6B48328E" w14:textId="3A88664F"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Pr>
          <w:rFonts w:cs="Calibri"/>
        </w:rPr>
        <w:t>During my internship, I was shown the IRS system (I was given permission to take photos as long as addresses were not included ) and it demonstrates the level of detail that is collected after incidents (see figures 16 and 17). Figure 16 shows the IRS dashboard for Deliberate Fire Analysis in 2019, and Figure 17 shows the IRS dashboard for Non-Domestic Fire analysis. These figures show the data and level of detail within the IRS system, categorising incidents in a variety of ways including location, day, time (Figure 16), as well as more detailed analysis of ignition source and cause of fire (Figure 17). The IRS system also included details of the person(s) who had been involved in the fire, and the occupancy of the building at the time. The database enables the user to view the data based on different types of data, such as the type of fire (figure 16 shows Deliberate Fires, and figure 17 shows Non-Domestic Fires). Th</w:t>
      </w:r>
      <w:r w:rsidR="00BC0904">
        <w:rPr>
          <w:rFonts w:cs="Calibri"/>
        </w:rPr>
        <w:t>e</w:t>
      </w:r>
      <w:r>
        <w:rPr>
          <w:rFonts w:cs="Calibri"/>
        </w:rPr>
        <w:t>s</w:t>
      </w:r>
      <w:r w:rsidR="00BC0904">
        <w:rPr>
          <w:rFonts w:cs="Calibri"/>
        </w:rPr>
        <w:t>e</w:t>
      </w:r>
      <w:r>
        <w:rPr>
          <w:rFonts w:cs="Calibri"/>
        </w:rPr>
        <w:t xml:space="preserve"> data </w:t>
      </w:r>
      <w:r w:rsidR="00BC0904">
        <w:rPr>
          <w:rFonts w:cs="Calibri"/>
        </w:rPr>
        <w:t>are</w:t>
      </w:r>
      <w:r>
        <w:rPr>
          <w:rFonts w:cs="Calibri"/>
        </w:rPr>
        <w:t xml:space="preserve"> used to shape and design the PIC:</w:t>
      </w:r>
    </w:p>
    <w:p w14:paraId="4BC85C82" w14:textId="77777777" w:rsidR="00787F73" w:rsidRDefault="00742FB7" w:rsidP="008661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pPr>
      <w:r>
        <w:rPr>
          <w:noProof/>
        </w:rPr>
        <w:drawing>
          <wp:inline distT="0" distB="0" distL="0" distR="0" wp14:anchorId="668F6EAC" wp14:editId="27959BB8">
            <wp:extent cx="5730240" cy="3015615"/>
            <wp:effectExtent l="0" t="0" r="0" b="0"/>
            <wp:docPr id="18" name="Picture 34" descr="A computer screen with a graph and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4" descr="A computer screen with a graph and chart&#10;&#10;Description automatically generated"/>
                    <pic:cNvPicPr>
                      <a:picLocks noChangeAspect="1" noChangeArrowheads="1"/>
                    </pic:cNvPicPr>
                  </pic:nvPicPr>
                  <pic:blipFill>
                    <a:blip r:embed="rId33"/>
                    <a:srcRect t="17465" b="12381"/>
                    <a:stretch>
                      <a:fillRect/>
                    </a:stretch>
                  </pic:blipFill>
                  <pic:spPr bwMode="auto">
                    <a:xfrm>
                      <a:off x="0" y="0"/>
                      <a:ext cx="5730240" cy="3015615"/>
                    </a:xfrm>
                    <a:prstGeom prst="rect">
                      <a:avLst/>
                    </a:prstGeom>
                  </pic:spPr>
                </pic:pic>
              </a:graphicData>
            </a:graphic>
          </wp:inline>
        </w:drawing>
      </w:r>
    </w:p>
    <w:p w14:paraId="6091C8DB" w14:textId="10CB8FBD" w:rsidR="00787F73" w:rsidRDefault="00742FB7" w:rsidP="00866155">
      <w:pPr>
        <w:pStyle w:val="caption1"/>
        <w:jc w:val="center"/>
      </w:pPr>
      <w:bookmarkStart w:id="809" w:name="_Toc153554397"/>
      <w:bookmarkStart w:id="810" w:name="_Toc193367294"/>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16</w:t>
      </w:r>
      <w:r>
        <w:rPr>
          <w:rFonts w:cs="Calibri"/>
        </w:rPr>
        <w:fldChar w:fldCharType="end"/>
      </w:r>
      <w:r>
        <w:rPr>
          <w:rFonts w:cs="Calibri"/>
        </w:rPr>
        <w:t>: SYFR IRS database - Deliberate Fires</w:t>
      </w:r>
      <w:bookmarkEnd w:id="809"/>
      <w:r>
        <w:rPr>
          <w:rFonts w:cs="Calibri"/>
        </w:rPr>
        <w:t>; Source: photo taken by author</w:t>
      </w:r>
      <w:r w:rsidR="00B82875">
        <w:rPr>
          <w:rFonts w:cs="Calibri"/>
        </w:rPr>
        <w:t xml:space="preserve"> on 29/11/2019</w:t>
      </w:r>
      <w:r>
        <w:rPr>
          <w:rFonts w:cs="Calibri"/>
        </w:rPr>
        <w:t>.</w:t>
      </w:r>
      <w:bookmarkEnd w:id="810"/>
    </w:p>
    <w:p w14:paraId="53D36D66" w14:textId="77777777" w:rsidR="00787F73" w:rsidRDefault="00742FB7" w:rsidP="008661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pPr>
      <w:r>
        <w:rPr>
          <w:noProof/>
        </w:rPr>
        <w:lastRenderedPageBreak/>
        <w:drawing>
          <wp:inline distT="0" distB="0" distL="0" distR="0" wp14:anchorId="3183B684" wp14:editId="24FDA32C">
            <wp:extent cx="5730875" cy="3302635"/>
            <wp:effectExtent l="0" t="0" r="0" b="0"/>
            <wp:docPr id="19" name="Picture 3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5" descr="A screen shot of a computer&#10;&#10;Description automatically generated"/>
                    <pic:cNvPicPr>
                      <a:picLocks noChangeAspect="1" noChangeArrowheads="1"/>
                    </pic:cNvPicPr>
                  </pic:nvPicPr>
                  <pic:blipFill>
                    <a:blip r:embed="rId34"/>
                    <a:srcRect t="14123" b="9047"/>
                    <a:stretch>
                      <a:fillRect/>
                    </a:stretch>
                  </pic:blipFill>
                  <pic:spPr bwMode="auto">
                    <a:xfrm>
                      <a:off x="0" y="0"/>
                      <a:ext cx="5730875" cy="3302635"/>
                    </a:xfrm>
                    <a:prstGeom prst="rect">
                      <a:avLst/>
                    </a:prstGeom>
                  </pic:spPr>
                </pic:pic>
              </a:graphicData>
            </a:graphic>
          </wp:inline>
        </w:drawing>
      </w:r>
    </w:p>
    <w:p w14:paraId="7118B4D9" w14:textId="56E93EB8" w:rsidR="00787F73" w:rsidRDefault="00742FB7" w:rsidP="00866155">
      <w:pPr>
        <w:pStyle w:val="caption1"/>
        <w:jc w:val="center"/>
      </w:pPr>
      <w:bookmarkStart w:id="811" w:name="_Toc153554398"/>
      <w:bookmarkStart w:id="812" w:name="_Toc193367295"/>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17</w:t>
      </w:r>
      <w:r>
        <w:rPr>
          <w:rFonts w:cs="Calibri"/>
        </w:rPr>
        <w:fldChar w:fldCharType="end"/>
      </w:r>
      <w:r>
        <w:rPr>
          <w:rFonts w:cs="Calibri"/>
        </w:rPr>
        <w:t>: SYFR IRS database - Non-Domestic Fires</w:t>
      </w:r>
      <w:bookmarkEnd w:id="811"/>
      <w:r>
        <w:rPr>
          <w:rFonts w:cs="Calibri"/>
        </w:rPr>
        <w:t>; Source: photo taken by author</w:t>
      </w:r>
      <w:r w:rsidR="00B82875">
        <w:rPr>
          <w:rFonts w:cs="Calibri"/>
        </w:rPr>
        <w:t xml:space="preserve"> on 29/11/2019</w:t>
      </w:r>
      <w:r>
        <w:rPr>
          <w:rFonts w:cs="Calibri"/>
        </w:rPr>
        <w:t>.</w:t>
      </w:r>
      <w:bookmarkEnd w:id="812"/>
    </w:p>
    <w:p w14:paraId="5BDEDE05" w14:textId="77777777" w:rsidR="00787F73" w:rsidRDefault="00742FB7" w:rsidP="00866155">
      <w:pPr>
        <w:pStyle w:val="Quote"/>
        <w:spacing w:line="360" w:lineRule="auto"/>
        <w:jc w:val="both"/>
      </w:pPr>
      <w:r>
        <w:rPr>
          <w:rFonts w:cs="Calibri"/>
          <w:szCs w:val="24"/>
        </w:rPr>
        <w:t xml:space="preserve">“The first step is always research (...) We’ve got cooking fires. How many? Are they making our bigger incidents? How are they starting? Whatever data I can get out of the data team (…) So it’s not just cooking, what is it, people leaving stuff on the hob? Are they leaving stuff in the oven? Is it actually that there’s equipment faults? Find out what the issue is.” (CM </w:t>
      </w:r>
      <w:r w:rsidR="006A7A2E">
        <w:rPr>
          <w:rFonts w:cs="Calibri"/>
          <w:szCs w:val="24"/>
        </w:rPr>
        <w:t xml:space="preserve">interview, </w:t>
      </w:r>
      <w:r>
        <w:rPr>
          <w:rFonts w:cs="Calibri"/>
          <w:szCs w:val="24"/>
        </w:rPr>
        <w:t>07.08.19)</w:t>
      </w:r>
    </w:p>
    <w:p w14:paraId="0FF842F5" w14:textId="77777777"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Pr>
          <w:rFonts w:cs="Calibri"/>
        </w:rPr>
        <w:t>Using th</w:t>
      </w:r>
      <w:r w:rsidR="00BC0904">
        <w:rPr>
          <w:rFonts w:cs="Calibri"/>
        </w:rPr>
        <w:t>e</w:t>
      </w:r>
      <w:r>
        <w:rPr>
          <w:rFonts w:cs="Calibri"/>
        </w:rPr>
        <w:t>s</w:t>
      </w:r>
      <w:r w:rsidR="00BC0904">
        <w:rPr>
          <w:rFonts w:cs="Calibri"/>
        </w:rPr>
        <w:t>e</w:t>
      </w:r>
      <w:r>
        <w:rPr>
          <w:rFonts w:cs="Calibri"/>
        </w:rPr>
        <w:t xml:space="preserve"> data to create future campaigns shows that</w:t>
      </w:r>
      <w:r>
        <w:rPr>
          <w:rFonts w:cs="Calibri"/>
          <w:color w:val="000000"/>
        </w:rPr>
        <w:t xml:space="preserve"> SYFR were working under the remit of reactive resilience, rather than </w:t>
      </w:r>
      <w:r>
        <w:rPr>
          <w:rFonts w:cs="Calibri"/>
        </w:rPr>
        <w:t xml:space="preserve">proactive </w:t>
      </w:r>
      <w:r>
        <w:rPr>
          <w:rFonts w:cs="Calibri"/>
          <w:color w:val="000000"/>
        </w:rPr>
        <w:t xml:space="preserve">resilience </w:t>
      </w:r>
      <w:r>
        <w:fldChar w:fldCharType="begin" w:fldLock="1"/>
      </w:r>
      <w:r>
        <w:rPr>
          <w:rFonts w:cs="Calibri"/>
          <w:color w:val="000000"/>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Pr>
          <w:rFonts w:cs="Calibri"/>
          <w:color w:val="000000"/>
        </w:rPr>
        <w:fldChar w:fldCharType="separate"/>
      </w:r>
      <w:r>
        <w:rPr>
          <w:rFonts w:cs="Calibri"/>
          <w:noProof/>
          <w:color w:val="000000"/>
        </w:rPr>
        <w:t>(Carmen et al., 2022)</w:t>
      </w:r>
      <w:r>
        <w:rPr>
          <w:rFonts w:cs="Calibri"/>
          <w:color w:val="000000"/>
        </w:rPr>
        <w:fldChar w:fldCharType="end"/>
      </w:r>
      <w:r>
        <w:rPr>
          <w:rFonts w:cs="Calibri"/>
          <w:color w:val="000000"/>
        </w:rPr>
        <w:t xml:space="preserve">; they aimed to use past events to reduce and </w:t>
      </w:r>
      <w:r>
        <w:rPr>
          <w:rFonts w:cs="Calibri"/>
        </w:rPr>
        <w:t xml:space="preserve">prevent </w:t>
      </w:r>
      <w:r>
        <w:rPr>
          <w:rFonts w:cs="Calibri"/>
          <w:color w:val="000000"/>
        </w:rPr>
        <w:t xml:space="preserve">similar fires occurring in the future, rather than assessing and preventing potential new risks. </w:t>
      </w:r>
    </w:p>
    <w:p w14:paraId="422D5C03" w14:textId="77777777" w:rsidR="00787F73" w:rsidRDefault="00787F73"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Calibri"/>
        </w:rPr>
      </w:pPr>
    </w:p>
    <w:p w14:paraId="612FC2F8" w14:textId="77777777" w:rsidR="00787F73" w:rsidRDefault="00742FB7" w:rsidP="00866155">
      <w:pPr>
        <w:pStyle w:val="Heading6"/>
        <w:spacing w:line="360" w:lineRule="auto"/>
      </w:pPr>
      <w:bookmarkStart w:id="813" w:name="_Toc151994213"/>
      <w:bookmarkStart w:id="814" w:name="_Toc157971013"/>
      <w:r>
        <w:t>Using MOSAIC data at target campaigns</w:t>
      </w:r>
      <w:bookmarkEnd w:id="813"/>
      <w:bookmarkEnd w:id="814"/>
    </w:p>
    <w:p w14:paraId="005782CF" w14:textId="77777777"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Calibri"/>
          <w:color w:val="000000"/>
        </w:rPr>
      </w:pPr>
      <w:r>
        <w:rPr>
          <w:rFonts w:cs="Calibri"/>
        </w:rPr>
        <w:t>The PICs also used MOSAIC data, which is a dataset compiled and managed by Experian, a credit check company. The SM explained that the dataset was created with some publicly accessible data, such as crime and policing data, and some data are compiled by the credit checks, which builds a picture of certain types of people and categorises them. This database is then sold to the public sector to help target services. T</w:t>
      </w:r>
      <w:r>
        <w:rPr>
          <w:rFonts w:cs="Calibri"/>
          <w:color w:val="000000"/>
        </w:rPr>
        <w:t>h</w:t>
      </w:r>
      <w:r w:rsidR="00BC0904">
        <w:rPr>
          <w:rFonts w:cs="Calibri"/>
          <w:color w:val="000000"/>
        </w:rPr>
        <w:t>e</w:t>
      </w:r>
      <w:r>
        <w:rPr>
          <w:rFonts w:cs="Calibri"/>
          <w:color w:val="000000"/>
        </w:rPr>
        <w:t>s</w:t>
      </w:r>
      <w:r w:rsidR="00BC0904">
        <w:rPr>
          <w:rFonts w:cs="Calibri"/>
          <w:color w:val="000000"/>
        </w:rPr>
        <w:t>e</w:t>
      </w:r>
      <w:r>
        <w:rPr>
          <w:rFonts w:cs="Calibri"/>
          <w:color w:val="000000"/>
        </w:rPr>
        <w:t xml:space="preserve"> data are collected </w:t>
      </w:r>
      <w:r>
        <w:rPr>
          <w:rFonts w:cs="Calibri"/>
          <w:color w:val="000000"/>
        </w:rPr>
        <w:lastRenderedPageBreak/>
        <w:t xml:space="preserve">and managed by a for-profit company, with data from the British public being sold back to public agencies to support the development and maintenance of public services. This indicates a neoliberal agenda, with the privatisation and commodification of personal or </w:t>
      </w:r>
      <w:r>
        <w:rPr>
          <w:rFonts w:cs="Calibri"/>
        </w:rPr>
        <w:t xml:space="preserve">public </w:t>
      </w:r>
      <w:r>
        <w:rPr>
          <w:rFonts w:cs="Calibri"/>
          <w:color w:val="000000"/>
        </w:rPr>
        <w:t xml:space="preserve">data, with a combined threat of personal data security and privacy. </w:t>
      </w:r>
    </w:p>
    <w:p w14:paraId="74528662" w14:textId="77777777" w:rsidR="00713A0B" w:rsidRDefault="00713A0B"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p w14:paraId="3841E317" w14:textId="77777777"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Pr>
          <w:rFonts w:cs="Calibri"/>
        </w:rPr>
        <w:t>Combining the incident data and MOSAIC data</w:t>
      </w:r>
      <w:r>
        <w:rPr>
          <w:rFonts w:cs="Calibri"/>
          <w:color w:val="000000"/>
        </w:rPr>
        <w:t xml:space="preserve"> </w:t>
      </w:r>
      <w:r>
        <w:rPr>
          <w:rFonts w:cs="Calibri"/>
        </w:rPr>
        <w:t xml:space="preserve">provides SYFR with the opportunity to correlate certain types of fire to different MOSAIC categories (an example of the IRS data can be seen in Figure 18). For instance, in the </w:t>
      </w:r>
      <w:r>
        <w:t xml:space="preserve">Animals Fire Safety </w:t>
      </w:r>
      <w:r>
        <w:rPr>
          <w:rFonts w:cs="Calibri"/>
        </w:rPr>
        <w:t xml:space="preserve">plan, the top three risk categories were families with needs (lots of children in an area of high deprivation), make do &amp; move on (younger singles in low-cost properties), and pocket pensions (elderly singles renting in social homes) (SYFR – </w:t>
      </w:r>
      <w:r>
        <w:t>Animals Fire Safety</w:t>
      </w:r>
      <w:r>
        <w:rPr>
          <w:rFonts w:cs="Calibri"/>
        </w:rPr>
        <w:t xml:space="preserve"> – Plan 2018).</w:t>
      </w:r>
    </w:p>
    <w:p w14:paraId="52B1C36C" w14:textId="77777777" w:rsidR="00787F73" w:rsidRDefault="00742FB7" w:rsidP="008661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pPr>
      <w:r>
        <w:rPr>
          <w:noProof/>
        </w:rPr>
        <w:drawing>
          <wp:inline distT="0" distB="0" distL="0" distR="0" wp14:anchorId="316991D2" wp14:editId="3A0C0007">
            <wp:extent cx="4262120" cy="1916430"/>
            <wp:effectExtent l="0" t="0" r="0" b="0"/>
            <wp:docPr id="20" name="Picture 3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6" descr="A screen shot of a computer&#10;&#10;Description automatically generated"/>
                    <pic:cNvPicPr>
                      <a:picLocks noChangeAspect="1" noChangeArrowheads="1"/>
                    </pic:cNvPicPr>
                  </pic:nvPicPr>
                  <pic:blipFill>
                    <a:blip r:embed="rId35"/>
                    <a:srcRect l="18592" t="21821" r="7047" b="33599"/>
                    <a:stretch>
                      <a:fillRect/>
                    </a:stretch>
                  </pic:blipFill>
                  <pic:spPr bwMode="auto">
                    <a:xfrm>
                      <a:off x="0" y="0"/>
                      <a:ext cx="4262120" cy="1916430"/>
                    </a:xfrm>
                    <a:prstGeom prst="rect">
                      <a:avLst/>
                    </a:prstGeom>
                  </pic:spPr>
                </pic:pic>
              </a:graphicData>
            </a:graphic>
          </wp:inline>
        </w:drawing>
      </w:r>
    </w:p>
    <w:p w14:paraId="08A2D4D6" w14:textId="696DB742" w:rsidR="00787F73" w:rsidRDefault="00742FB7" w:rsidP="00866155">
      <w:pPr>
        <w:pStyle w:val="caption1"/>
        <w:jc w:val="center"/>
      </w:pPr>
      <w:bookmarkStart w:id="815" w:name="_Toc153554399"/>
      <w:bookmarkStart w:id="816" w:name="_Toc193367296"/>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18</w:t>
      </w:r>
      <w:r>
        <w:rPr>
          <w:rFonts w:cs="Calibri"/>
        </w:rPr>
        <w:fldChar w:fldCharType="end"/>
      </w:r>
      <w:r>
        <w:rPr>
          <w:rFonts w:cs="Calibri"/>
        </w:rPr>
        <w:t>: SYFR IRS database - Incidents by Occupancy</w:t>
      </w:r>
      <w:bookmarkEnd w:id="815"/>
      <w:r>
        <w:rPr>
          <w:rFonts w:cs="Calibri"/>
        </w:rPr>
        <w:t>; Source: photo taken by author</w:t>
      </w:r>
      <w:r w:rsidR="00B82875" w:rsidRPr="00B82875">
        <w:rPr>
          <w:rFonts w:cs="Calibri"/>
        </w:rPr>
        <w:t xml:space="preserve"> </w:t>
      </w:r>
      <w:r w:rsidR="00B82875">
        <w:rPr>
          <w:rFonts w:cs="Calibri"/>
        </w:rPr>
        <w:t>on 29/11/2019</w:t>
      </w:r>
      <w:r>
        <w:rPr>
          <w:rFonts w:cs="Calibri"/>
        </w:rPr>
        <w:t>.</w:t>
      </w:r>
      <w:bookmarkEnd w:id="816"/>
    </w:p>
    <w:p w14:paraId="69CBDDF9" w14:textId="77777777"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Pr>
          <w:rFonts w:cs="Calibri"/>
        </w:rPr>
        <w:t>Using th</w:t>
      </w:r>
      <w:r w:rsidR="00BC0904">
        <w:rPr>
          <w:rFonts w:cs="Calibri"/>
        </w:rPr>
        <w:t>ese</w:t>
      </w:r>
      <w:r>
        <w:rPr>
          <w:rFonts w:cs="Calibri"/>
        </w:rPr>
        <w:t xml:space="preserve"> data appears to be efficient, identifying the at-risk community groups, and then targeting messaging towards those people, and the literature notes that socio-economic factors can be indicators of vulnerability </w:t>
      </w:r>
      <w:r>
        <w:fldChar w:fldCharType="begin" w:fldLock="1"/>
      </w:r>
      <w:r w:rsidR="00974B75">
        <w:rPr>
          <w:rFonts w:cs="Calibri"/>
        </w:rPr>
        <w:instrText>ADDIN CSL_CITATION {"citationItems":[{"id":"ITEM-1","itemData":{"DOI":"10.4324/9780203848531","ISBN":"0203848535","abstract":"In this essay I develop the concept of vulnerability in order to argue for a more responsive state and a more egalitarian society. I argue that vulnerability is—and should be understood to be—universal and constant, inherent in the human condition. The vulnerability approach I propose is an alternative to traditional equal protection analysis; it is a “post-identity” inquiry in that it is not focused only on discrimination against defined groups, but concerned with privilege and favor conferred on limited segments of the population by the state and broader society through their institutions. As such, vulnerability analysis concentrates on the structures our society has and will establish to manage our common vulnerabilities. This approach has the potential to move us beyond the stifling confines of current discrimination-based models toward a more substantive vision of equality.","author":[{"dropping-particle":"","family":"Fineman","given":"Martha Albertson","non-dropping-particle":"","parse-names":false,"suffix":""}],"container-title":"Yale Journal of Law &amp; Feminism","id":"ITEM-1","issue":"1","issued":{"date-parts":[["2008"]]},"page":"1-23","title":"The vulnerable subject: Anchoring Equality in the human condition","type":"article-journal","volume":"20"},"uris":["http://www.mendeley.com/documents/?uuid=1f7897a0-330a-49d9-8024-cccf967dc0db"]},{"id":"ITEM-2","itemData":{"DOI":"10.1016/j.gloenvcha.2006.02.006","ISBN":"09593780","ISSN":"09593780","PMID":"17411427","abstract":"This paper reviews research traditions of vulnerability to environmental change and the challenges for present vulnerability research in integrating with the domains of resilience and adaptation. Vulnerability is the state of susceptibility to harm from exposure to stresses associated with environmental and social change and from the absence of capacity to adapt. Antecedent traditions include theories of vulnerability as entitlement failure and theories of hazard. Each of these areas has contributed to present formulations of vulnerability to environmental change as a characteristic of social-ecological systems linked to resilience. Research on vulnerability to the impacts of climate change spans all the antecedent and successor traditions. The challenges for vulnerability research are to develop robust and credible measures, to incorporate diverse methods that include perceptions of risk and vulnerability, and to incorporate governance research on the mechanisms that mediate vulnerability and promote adaptive action and resilience. These challenges are common to the domains of vulnerability, adaptation and resilience and form common ground for consilience and integration. © 2006 Elsevier Ltd. All rights reserved.","author":[{"dropping-particle":"","family":"Adger","given":"W. Neil","non-dropping-particle":"","parse-names":false,"suffix":""}],"container-title":"Global Environmental Change","id":"ITEM-2","issue":"3","issued":{"date-parts":[["2006"]]},"page":"268-281","title":"Vulnerability","type":"article-journal","volume":"16"},"uris":["http://www.mendeley.com/documents/?uuid=383408ed-e762-472c-99bf-36ab300b3b49"]},{"id":"ITEM-3","itemData":{"DOI":"10.1080/03003930.2019.1571999","ISSN":"17439388","abstract":"Scholars and practitioners have long noted the importance of community resilience to disaster recovery and environmental risk mitigation. Yet we know surprisingly little about how local residents perceive the resilience of their local communities, including how closely their perceptions align with objective measures of resilience or whether these perceptions affect community engagement and support for resilience building activities and policies. In this paper, we utilise the results of public opinion surveys of residents of four Texas coastal shoreline counties (Brazoria, Nueces, Galveston, and Cameron) to address this gap in the literature. The results reveal that perceptions of community preparedness largely reflect social trust and disaster awareness while perceptions of recovery reflect perceived risks and preparedness.","author":[{"dropping-particle":"","family":"Goidel","given":"Kirby","non-dropping-particle":"","parse-names":false,"suffix":""},{"dropping-particle":"","family":"Horney","given":"Jennifer A.","non-dropping-particle":"","parse-names":false,"suffix":""},{"dropping-particle":"","family":"Kellstedt","given":"Paul M.","non-dropping-particle":"","parse-names":false,"suffix":""},{"dropping-particle":"","family":"Sullivan","given":"Emily","non-dropping-particle":"","parse-names":false,"suffix":""},{"dropping-particle":"","family":"Brown","given":"Stephanie E.V.","non-dropping-particle":"","parse-names":false,"suffix":""}],"container-title":"Local Government Studies","id":"ITEM-3","issue":"3","issued":{"date-parts":[["2019"]]},"page":"413-432","title":"Perceptions of disaster resilience in four Texas coastal communities","type":"article-journal","volume":"45"},"uris":["http://www.mendeley.com/documents/?uuid=4033a276-60f2-438f-a557-0a555c5f96f4"]},{"id":"ITEM-4","itemData":{"DOI":"10.1111/j.1477-8947.2006.00121.x","author":[{"dropping-particle":"","family":"Ziervogel","given":"Gina","non-dropping-particle":"","parse-names":false,"suffix":""},{"dropping-particle":"","family":"Ziervogel","given":"Gina","non-dropping-particle":"","parse-names":false,"suffix":""},{"dropping-particle":"","family":"Bharwani","given":"Sukaina","non-dropping-particle":"","parse-names":false,"suffix":""},{"dropping-particle":"","family":"Downing","given":"Thomas E","non-dropping-particle":"","parse-names":false,"suffix":""}],"container-title":"Natural Resources Forum","id":"ITEM-4","issue":"4","issued":{"date-parts":[["2006"]]},"page":"294-305","title":"Adapting to climate variability: Pumpkins , people and policy","type":"article-journal","volume":"30"},"uris":["http://www.mendeley.com/documents/?uuid=148cfadc-3126-4f67-80a7-2ef57058d685"]},{"id":"ITEM-5","itemData":{"DOI":"10.3763/ehaz.1999.0103","author":[{"dropping-particle":"","family":"Tobin","given":"Graham A","non-dropping-particle":"","parse-names":false,"suffix":""}],"container-title":"Environmental Hazards","id":"ITEM-5","issue":"1","issued":{"date-parts":[["1999"]]},"page":"13-25","title":"Sustainability and community resilience: the holy grail of hazards planning?","type":"article-journal","volume":"1"},"uris":["http://www.mendeley.com/documents/?uuid=8bf65d46-8190-4198-bf8c-df8928e2d260"]},{"id":"ITEM-6","itemData":{"DOI":"10.1016/j.ijdrr.2022.103039","ISSN":"22124209","abstract":"In 2015 the Sendai Framework for Disaster Risk Reduction (SFDRR) was introduced to continue the process of developing a resilient world. Like other countries, Bangladesh is also committed to introducing interventions according to the goals, objectives, and priorities of the SFDRR which will enable the communities to reduce the risk of disasters. To have a comprehensive disaster management mechanism the first strategy would be having proper policies and plans. It is clear that Bangladesh already has progressed in developing inclusive and robust disaster management policies and plans. In this study, the available disaster management policies are reviewed in the light of priorities of the SFDRR. The objective is to analyze the current condition of the policies and gaps in the policies which should be addressed for achieving SFDRR goals. The study identified that the policies and plans are well designed aligning with the priorities of SFDRR but there are still scopes of improvement. Bangladesh needs to focus on all priority areas in updating these plans and policies with a special focus on priority areas 3 and 4. Investing more in disaster risk reduction and introducing a ‘Build Back Better’ approach will help to introduce a resilient country.","author":[{"dropping-particle":"","family":"Chisty","given":"Musabber Ali","non-dropping-particle":"","parse-names":false,"suffix":""},{"dropping-particle":"","family":"Muhtasim","given":"Maliha","non-dropping-particle":"","parse-names":false,"suffix":""},{"dropping-particle":"","family":"Biva","given":"Fariha Jahin","non-dropping-particle":"","parse-names":false,"suffix":""},{"dropping-particle":"","family":"Dola","given":"Syeda Erena Alam","non-dropping-particle":"","parse-names":false,"suffix":""},{"dropping-particle":"","family":"Khan","given":"Nesar Ahmed","non-dropping-particle":"","parse-names":false,"suffix":""}],"container-title":"International Journal of Disaster Risk Reduction","id":"ITEM-6","issued":{"date-parts":[["2022"]]},"page":"1-9","title":"Sendai Framework for Disaster Risk Reduction (SFDRR) and disaster management policies in Bangladesh: How far we have come to make communities resilient?","type":"article-journal","volume":"76"},"uris":["http://www.mendeley.com/documents/?uuid=255364b7-603f-4028-a3e6-0ca236d4bed5"]},{"id":"ITEM-7","itemData":{"DOI":"10.1016/j.scs.2021.103577","ISSN":"22106707","abstract":"The use of social media platforms such as Twitter significantly increases during natural hazards. With the emergence of several social media platforms over the past decade, many studies have investigated the applications of these platforms during calamities. This study presents a comprehensive spatiotemporal analysis of textual content from millions of tweets shared on Twitter during Hurricane Harvey (2017) across several affected counties in southeast Texas. We propose a new Hazard Risk Awareness (HRA) Index, which considers multiple factors, including the number of tweets, population, internet use rate, and natural hazard characteristics per geographic location. We then map the HRA Index across southeast Texas. Utilizing a dataset of 18 million tweets, we employ Natural Language Processing (NLP) along with a set of statistical techniques to perform analysis on the textual data generated by Twitter users during Hurricane Harvey. This enables us to subdivide the tweet contents into several categories per county that would inform crisis management during the event. In all, our study provides valuable information at the county level before, during, and after Harvey that could significantly help disaster managers and responders to minimize the consequences of the event and improve the preparedness of the residents for it. Since HRA is derived based on the meteorological observations and some demographic information, depending on the availability of such dataset and the nature of the hazard (i.e., flood, wildfire, hurricane, and earthquake), this index can be calculated and employed for assessing the risk awareness of a community exposed to either of these natural hazards.","author":[{"dropping-particle":"","family":"Karimiziarani","given":"Mohammadsepehr","non-dropping-particle":"","parse-names":false,"suffix":""},{"dropping-particle":"","family":"Jafarzadegan","given":"Keighobad","non-dropping-particle":"","parse-names":false,"suffix":""},{"dropping-particle":"","family":"Abbaszadeh","given":"Peyman","non-dropping-particle":"","parse-names":false,"suffix":""},{"dropping-particle":"","family":"Shao","given":"Wanyun","non-dropping-particle":"","parse-names":false,"suffix":""},{"dropping-particle":"","family":"Moradkhani","given":"Hamid","non-dropping-particle":"","parse-names":false,"suffix":""}],"container-title":"Sustainable Cities and Society","id":"ITEM-7","issued":{"date-parts":[["2022"]]},"page":"1 - 11","title":"Hazard risk awareness and disaster management: Extracting the information content of twitter data","type":"article-journal","volume":"77"},"uris":["http://www.mendeley.com/documents/?uuid=0ff52b10-5251-4279-bf6e-c55c0e18363a"]},{"id":"ITEM-8","itemData":{"DOI":"10.1111/disa.12481","ISSN":"14677717","PMID":"33760259","abstract":"While social vulnerability in the face of disasters has received increasing academic attention, relatively little is known about the extent to which that knowledge is reflected in practice by institutions involved in disaster management. This study charts the practitioners’ approaches to disaster vulnerability in eight European countries: Belgium; Estonia; Finland; Germany; Hungary; Italy; Norway; and Sweden. It draws on a comparative document analysis and 95 interviews with disaster managers and reveals significant differences across countries in terms of the ontology of vulnerability, its sources, reduction strategies, and the allocation of related duties. To advance the debate and provide conceptual clarity, we put forward a heuristic model to facilitate different understandings of vulnerability along the dimensions of human agency and technological structures as well as social support through private relations and state actors. This could guide risk analysis of and planning for major hazards and could be adapted further to particular types of disasters.","author":[{"dropping-particle":"","family":"Orru","given":"Kati","non-dropping-particle":"","parse-names":false,"suffix":""},{"dropping-particle":"","family":"Hansson","given":"Sten","non-dropping-particle":"","parse-names":false,"suffix":""},{"dropping-particle":"","family":"Gabel","given":"Friedrich","non-dropping-particle":"","parse-names":false,"suffix":""},{"dropping-particle":"","family":"Tammpuu","given":"Piia","non-dropping-particle":"","parse-names":false,"suffix":""},{"dropping-particle":"","family":"Krüger","given":"Marco","non-dropping-particle":"","parse-names":false,"suffix":""},{"dropping-particle":"","family":"Savadori","given":"Lucia","non-dropping-particle":"","parse-names":false,"suffix":""},{"dropping-particle":"","family":"Meyer","given":"Sunniva Frislid","non-dropping-particle":"","parse-names":false,"suffix":""},{"dropping-particle":"","family":"Torpan","given":"Sten","non-dropping-particle":"","parse-names":false,"suffix":""},{"dropping-particle":"","family":"Jukarainen","given":"Pirjo","non-dropping-particle":"","parse-names":false,"suffix":""},{"dropping-particle":"","family":"Schieffelers","given":"Abriel","non-dropping-particle":"","parse-names":false,"suffix":""},{"dropping-particle":"","family":"Lovasz","given":"Gabriella","non-dropping-particle":"","parse-names":false,"suffix":""},{"dropping-particle":"","family":"Rhinard","given":"Mark","non-dropping-particle":"","parse-names":false,"suffix":""}],"container-title":"Disasters","id":"ITEM-8","issue":"3","issued":{"date-parts":[["2022"]]},"page":"742-767","title":"Approaches to ‘vulnerability’ in eight European disaster management systems","type":"article-journal","volume":"46"},"uris":["http://www.mendeley.com/documents/?uuid=4a100afe-8fc2-485b-97f9-cd7bfb391421"]}],"mendeley":{"formattedCitation":"(Chisty et al., 2022; Karimiziarani et al., 2022; Orru et al., 2022; Goidel et al., 2019; Fineman, 2008; Adger, 2006; Ziervogel et al., 2006; Tobin, 1999)","plainTextFormattedCitation":"(Chisty et al., 2022; Karimiziarani et al., 2022; Orru et al., 2022; Goidel et al., 2019; Fineman, 2008; Adger, 2006; Ziervogel et al., 2006; Tobin, 1999)","previouslyFormattedCitation":"(Chisty et al., 2022; Karimiziarani et al., 2022; Orru et al., 2022; Goidel et al., 2019; Fineman, 2008; Adger, 2006; Ziervogel et al., 2006; Tobin, 1999)"},"properties":{"noteIndex":0},"schema":"https://github.com/citation-style-language/schema/raw/master/csl-citation.json"}</w:instrText>
      </w:r>
      <w:r>
        <w:rPr>
          <w:rFonts w:cs="Calibri"/>
        </w:rPr>
        <w:fldChar w:fldCharType="separate"/>
      </w:r>
      <w:r>
        <w:rPr>
          <w:rFonts w:cs="Calibri"/>
          <w:noProof/>
        </w:rPr>
        <w:t>(Chisty et al., 2022; Karimiziarani et al., 2022; Orru et al., 2022; Goidel et al., 2019; Fineman, 2008; Adger, 2006; Ziervogel et al., 2006; Tobin, 1999)</w:t>
      </w:r>
      <w:r>
        <w:rPr>
          <w:rFonts w:cs="Calibri"/>
        </w:rPr>
        <w:fldChar w:fldCharType="end"/>
      </w:r>
      <w:r>
        <w:rPr>
          <w:rFonts w:cs="Calibri"/>
        </w:rPr>
        <w:t xml:space="preserve">. However, </w:t>
      </w:r>
      <w:r w:rsidR="00BC0904">
        <w:rPr>
          <w:rFonts w:cs="Calibri"/>
        </w:rPr>
        <w:t>these</w:t>
      </w:r>
      <w:r>
        <w:rPr>
          <w:rFonts w:cs="Calibri"/>
        </w:rPr>
        <w:t xml:space="preserve"> data </w:t>
      </w:r>
      <w:r w:rsidR="00BC0904">
        <w:rPr>
          <w:rFonts w:cs="Calibri"/>
        </w:rPr>
        <w:t>are</w:t>
      </w:r>
      <w:r>
        <w:rPr>
          <w:rFonts w:cs="Calibri"/>
        </w:rPr>
        <w:t xml:space="preserve"> flawed; it assumes that only examining socio-economic characteristics can indicate a person’s perception of risk, however, there may be other factors which can influence individual’s perception to risk and more widely the prevalence of fires (which is noted in the PMT literature as supporting the development of threat appraisal). The Communications team are aware that there is more to the causes of these events than the data are capturing and would ideally conduct more community engagement, with the SM noting:</w:t>
      </w:r>
    </w:p>
    <w:p w14:paraId="4D0F7731" w14:textId="77777777" w:rsidR="00787F73" w:rsidRDefault="00742FB7" w:rsidP="00866155">
      <w:pPr>
        <w:pStyle w:val="Quote"/>
        <w:spacing w:line="360" w:lineRule="auto"/>
        <w:jc w:val="both"/>
      </w:pPr>
      <w:r>
        <w:rPr>
          <w:rFonts w:cs="Calibri"/>
          <w:szCs w:val="24"/>
        </w:rPr>
        <w:lastRenderedPageBreak/>
        <w:t>“We build a picture of the type of people who are likely to have fires. But what we probably don't do is actually go to speak to them about their resilience, their risk and what would make them change their behaviours.” (SM</w:t>
      </w:r>
      <w:r w:rsidR="006A7A2E">
        <w:rPr>
          <w:rFonts w:cs="Calibri"/>
          <w:szCs w:val="24"/>
        </w:rPr>
        <w:t xml:space="preserve"> interview,</w:t>
      </w:r>
      <w:r>
        <w:rPr>
          <w:rFonts w:cs="Calibri"/>
          <w:szCs w:val="24"/>
        </w:rPr>
        <w:t xml:space="preserve"> 30.07.19)</w:t>
      </w:r>
    </w:p>
    <w:p w14:paraId="655C758E" w14:textId="6A09F0B0" w:rsidR="00787F73" w:rsidRDefault="00742FB7" w:rsidP="008661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Calibri"/>
          <w:color w:val="000000"/>
        </w:rPr>
      </w:pPr>
      <w:r>
        <w:rPr>
          <w:rFonts w:cs="Calibri"/>
          <w:color w:val="000000"/>
        </w:rPr>
        <w:t xml:space="preserve">The use of </w:t>
      </w:r>
      <w:r w:rsidR="00BC0904">
        <w:rPr>
          <w:rFonts w:cs="Calibri"/>
          <w:color w:val="000000"/>
        </w:rPr>
        <w:t>these</w:t>
      </w:r>
      <w:r>
        <w:rPr>
          <w:rFonts w:cs="Calibri"/>
          <w:color w:val="000000"/>
        </w:rPr>
        <w:t xml:space="preserve"> data aimed to improve the efficiency of SYFR’s work, helping to target specific groups of people who are at risk, linking to NPM logics of efficiency </w:t>
      </w:r>
      <w:r>
        <w:fldChar w:fldCharType="begin" w:fldLock="1"/>
      </w:r>
      <w:bookmarkStart w:id="817" w:name="_Hlk151906647"/>
      <w:r w:rsidR="00974B75">
        <w:rPr>
          <w:rFonts w:cs="Calibri"/>
          <w:color w:val="000000"/>
        </w:rPr>
        <w:instrText>ADDIN CSL_CITATION {"citationItems":[{"id":"ITEM-1","itemData":{"DOI":"http://dx.doi.org/10.1108/MRR-09-2015-0216","ISBN":"0001253111116","ISSN":"0264-0473","PMID":"42012058","abstract":"Abstract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Journal","id":"ITEM-1","issue":"1/2","issued":{"date-parts":[["2019"]]},"page":"134-151","title":"The impact of new public management through outsourcing on the management of government information: The case of Sweden","type":"article-journal","volume":"29"},"uris":["http://www.mendeley.com/documents/?uuid=4524732a-155c-4c93-922f-cd3a912b45c2"]},{"id":"ITEM-2","itemData":{"DOI":"10.1016/0361-3682(93)E0001-W","ISSN":"03613682","abstract":"Changes in public sector accounting in a number of OECD countries over the 1980s were central to the rise of the \"New Public Management\" (NPM) and its associated doctrines of public accountability and organizational best practice. This paper discusses the rise of NPM as an alternative to the tradition of public accountability embodied in progressive-era public administration ideas. It argues that, in spite of allegations of internationalization and the adoption of a new global paradigm in public management, there was considerable variation in the extent to which different OECD countries adopted NPM over the 1980s. It further argues that conventional explanations of the rise of NPM (\"Englishness\", party political incumbency, economic performance record and government size) seem hard to sustain even from a relatively brief inspection of such cross-national data as are available, and that an explanation based on initial endowment may give us a different perspective on those changes. © 1995.","author":[{"dropping-particle":"","family":"Hood","given":"Christopher","non-dropping-particle":"","parse-names":false,"suffix":""}],"container-title":"Accounting, Organizations and Society","id":"ITEM-2","issue":"2/3","issued":{"date-parts":[["1995"]]},"page":"93-109","title":"The \"New Public Management\" in the 1980s: Variations on a theme","type":"article-journal","volume":"20"},"uris":["http://www.mendeley.com/documents/?uuid=7c2fc97b-7560-4c74-9a7c-9a0f44e73949"]},{"id":"ITEM-3","itemData":{"DOI":"10.1111/padm.12005","ISSN":"00333298","abstract":"Based on empirical research with two non-profit organizations, this article critiques structural explanations of non-profit service innovation, which portray innovation as a response to institutional contexts and downplay the power and role of human agents. We offer, instead, a conceptualization of non-profit innovation in which human agency - and its interplay with institutional logics - is an integral feature. Specifically, we outline the ways in which non-profit actors draw upon the competing institutional logics available to them to frame and serve their interests. We find that actors' assumptions and beliefs about the organization's role in the institutional field and the practice of normative, discursive work are central tenets of both the maintenance and transformation of institutions. We also find instances of service stability and service innovation ensuing from non-profit actors' agency in infusing organizational practices with interpretations and elaborations of institutional logics. © 2013 John Wiley &amp; Sons Ltd.","author":[{"dropping-particle":"","family":"Coule","given":"Tracey","non-dropping-particle":"","parse-names":false,"suffix":""},{"dropping-particle":"","family":"Patmore","given":"Beth","non-dropping-particle":"","parse-names":false,"suffix":""}],"container-title":"Public Administration","id":"ITEM-3","issue":"4","issued":{"date-parts":[["2013"]]},"page":"980-997","title":"Institutional logics, institutional work, and public service innovation in non-profit organizations","type":"article-journal","volume":"91"},"uris":["http://www.mendeley.com/documents/?uuid=5ee53fde-2479-4fb6-8060-8f41cf289650"]}],"mendeley":{"formattedCitation":"(Svärd, 2019; Coule &amp; Patmore, 2013; Hood, 1995)","plainTextFormattedCitation":"(Svärd, 2019; Coule &amp; Patmore, 2013; Hood, 1995)","previouslyFormattedCitation":"(Svärd, 2019; Coule &amp; Patmore, 2013; Hood, 1995)"},"properties":{"noteIndex":0},"schema":"https://github.com/citation-style-language/schema/raw/master/csl-citation.json"}</w:instrText>
      </w:r>
      <w:r>
        <w:rPr>
          <w:rFonts w:cs="Calibri"/>
          <w:color w:val="000000"/>
        </w:rPr>
        <w:fldChar w:fldCharType="separate"/>
      </w:r>
      <w:r>
        <w:rPr>
          <w:rFonts w:cs="Calibri"/>
          <w:noProof/>
        </w:rPr>
        <w:t>(Svärd, 2019; Coule &amp; Patmore, 2013; Hood, 1995)</w:t>
      </w:r>
      <w:r>
        <w:rPr>
          <w:rFonts w:cs="Calibri"/>
          <w:color w:val="000000"/>
        </w:rPr>
        <w:fldChar w:fldCharType="end"/>
      </w:r>
      <w:bookmarkEnd w:id="817"/>
      <w:r>
        <w:rPr>
          <w:rFonts w:cs="Calibri"/>
          <w:color w:val="000000"/>
        </w:rPr>
        <w:t xml:space="preserve">. However, this focus on finding and accessing the communities at risk appeared to link to the </w:t>
      </w:r>
      <w:r w:rsidR="00912954">
        <w:rPr>
          <w:rFonts w:cs="Calibri"/>
          <w:color w:val="000000"/>
        </w:rPr>
        <w:t>D</w:t>
      </w:r>
      <w:r w:rsidR="004F7B90">
        <w:rPr>
          <w:rFonts w:cs="Calibri"/>
          <w:color w:val="000000"/>
        </w:rPr>
        <w:t xml:space="preserve">eficit </w:t>
      </w:r>
      <w:r w:rsidR="00912954">
        <w:rPr>
          <w:rFonts w:cs="Calibri"/>
          <w:color w:val="000000"/>
        </w:rPr>
        <w:t>M</w:t>
      </w:r>
      <w:r w:rsidR="004F7B90">
        <w:rPr>
          <w:rFonts w:cs="Calibri"/>
          <w:color w:val="000000"/>
        </w:rPr>
        <w:t xml:space="preserve">odel </w:t>
      </w:r>
      <w:r>
        <w:rPr>
          <w:rFonts w:cs="Calibri"/>
          <w:color w:val="000000"/>
        </w:rPr>
        <w:t xml:space="preserve">of communication, with the notion that when they have been ‘found’ they can be given the information and will adapt and change their behaviour </w:t>
      </w:r>
      <w:r>
        <w:fldChar w:fldCharType="begin" w:fldLock="1"/>
      </w:r>
      <w:r w:rsidR="00974B75">
        <w:rPr>
          <w:rFonts w:cs="Calibri"/>
          <w:color w:val="000000"/>
        </w:rPr>
        <w:instrText>ADDIN CSL_CITATION {"citationItems":[{"id":"ITEM-1","itemData":{"DOI":"10.1016/j.proeng.2018.01.032","ISSN":"18777058","abstract":"The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Engineering","id":"ITEM-1","issued":{"date-parts":[["2018"]]},"page":"246-253","publisher":"Elsevier B.V.","title":"Conceptual Framework for Motivating Actions towards Disaster Preparedness Through Risk Communication","type":"article-journal","volume":"212"},"uris":["http://www.mendeley.com/documents/?uuid=01e245d0-867b-47cd-8164-80d2bc1d7862"]},{"id":"ITEM-2","itemData":{"DOI":"10.1016/j.gloenvcha.2019.03.001","ISSN":"09593780","abstract":"'Participation with publics' has been embraced in both government and academic literatures as a necessary but currently unrealized means of governing socio-environmental challenges. This near-universal embrace carries global significance. Long-standing efforts in the context of disaster risk reduction (DRR) provide an opportunity to consider how experts have positioned participation such that it can only fail to empower publics. Using interviews with risk managers, we demonstrate that they impose boundaries on participation via application of a deficit model (DM). Despite continuous calls to make governance more participatory, we explore how the boundaries imposed on participation persist because of how experts are expected to do risk management, and how experts understand their occupations. As a result, meaningful publics-experts interactions are bounded into impossibility. Following demonstration of the DM as the essence of how experts conceive experts-publics interactions, using experts' own suggestions for improving risk reduction, we suggest relationship building as a way of reinvigorating participation. We explore how disaster risk reduction grounded in relationships could overcome existing boundaries, offering an easily-applied reconceptualization for differentiating meaningful from superficial participation, as well as a viable alternative to prevailing participatory methods. Given the intransigence of countless socio-environmental challenges and the need for improved interactions amongst experts-publics, the findings offer a novel pathway that may open an avenue to realizing the promise of participation.","author":[{"dropping-particle":"","family":"Cook","given":"Brian R.","non-dropping-particle":"","parse-names":false,"suffix":""},{"dropping-particle":"","family":"Melo Zurita","given":"Maria de Lourdes","non-dropping-particle":"","parse-names":false,"suffix":""}],"container-title":"Global Environmental Change","id":"ITEM-2","issue":"May","issued":{"date-parts":[["2019"]]},"page":"56-65","publisher":"Elsevier Ltd","title":"Fulfilling the promise of participation by not resuscitating the deficit model","type":"article-journal","volume":"56"},"uris":["http://www.mendeley.com/documents/?uuid=de577b06-4442-4293-9291-43a20bc460b6"]},{"id":"ITEM-3","itemData":{"DOI":"10.1080/13669877.2020.1756385","ISSN":"14664461","abstract":"The emergence of the 2019 novel coronavirus has led to more than a pandemic—indeed, COVID-19 is spawning myriad other concerns as it rapidly marches around the globe. One of these concerns is a surge of misinformation, which we argue should be viewed as a risk in its own right, and to which insights from decades of risk communication research must be applied. Further, when the subject of misinformation is itself a risk, as in the case of COVID-19, we argue for the utility of viewing the problem as a multi-layered risk communication problem. In such circumstances, misinformation functions as a meta-risk that interacts with and complicates publics’ perceptions of the original risk. Therefore, as the COVID-19 “misinfodemic” intensifies, risk communication research should inform the efforts of key risk communicators. To this end, we discuss the implications of risk research for efforts to fact-check COVID-19 misinformation and offer practical recommendations.","author":[{"dropping-particle":"","family":"Krause","given":"Nicole M.","non-dropping-particle":"","parse-names":false,"suffix":""},{"dropping-particle":"","family":"Freiling","given":"Isabelle","non-dropping-particle":"","parse-names":false,"suffix":""},{"dropping-particle":"","family":"Beets","given":"Becca","non-dropping-particle":"","parse-names":false,"suffix":""},{"dropping-particle":"","family":"Brossard","given":"Dominique","non-dropping-particle":"","parse-names":false,"suffix":""}],"container-title":"Journal of Risk Research","id":"ITEM-3","issue":"7-8","issued":{"date-parts":[["2020"]]},"page":"1052-1059","publisher":"Routledge","title":"Fact-checking as risk communication: the multi-layered risk of misinformation in times of COVID-19","type":"article-journal","volume":"23"},"uris":["http://www.mendeley.com/documents/?uuid=26d3c928-b5da-4496-be25-28ce98d4ef48"]}],"mendeley":{"formattedCitation":"(Krause et al., 2020; Cook &amp; Melo Zurita, 2019; Abunyewah, Gajendran, &amp; Maund, 2018)","plainTextFormattedCitation":"(Krause et al., 2020; Cook &amp; Melo Zurita, 2019; Abunyewah, Gajendran, &amp; Maund, 2018)","previouslyFormattedCitation":"(Krause et al., 2020; Cook &amp; Melo Zurita, 2019; Abunyewah, Gajendran, &amp; Maund, 2018)"},"properties":{"noteIndex":0},"schema":"https://github.com/citation-style-language/schema/raw/master/csl-citation.json"}</w:instrText>
      </w:r>
      <w:r>
        <w:rPr>
          <w:rFonts w:cs="Calibri"/>
          <w:color w:val="000000"/>
        </w:rPr>
        <w:fldChar w:fldCharType="separate"/>
      </w:r>
      <w:r>
        <w:rPr>
          <w:rFonts w:cs="Calibri"/>
          <w:noProof/>
        </w:rPr>
        <w:t>(Krause et al., 2020; Cook &amp; Melo Zurita, 2019; Abunyewah, Gajendran, &amp; Maund, 2018)</w:t>
      </w:r>
      <w:r>
        <w:rPr>
          <w:rFonts w:cs="Calibri"/>
          <w:color w:val="000000"/>
        </w:rPr>
        <w:fldChar w:fldCharType="end"/>
      </w:r>
      <w:r>
        <w:rPr>
          <w:rFonts w:cs="Calibri"/>
          <w:color w:val="000000"/>
        </w:rPr>
        <w:t xml:space="preserve">. As the SM notes, this approach stops short of discussing the individual and community’s resilience but indicates that there is a desire (but no action) to speak to individuals in the community. This approach suggests that the SYFR are aiming to reduce risk (especially fires) without focusing on the root cause of the risk, which could be used to help build and maintain resilience. </w:t>
      </w:r>
    </w:p>
    <w:p w14:paraId="5700EE7C" w14:textId="77777777" w:rsidR="0013548C" w:rsidRDefault="0013548C" w:rsidP="00A015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716B1DD" w14:textId="1A6377DE" w:rsidR="00787F73" w:rsidRDefault="00742FB7" w:rsidP="008661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Pr>
          <w:rFonts w:cs="Calibri"/>
          <w:color w:val="000000"/>
        </w:rPr>
        <w:t xml:space="preserve">Once SYFR have the incident and MOSAIC data, they then creat a campaign plan </w:t>
      </w:r>
      <w:r>
        <w:rPr>
          <w:rFonts w:cs="Calibri"/>
        </w:rPr>
        <w:t>which sets out their aims and intended methods of communication. When the campaign has run its course, they then conduct an evaluation.</w:t>
      </w:r>
    </w:p>
    <w:p w14:paraId="2CB226A1" w14:textId="77777777" w:rsidR="00787F73" w:rsidRDefault="00787F73" w:rsidP="008661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Calibri"/>
        </w:rPr>
      </w:pPr>
    </w:p>
    <w:p w14:paraId="4980C2EF" w14:textId="77777777" w:rsidR="00787F73" w:rsidRDefault="00742FB7" w:rsidP="00866155">
      <w:pPr>
        <w:pStyle w:val="Heading6"/>
        <w:spacing w:line="360" w:lineRule="auto"/>
      </w:pPr>
      <w:bookmarkStart w:id="818" w:name="_Toc157971014"/>
      <w:bookmarkStart w:id="819" w:name="_Toc151905025"/>
      <w:bookmarkStart w:id="820" w:name="_Toc151994214"/>
      <w:r>
        <w:t>Vanity metrics and evaluation</w:t>
      </w:r>
      <w:bookmarkEnd w:id="818"/>
      <w:bookmarkEnd w:id="819"/>
      <w:bookmarkEnd w:id="820"/>
    </w:p>
    <w:p w14:paraId="6BC3197F" w14:textId="77777777" w:rsidR="00787F73" w:rsidRDefault="00742FB7" w:rsidP="00866155">
      <w:r>
        <w:rPr>
          <w:rFonts w:cs="Calibri"/>
        </w:rPr>
        <w:t xml:space="preserve">Throughout SYFR’s PIC design and delivery, there has been a focus on quantification, such as the use of incident data and the aim to target x number of people. This use of quantification continues in their evaluations of the campaigns. They did this in various ways, including the audience they reach, via social and traditional media, the impact of certain activities, as well as the impact to the numbers of incidents taking place in South Yorkshire during the campaign period, and use </w:t>
      </w:r>
      <w:r w:rsidR="00BC0904">
        <w:rPr>
          <w:rFonts w:cs="Calibri"/>
        </w:rPr>
        <w:t>these</w:t>
      </w:r>
      <w:r>
        <w:rPr>
          <w:rFonts w:cs="Calibri"/>
        </w:rPr>
        <w:t xml:space="preserve"> data to imply causation.  </w:t>
      </w:r>
    </w:p>
    <w:p w14:paraId="36B612B3" w14:textId="77777777" w:rsidR="00787F73" w:rsidRDefault="00787F73" w:rsidP="00866155">
      <w:pPr>
        <w:rPr>
          <w:rFonts w:cs="Calibri"/>
        </w:rPr>
      </w:pPr>
    </w:p>
    <w:p w14:paraId="01F836B8" w14:textId="77777777" w:rsidR="00787F73" w:rsidRDefault="00742FB7" w:rsidP="00866155">
      <w:pPr>
        <w:pStyle w:val="Heading6"/>
        <w:spacing w:line="360" w:lineRule="auto"/>
      </w:pPr>
      <w:bookmarkStart w:id="821" w:name="_heading=h.26in1rg"/>
      <w:bookmarkStart w:id="822" w:name="_Toc151994215"/>
      <w:bookmarkStart w:id="823" w:name="_Toc151905026"/>
      <w:bookmarkStart w:id="824" w:name="_Toc157971015"/>
      <w:bookmarkEnd w:id="821"/>
      <w:r>
        <w:lastRenderedPageBreak/>
        <w:t>Reach</w:t>
      </w:r>
      <w:bookmarkEnd w:id="822"/>
      <w:bookmarkEnd w:id="823"/>
      <w:bookmarkEnd w:id="824"/>
    </w:p>
    <w:p w14:paraId="2A57F495" w14:textId="77777777" w:rsidR="00787F73" w:rsidRDefault="00742FB7" w:rsidP="00866155">
      <w:r>
        <w:rPr>
          <w:rFonts w:cs="Calibri"/>
        </w:rPr>
        <w:t xml:space="preserve">One of the main measurements that SYFR used to evaluate the impact of their campaigns is how many people they were able to </w:t>
      </w:r>
      <w:r>
        <w:rPr>
          <w:rFonts w:cs="Calibri"/>
          <w:i/>
        </w:rPr>
        <w:t>reach</w:t>
      </w:r>
      <w:r>
        <w:rPr>
          <w:rFonts w:cs="Calibri"/>
        </w:rPr>
        <w:t xml:space="preserve">. For instance, in the Find the Time Campaign, which encouraged family members to speak to elderly relatives about fire safety, they wrote that they </w:t>
      </w:r>
      <w:r>
        <w:rPr>
          <w:rFonts w:cs="Calibri"/>
          <w:i/>
          <w:iCs/>
        </w:rPr>
        <w:t>reached</w:t>
      </w:r>
      <w:r>
        <w:rPr>
          <w:rFonts w:cs="Calibri"/>
        </w:rPr>
        <w:t xml:space="preserve"> 250,000 people across South Yorkshire, with a further 277,000 estimated people viewing a billboard on a busy road in Sheffield.  In the “Protect your Pets” campaign, which focused on electrical safety to keep pets safe, they stated that they </w:t>
      </w:r>
      <w:r>
        <w:rPr>
          <w:rFonts w:cs="Calibri"/>
          <w:i/>
          <w:iCs/>
        </w:rPr>
        <w:t>reached</w:t>
      </w:r>
      <w:r>
        <w:rPr>
          <w:rFonts w:cs="Calibri"/>
        </w:rPr>
        <w:t xml:space="preserve"> 182,000 people through traditional media. These campaign evaluations also included the figures from social media metrics, such as the Do Your Bit campaign that focused on summer fires, and they wrote that they </w:t>
      </w:r>
      <w:r>
        <w:rPr>
          <w:rFonts w:cs="Calibri"/>
          <w:i/>
          <w:iCs/>
        </w:rPr>
        <w:t>reached</w:t>
      </w:r>
      <w:r>
        <w:rPr>
          <w:rFonts w:cs="Calibri"/>
        </w:rPr>
        <w:t xml:space="preserve"> over 97,000 people on Facebook and 95,000 people on Twitter. The use of </w:t>
      </w:r>
      <w:r>
        <w:rPr>
          <w:rFonts w:cs="Calibri"/>
          <w:iCs/>
        </w:rPr>
        <w:t>reach</w:t>
      </w:r>
      <w:r>
        <w:rPr>
          <w:rFonts w:cs="Calibri"/>
        </w:rPr>
        <w:t xml:space="preserve"> is used for both social and more traditional medias (radio/billboards etc). </w:t>
      </w:r>
    </w:p>
    <w:p w14:paraId="0B4EB367" w14:textId="77777777" w:rsidR="00787F73" w:rsidRDefault="00787F73" w:rsidP="00866155">
      <w:pPr>
        <w:rPr>
          <w:rFonts w:cs="Calibri"/>
        </w:rPr>
      </w:pPr>
    </w:p>
    <w:p w14:paraId="65453488" w14:textId="73D1AAAE" w:rsidR="00787F73" w:rsidRDefault="00742FB7" w:rsidP="00866155">
      <w:r>
        <w:rPr>
          <w:rFonts w:cs="Calibri"/>
        </w:rPr>
        <w:t xml:space="preserve">These figures show the positivist approach to community engagement, namely counting a </w:t>
      </w:r>
      <w:r>
        <w:rPr>
          <w:rFonts w:cs="Calibri"/>
          <w:i/>
        </w:rPr>
        <w:t>reach</w:t>
      </w:r>
      <w:r>
        <w:rPr>
          <w:rFonts w:cs="Calibri"/>
        </w:rPr>
        <w:t xml:space="preserve"> as the completed engagement. Not only does this indicate the use of the </w:t>
      </w:r>
      <w:r w:rsidR="00912954">
        <w:rPr>
          <w:rFonts w:cs="Calibri"/>
        </w:rPr>
        <w:t>D</w:t>
      </w:r>
      <w:r w:rsidR="004F7B90">
        <w:rPr>
          <w:rFonts w:cs="Calibri"/>
        </w:rPr>
        <w:t xml:space="preserve">eficit </w:t>
      </w:r>
      <w:r w:rsidR="00912954">
        <w:rPr>
          <w:rFonts w:cs="Calibri"/>
        </w:rPr>
        <w:t>M</w:t>
      </w:r>
      <w:r w:rsidR="004F7B90">
        <w:rPr>
          <w:rFonts w:cs="Calibri"/>
        </w:rPr>
        <w:t xml:space="preserve">odel </w:t>
      </w:r>
      <w:r>
        <w:rPr>
          <w:rFonts w:cs="Calibri"/>
        </w:rPr>
        <w:t xml:space="preserve">to risk communication, and that once the message has been delivered to the intended audience then the risk is assumed to be removed, but it is also using flawed logic. </w:t>
      </w:r>
      <w:r w:rsidR="00E16D30">
        <w:rPr>
          <w:rFonts w:cs="Calibri"/>
        </w:rPr>
        <w:t>While</w:t>
      </w:r>
      <w:r>
        <w:rPr>
          <w:rFonts w:cs="Calibri"/>
        </w:rPr>
        <w:t xml:space="preserve">the campaigns could guess at engagement based on quantitative metrics, such as social media metrics, or even vehicles driving passed a billboard, they could not give an accurate account of the numbers of people who looked at the campaign material, mentally engaged with it, and then acted upon it. Drawing upon PMT theories, it is impossible to know if their messaging influenced their threat appraisal or coping appraisal </w:t>
      </w:r>
      <w:r>
        <w:fldChar w:fldCharType="begin" w:fldLock="1"/>
      </w:r>
      <w:r w:rsidR="00974B75">
        <w:rPr>
          <w:rFonts w:cs="Calibri"/>
        </w:rPr>
        <w:instrText>ADDIN CSL_CITATION {"citationItems":[{"id":"ITEM-1","itemData":{"DOI":"10.1007/s11069-017-3111-0","ISSN":"15730840","abstract":"Communicating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Hazards","id":"ITEM-1","issued":{"date-parts":[["2018"]]},"page":"1461-1483","title":"How does information affect fire risk reduction behaviors? Mediating effects of cognitive processes and subjective knowledge","type":"article-journal","volume":"90"},"uris":["http://www.mendeley.com/documents/?uuid=b253cc58-5f59-4b2e-9c77-76be2b2788b4"]},{"id":"ITEM-2","itemData":{"DOI":"10.1061/(asce)nh.1527-6996.0000294","ISBN":"0000000167","ISSN":"1527-6988","abstract":"©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Review","id":"ITEM-2","issue":"3","issued":{"date-parts":[["2018"]]},"page":"1 - 21","title":"Flood Risk Assessment, Future Trend Modeling, and Risk Communication: A Review of Ongoing Research","type":"article-journal","volume":"19"},"uris":["http://www.mendeley.com/documents/?uuid=72f77961-1216-4228-ab43-b36cf7f2e2d4"]},{"id":"ITEM-3","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Hazards","id":"ITEM-3","issued":{"date-parts":[["2018"]]},"page":"1665-1686","publisher":"Springer Netherlands","title":"Rethinking flood risk communication","type":"article-journal","volume":"92"},"uris":["http://www.mendeley.com/documents/?uuid=a75b9d7a-46e6-41f1-a446-75375a9342c5"]},{"id":"ITEM-4","itemData":{"DOI":"10.1080/19371918.2021.2018082","ISSN":"1937190X","PMID":"34962187","abstract":"COVID-19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Health","id":"ITEM-4","issue":"5","issued":{"date-parts":[["2022"]]},"page":"419-434","title":"An Integrated Approach to COVID-19 Preventive Behaviour Intentions: Protection Motivation Theory, Information Acquisition, and Trust","type":"article-journal","volume":"37"},"uris":["http://www.mendeley.com/documents/?uuid=8abd72eb-8ae4-4af7-9da1-be357bf94394"]},{"id":"ITEM-5","itemData":{"DOI":"10.1016/j.ijdrr.2021.102759","ISSN":"22124209","abstract":"The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Reduction","id":"ITEM-5","issued":{"date-parts":[["2022"]]},"page":"1 - 16","title":"Determination of factors affecting the response efficacy of Filipinos under Typhoon Conson 2021 (Jolina): An extended protection motivation theory approach","type":"article-journal","volume":"70"},"uris":["http://www.mendeley.com/documents/?uuid=df8c524a-2262-493d-9e98-6620d59903d4"]}],"mendeley":{"formattedCitation":"(Acar &amp; Kıcali, 2022; Gumasing et al., 2022; Liu &amp; Jiao, 2018; Rollason et al., 2018; Salman &amp; Li, 2018)","plainTextFormattedCitation":"(Acar &amp; Kıcali, 2022; Gumasing et al., 2022; Liu &amp; Jiao, 2018; Rollason et al., 2018; Salman &amp; Li, 2018)","previouslyFormattedCitation":"(Acar &amp; Kıcali, 2022; Gumasing et al., 2022; Liu &amp; Jiao, 2018; Rollason et al., 2018; Salman &amp; Li, 2018)"},"properties":{"noteIndex":0},"schema":"https://github.com/citation-style-language/schema/raw/master/csl-citation.json"}</w:instrText>
      </w:r>
      <w:r>
        <w:rPr>
          <w:rFonts w:cs="Calibri"/>
        </w:rPr>
        <w:fldChar w:fldCharType="separate"/>
      </w:r>
      <w:r>
        <w:rPr>
          <w:rFonts w:cs="Calibri"/>
          <w:noProof/>
        </w:rPr>
        <w:t>(Acar &amp; Kıcali, 2022; Gumasing et al., 2022; Liu &amp; Jiao, 2018; Rollason et al., 2018; Salman &amp; Li, 2018)</w:t>
      </w:r>
      <w:r>
        <w:rPr>
          <w:rFonts w:cs="Calibri"/>
        </w:rPr>
        <w:fldChar w:fldCharType="end"/>
      </w:r>
      <w:r>
        <w:rPr>
          <w:rFonts w:cs="Calibri"/>
        </w:rPr>
        <w:t>.</w:t>
      </w:r>
      <w:r>
        <w:rPr>
          <w:rFonts w:cs="Calibri"/>
          <w:highlight w:val="magenta"/>
        </w:rPr>
        <w:t xml:space="preserve"> </w:t>
      </w:r>
    </w:p>
    <w:p w14:paraId="2AFD3580" w14:textId="77777777" w:rsidR="00787F73" w:rsidRDefault="00787F73" w:rsidP="00866155">
      <w:pPr>
        <w:rPr>
          <w:rFonts w:cs="Calibri"/>
          <w:highlight w:val="magenta"/>
        </w:rPr>
      </w:pPr>
    </w:p>
    <w:p w14:paraId="4EFA3F26" w14:textId="4D8DC467" w:rsidR="00787F73" w:rsidRDefault="00E16D30"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cs="Calibri"/>
        </w:rPr>
        <w:t xml:space="preserve">While </w:t>
      </w:r>
      <w:r w:rsidR="00742FB7">
        <w:rPr>
          <w:rFonts w:cs="Calibri"/>
        </w:rPr>
        <w:t>they used this approach in every PIC evaluation I was given, they are aware of the issues with relying on these metrics:</w:t>
      </w:r>
    </w:p>
    <w:p w14:paraId="715571DD" w14:textId="77777777" w:rsidR="00787F73" w:rsidRDefault="00742FB7" w:rsidP="00866155">
      <w:pPr>
        <w:pStyle w:val="Quote"/>
        <w:spacing w:line="360" w:lineRule="auto"/>
        <w:jc w:val="both"/>
      </w:pPr>
      <w:r>
        <w:rPr>
          <w:rFonts w:cs="Calibri"/>
          <w:szCs w:val="24"/>
        </w:rPr>
        <w:t>“Whilst reach metrics alone are not an indication of success, they give a rough indication of how far our messages have got” (Protect Your Pets Evaluation document, 2019; page 3)</w:t>
      </w:r>
    </w:p>
    <w:p w14:paraId="75FE1C0D" w14:textId="77777777" w:rsidR="00787F73" w:rsidRDefault="00742FB7" w:rsidP="00866155">
      <w:pPr>
        <w:pStyle w:val="Quote"/>
        <w:spacing w:line="360" w:lineRule="auto"/>
        <w:jc w:val="both"/>
      </w:pPr>
      <w:r>
        <w:rPr>
          <w:rFonts w:cs="Calibri"/>
          <w:szCs w:val="24"/>
        </w:rPr>
        <w:lastRenderedPageBreak/>
        <w:t>“We also set out to measure reach figures. Whilst these do not give an indication to campaign success, they help us ensure we’re on track.” (Stand By Your Pans Evaluation document, 2020; page 3)</w:t>
      </w:r>
    </w:p>
    <w:p w14:paraId="308706CD" w14:textId="77777777"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cs="Calibri"/>
        </w:rPr>
        <w:t xml:space="preserve">These quotes indicate that they were aware of the </w:t>
      </w:r>
      <w:r w:rsidR="00F84689">
        <w:rPr>
          <w:rFonts w:cs="Calibri"/>
        </w:rPr>
        <w:t>weakness</w:t>
      </w:r>
      <w:r>
        <w:rPr>
          <w:rFonts w:cs="Calibri"/>
        </w:rPr>
        <w:t xml:space="preserve"> of using reach metrics, however, they are still using them as an indication of success. This perhaps suggests the presence of a social media logic </w:t>
      </w:r>
      <w:r>
        <w:fldChar w:fldCharType="begin" w:fldLock="1"/>
      </w:r>
      <w:r>
        <w:rPr>
          <w:rFonts w:cs="Calibri"/>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Pr>
          <w:rFonts w:cs="Calibri"/>
        </w:rPr>
        <w:fldChar w:fldCharType="separate"/>
      </w:r>
      <w:r>
        <w:rPr>
          <w:rFonts w:cs="Calibri"/>
          <w:noProof/>
          <w:color w:val="000000"/>
        </w:rPr>
        <w:t>(van Dijck &amp; Poell, 2013)</w:t>
      </w:r>
      <w:r>
        <w:rPr>
          <w:rFonts w:cs="Calibri"/>
        </w:rPr>
        <w:fldChar w:fldCharType="end"/>
      </w:r>
      <w:r>
        <w:rPr>
          <w:rFonts w:cs="Calibri"/>
        </w:rPr>
        <w:t xml:space="preserve"> encouraging the datafication of social processes such as community engagement, and NPM logics of performance indicators </w:t>
      </w:r>
      <w:r>
        <w:fldChar w:fldCharType="begin" w:fldLock="1"/>
      </w:r>
      <w:r w:rsidR="00974B75">
        <w:rPr>
          <w:rFonts w:cs="Calibri"/>
        </w:rPr>
        <w:instrText>ADDIN CSL_CITATION {"citationItems":[{"id":"ITEM-1","itemData":{"DOI":"http://dx.doi.org/10.1108/MRR-09-2015-0216","ISBN":"0001253111116","ISSN":"0264-0473","PMID":"42012058","abstract":"Abstract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Journal","id":"ITEM-1","issue":"1/2","issued":{"date-parts":[["2019"]]},"page":"134-151","title":"The impact of new public management through outsourcing on the management of government information: The case of Sweden","type":"article-journal","volume":"29"},"uris":["http://www.mendeley.com/documents/?uuid=4524732a-155c-4c93-922f-cd3a912b45c2"]},{"id":"ITEM-2","itemData":{"DOI":"10.1016/0361-3682(93)E0001-W","ISSN":"03613682","abstract":"Changes in public sector accounting in a number of OECD countries over the 1980s were central to the rise of the \"New Public Management\" (NPM) and its associated doctrines of public accountability and organizational best practice. This paper discusses the rise of NPM as an alternative to the tradition of public accountability embodied in progressive-era public administration ideas. It argues that, in spite of allegations of internationalization and the adoption of a new global paradigm in public management, there was considerable variation in the extent to which different OECD countries adopted NPM over the 1980s. It further argues that conventional explanations of the rise of NPM (\"Englishness\", party political incumbency, economic performance record and government size) seem hard to sustain even from a relatively brief inspection of such cross-national data as are available, and that an explanation based on initial endowment may give us a different perspective on those changes. © 1995.","author":[{"dropping-particle":"","family":"Hood","given":"Christopher","non-dropping-particle":"","parse-names":false,"suffix":""}],"container-title":"Accounting, Organizations and Society","id":"ITEM-2","issue":"2/3","issued":{"date-parts":[["1995"]]},"page":"93-109","title":"The \"New Public Management\" in the 1980s: Variations on a theme","type":"article-journal","volume":"20"},"uris":["http://www.mendeley.com/documents/?uuid=7c2fc97b-7560-4c74-9a7c-9a0f44e73949"]},{"id":"ITEM-3","itemData":{"DOI":"10.1111/padm.12005","ISSN":"00333298","abstract":"Based on empirical research with two non-profit organizations, this article critiques structural explanations of non-profit service innovation, which portray innovation as a response to institutional contexts and downplay the power and role of human agents. We offer, instead, a conceptualization of non-profit innovation in which human agency - and its interplay with institutional logics - is an integral feature. Specifically, we outline the ways in which non-profit actors draw upon the competing institutional logics available to them to frame and serve their interests. We find that actors' assumptions and beliefs about the organization's role in the institutional field and the practice of normative, discursive work are central tenets of both the maintenance and transformation of institutions. We also find instances of service stability and service innovation ensuing from non-profit actors' agency in infusing organizational practices with interpretations and elaborations of institutional logics. © 2013 John Wiley &amp; Sons Ltd.","author":[{"dropping-particle":"","family":"Coule","given":"Tracey","non-dropping-particle":"","parse-names":false,"suffix":""},{"dropping-particle":"","family":"Patmore","given":"Beth","non-dropping-particle":"","parse-names":false,"suffix":""}],"container-title":"Public Administration","id":"ITEM-3","issue":"4","issued":{"date-parts":[["2013"]]},"page":"980-997","title":"Institutional logics, institutional work, and public service innovation in non-profit organizations","type":"article-journal","volume":"91"},"uris":["http://www.mendeley.com/documents/?uuid=5ee53fde-2479-4fb6-8060-8f41cf289650"]}],"mendeley":{"formattedCitation":"(Svärd, 2019; Coule &amp; Patmore, 2013; Hood, 1995)","plainTextFormattedCitation":"(Svärd, 2019; Coule &amp; Patmore, 2013; Hood, 1995)","previouslyFormattedCitation":"(Svärd, 2019; Coule &amp; Patmore, 2013; Hood, 1995)"},"properties":{"noteIndex":0},"schema":"https://github.com/citation-style-language/schema/raw/master/csl-citation.json"}</w:instrText>
      </w:r>
      <w:r>
        <w:rPr>
          <w:rFonts w:cs="Calibri"/>
        </w:rPr>
        <w:fldChar w:fldCharType="separate"/>
      </w:r>
      <w:r>
        <w:rPr>
          <w:rFonts w:cs="Calibri"/>
          <w:noProof/>
        </w:rPr>
        <w:t>(Svärd, 2019; Coule &amp; Patmore, 2013; Hood, 1995)</w:t>
      </w:r>
      <w:r>
        <w:rPr>
          <w:rFonts w:cs="Calibri"/>
        </w:rPr>
        <w:fldChar w:fldCharType="end"/>
      </w:r>
      <w:r>
        <w:rPr>
          <w:rFonts w:cs="Calibri"/>
        </w:rPr>
        <w:t>.</w:t>
      </w:r>
    </w:p>
    <w:p w14:paraId="471CA57D" w14:textId="77777777" w:rsidR="00787F73" w:rsidRDefault="00787F73"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Calibri"/>
          <w:highlight w:val="magenta"/>
        </w:rPr>
      </w:pPr>
    </w:p>
    <w:p w14:paraId="31057D09" w14:textId="77777777"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cs="Calibri"/>
        </w:rPr>
        <w:t>The reach metrics are also linked to operational metrics, such as the numbers of home safety visit referrals. For the Find the Time campaign, they estimated that they had reached 813,000 people through traditional media advertising and social media, which reportedly resulted in 1697 home safety checks referrals by the public, and 2433 referrals from partner agencies (more than a 43% increase on the previous year’s comparable figure). This showed that their campaign resulted in a 41% increase in home safety checks completed, which had been an aim of the campaign. However, it is difficult to ascertain whether these home safety checks were prompted by the campaign, or other events, as the evaluation did not explain how they linked these two metrics.</w:t>
      </w:r>
    </w:p>
    <w:p w14:paraId="3A9A86D4" w14:textId="77777777" w:rsidR="00787F73" w:rsidRDefault="00787F73"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Calibri"/>
        </w:rPr>
      </w:pPr>
    </w:p>
    <w:p w14:paraId="55335492" w14:textId="77777777"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cs="Calibri"/>
        </w:rPr>
        <w:t xml:space="preserve">The figures for the Find the Time campaign also indicate that their larger number of referrals were from partner agencies. This indicates that in the case of reaching older adults, it was more efficient to target their colleagues working within other agencies and organisations. This highlights the importance and benefits of linking social capital </w:t>
      </w:r>
      <w:r>
        <w:fldChar w:fldCharType="begin" w:fldLock="1"/>
      </w:r>
      <w:r>
        <w:rPr>
          <w:rFonts w:cs="Calibri"/>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India","type":"article-journal","volume":"19"},"uris":["http://www.mendeley.com/documents/?uuid=d8bcf27c-1efc-4c15-8204-cd8b37719dd2"]}],"mendeley":{"formattedCitation":"(Sanyal &amp; Routray, 2016)","plainTextFormattedCitation":"(Sanyal &amp; Routray, 2016)","previouslyFormattedCitation":"(Sanyal &amp; Routray, 2016)"},"properties":{"noteIndex":0},"schema":"https://github.com/citation-style-language/schema/raw/master/csl-citation.json"}</w:instrText>
      </w:r>
      <w:r>
        <w:rPr>
          <w:rFonts w:cs="Calibri"/>
        </w:rPr>
        <w:fldChar w:fldCharType="separate"/>
      </w:r>
      <w:r>
        <w:rPr>
          <w:rFonts w:cs="Calibri"/>
          <w:noProof/>
        </w:rPr>
        <w:t>(Sanyal &amp; Routray, 2016)</w:t>
      </w:r>
      <w:r>
        <w:rPr>
          <w:rFonts w:cs="Calibri"/>
        </w:rPr>
        <w:fldChar w:fldCharType="end"/>
      </w:r>
      <w:r>
        <w:rPr>
          <w:rFonts w:cs="Calibri"/>
        </w:rPr>
        <w:t>, not only between communities and organisations, but also between organisations, and the collaborative approach required to work towards prevention, and community resilience more widely.</w:t>
      </w:r>
    </w:p>
    <w:p w14:paraId="2D4051E9" w14:textId="77777777" w:rsidR="00787F73" w:rsidRDefault="00787F73"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Calibri"/>
        </w:rPr>
      </w:pPr>
    </w:p>
    <w:p w14:paraId="17932E90" w14:textId="77777777" w:rsidR="00787F73" w:rsidRDefault="00742FB7" w:rsidP="00866155">
      <w:pPr>
        <w:pStyle w:val="Heading5"/>
        <w:spacing w:line="360" w:lineRule="auto"/>
      </w:pPr>
      <w:bookmarkStart w:id="825" w:name="_heading=h.lnxbz9"/>
      <w:bookmarkStart w:id="826" w:name="_Toc151905027"/>
      <w:bookmarkStart w:id="827" w:name="_Toc157971016"/>
      <w:bookmarkStart w:id="828" w:name="_Toc151994216"/>
      <w:bookmarkEnd w:id="825"/>
      <w:r>
        <w:t>A reduction in fires: correlation or causation?</w:t>
      </w:r>
      <w:bookmarkEnd w:id="826"/>
      <w:bookmarkEnd w:id="827"/>
      <w:bookmarkEnd w:id="828"/>
    </w:p>
    <w:p w14:paraId="046E18C4" w14:textId="77777777"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cs="Calibri"/>
        </w:rPr>
        <w:t>The main metric that SYFR used to not only plan campaigns, but also to evaluate them, is incident numbers and whether the campaign led to a reduction in fires across South Yorkshire</w:t>
      </w:r>
      <w:r>
        <w:rPr>
          <w:rFonts w:cs="Calibri"/>
          <w:b/>
        </w:rPr>
        <w:t xml:space="preserve">. </w:t>
      </w:r>
      <w:r>
        <w:rPr>
          <w:rFonts w:cs="Calibri"/>
        </w:rPr>
        <w:t xml:space="preserve">SYFR used incident data to evaluate their campaigns, focusing on whether the </w:t>
      </w:r>
      <w:r>
        <w:rPr>
          <w:rFonts w:cs="Calibri"/>
        </w:rPr>
        <w:lastRenderedPageBreak/>
        <w:t>incident numbers have remained the same, increased or decreased. The</w:t>
      </w:r>
      <w:r>
        <w:rPr>
          <w:rFonts w:cs="Calibri"/>
          <w:i/>
          <w:iCs/>
        </w:rPr>
        <w:t xml:space="preserve"> Protect your Pets </w:t>
      </w:r>
      <w:r>
        <w:rPr>
          <w:rFonts w:cs="Calibri"/>
        </w:rPr>
        <w:t xml:space="preserve">campaign reported that there were nine fewer electrical house fires during the months that the campaign was active compared to the year before, linking their campaign to the reduction of fires. For the </w:t>
      </w:r>
      <w:r>
        <w:rPr>
          <w:rFonts w:cs="Calibri"/>
          <w:i/>
          <w:iCs/>
        </w:rPr>
        <w:t>Find the Time</w:t>
      </w:r>
      <w:r>
        <w:rPr>
          <w:rFonts w:cs="Calibri"/>
        </w:rPr>
        <w:t xml:space="preserve"> campaign they reported there were only 45 dwelling fires involving older adults, which was the same as the previous year. SYFR use these quantifiable measures to explain the impact of the campaign, however, this can often mislead. The </w:t>
      </w:r>
      <w:r>
        <w:rPr>
          <w:rFonts w:cs="Calibri"/>
          <w:i/>
          <w:iCs/>
        </w:rPr>
        <w:t xml:space="preserve">Stand By Your Pan </w:t>
      </w:r>
      <w:r>
        <w:rPr>
          <w:rFonts w:cs="Calibri"/>
        </w:rPr>
        <w:t>campaign noted a 3% reduction in kitchen fires, when it was only a reduction of two fires against the previous year. In their evaluation they noted:</w:t>
      </w:r>
    </w:p>
    <w:p w14:paraId="0EB8D180" w14:textId="77777777" w:rsidR="00787F73" w:rsidRDefault="00787F73"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Calibri"/>
        </w:rPr>
      </w:pPr>
    </w:p>
    <w:p w14:paraId="6349DB1D" w14:textId="77777777"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Pr>
          <w:rFonts w:cs="Calibri"/>
        </w:rPr>
        <w:t>“</w:t>
      </w:r>
      <w:r>
        <w:rPr>
          <w:rStyle w:val="QuoteChar"/>
          <w:rFonts w:cs="Calibri"/>
        </w:rPr>
        <w:t xml:space="preserve">With accidental dwelling fires now at the lowest number since records began to reduce incident numbers, or maintain them, is a good achievement” </w:t>
      </w:r>
      <w:r>
        <w:rPr>
          <w:rFonts w:eastAsia="Calibri" w:cs="Calibri"/>
        </w:rPr>
        <w:t>(Stand</w:t>
      </w:r>
      <w:r>
        <w:rPr>
          <w:rFonts w:cs="Calibri"/>
        </w:rPr>
        <w:t xml:space="preserve"> by Your Pan).</w:t>
      </w:r>
    </w:p>
    <w:p w14:paraId="2367C98B" w14:textId="77777777" w:rsidR="00787F73" w:rsidRDefault="00787F73"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Calibri"/>
        </w:rPr>
      </w:pPr>
    </w:p>
    <w:p w14:paraId="5FABA373" w14:textId="77777777" w:rsidR="00787F73" w:rsidRDefault="00742FB7" w:rsidP="00866155">
      <w:r>
        <w:rPr>
          <w:rFonts w:cs="Calibri"/>
        </w:rPr>
        <w:t>These figures and quote highlight how SYFR used a reduction in the incident data to assume that their campaigns led to a reduction in fires, however, this is impossible to know. This focus on numbers of incidents does not focus on the reasons for the people of South Yorkshire’s increased risk perception, namely whether through viewing or engaging with SYFR campaign material they have increased their perception of risk to certain fires. The reduction in incidents could have been due to more modern and safer technologies being developed, or the reduction in smoker status in the UK, and not have anything to do with people’s perception of risk to fire. To find out this information, there would need to be more targeted qualitative work to better assess community members sense and perception of risk. However, with funding to the public sector continuing to be cut, this work would be difficult to justify, due to the increased cost of this level of engagement. This suggests a hierarchy in the institutional drivers and logics which influence the SYFR Communications team, with the statutory obligation to reduce fire and the NPM logic to quantify both outweighing the community logics (discussed in greater detail in RQ2).</w:t>
      </w:r>
    </w:p>
    <w:p w14:paraId="56AA5754" w14:textId="77777777" w:rsidR="00787F73" w:rsidRDefault="00787F73" w:rsidP="00866155">
      <w:pPr>
        <w:spacing w:after="160"/>
        <w:rPr>
          <w:rFonts w:cs="Calibri"/>
        </w:rPr>
      </w:pPr>
    </w:p>
    <w:p w14:paraId="5FE52893" w14:textId="77777777" w:rsidR="00787F73" w:rsidRDefault="00742FB7" w:rsidP="00866155">
      <w:pPr>
        <w:pStyle w:val="Heading2"/>
      </w:pPr>
      <w:bookmarkStart w:id="829" w:name="_Hlk161675562"/>
      <w:bookmarkStart w:id="830" w:name="_Toc151994217"/>
      <w:bookmarkStart w:id="831" w:name="_Toc157971017"/>
      <w:bookmarkStart w:id="832" w:name="_Toc151994226"/>
      <w:bookmarkStart w:id="833" w:name="_Toc151905028"/>
      <w:bookmarkStart w:id="834" w:name="_Toc157970789"/>
      <w:bookmarkStart w:id="835" w:name="_Toc153554354"/>
      <w:bookmarkStart w:id="836" w:name="_Toc193367239"/>
      <w:bookmarkEnd w:id="829"/>
      <w:r>
        <w:t>4.4:  Discussion &amp; Conclusion</w:t>
      </w:r>
      <w:bookmarkEnd w:id="830"/>
      <w:bookmarkEnd w:id="831"/>
      <w:bookmarkEnd w:id="832"/>
      <w:bookmarkEnd w:id="833"/>
      <w:bookmarkEnd w:id="834"/>
      <w:bookmarkEnd w:id="835"/>
      <w:bookmarkEnd w:id="836"/>
    </w:p>
    <w:p w14:paraId="7552814A" w14:textId="1A6018A5" w:rsidR="00787F73" w:rsidRPr="0025240F" w:rsidRDefault="00742FB7" w:rsidP="00866155">
      <w:pPr>
        <w:rPr>
          <w:rFonts w:cs="Calibri"/>
        </w:rPr>
      </w:pPr>
      <w:r w:rsidRPr="0025240F">
        <w:rPr>
          <w:rFonts w:cs="Calibri"/>
        </w:rPr>
        <w:t xml:space="preserve">This chapter focused on answering the first research question: what is SYFR’s communication strategy for building community disaster resilience? </w:t>
      </w:r>
      <w:r w:rsidR="00624117">
        <w:rPr>
          <w:rFonts w:cs="Calibri"/>
        </w:rPr>
        <w:t>It</w:t>
      </w:r>
      <w:r w:rsidRPr="0025240F">
        <w:rPr>
          <w:rFonts w:cs="Calibri"/>
        </w:rPr>
        <w:t xml:space="preserve"> aimed to examine SYFR’s communication strategy, and did this by first exploring the organisation’s </w:t>
      </w:r>
      <w:r w:rsidRPr="0025240F">
        <w:rPr>
          <w:rFonts w:cs="Calibri"/>
        </w:rPr>
        <w:lastRenderedPageBreak/>
        <w:t xml:space="preserve">understanding of community resilience, and then by looking at how SYFR actively engage with the citizens of South Yorkshire. This research question was important to examine for two reasons: to understand SYFR’s communication aims; and to understand how they viewed and understood their work contextually within both disaster management and the resilience sector. This worked towards the overall aim of the thesis: to critically evaluate the use of social media and its ability to develop community disaster resilience (CDR) by examining how they currently communicate and whether their communication can be linked to community disaster resilience. </w:t>
      </w:r>
    </w:p>
    <w:p w14:paraId="7936F7AE" w14:textId="77777777" w:rsidR="0021630D" w:rsidRPr="0025240F" w:rsidRDefault="0021630D" w:rsidP="00866155">
      <w:pPr>
        <w:rPr>
          <w:rFonts w:cs="Calibri"/>
        </w:rPr>
      </w:pPr>
    </w:p>
    <w:p w14:paraId="4CC8BB88" w14:textId="1F05066E" w:rsidR="00787F73" w:rsidRPr="0025240F" w:rsidRDefault="00742FB7" w:rsidP="00866155">
      <w:pPr>
        <w:rPr>
          <w:rFonts w:cs="Calibri"/>
        </w:rPr>
      </w:pPr>
      <w:r w:rsidRPr="0025240F">
        <w:rPr>
          <w:rFonts w:cs="Calibri"/>
        </w:rPr>
        <w:t xml:space="preserve">Using an institutional ethnographic approach, the interview data suggested that SYFR did not have a definition of resilience, but focused on prevention, and therefore they did not explicitly work towards building resilience. However, they did view greater resilience as an outcome of their prevention work, with the view that educating the communities on fire prevention would make them more resilient. </w:t>
      </w:r>
      <w:r w:rsidR="0021630D">
        <w:rPr>
          <w:rFonts w:cs="Calibri"/>
        </w:rPr>
        <w:t xml:space="preserve">This was examined in section 4.2.1 which discussed the inherent link between resilience, preparedness, and prevention. </w:t>
      </w:r>
      <w:r w:rsidR="00E16D30" w:rsidRPr="0025240F">
        <w:rPr>
          <w:rFonts w:cs="Calibri"/>
        </w:rPr>
        <w:t>Whil</w:t>
      </w:r>
      <w:r w:rsidR="00E16D30">
        <w:rPr>
          <w:rFonts w:cs="Calibri"/>
        </w:rPr>
        <w:t xml:space="preserve">e </w:t>
      </w:r>
      <w:r w:rsidRPr="0025240F">
        <w:rPr>
          <w:rFonts w:cs="Calibri"/>
        </w:rPr>
        <w:t xml:space="preserve">local knowledge through training and education is viewed as an element of building resilience </w:t>
      </w:r>
      <w:r w:rsidRPr="0025240F">
        <w:rPr>
          <w:rFonts w:cs="Calibri"/>
        </w:rPr>
        <w:fldChar w:fldCharType="begin" w:fldLock="1"/>
      </w:r>
      <w:r w:rsidR="00974B75" w:rsidRPr="0025240F">
        <w:rPr>
          <w:rFonts w:cs="Calibri"/>
        </w:rPr>
        <w:instrText>ADDIN CSL_CITATION {"citationItems":[{"id":"ITEM-1","itemData":{"DOI":"10.1371/currents.dis.db775aff25efc5ac4f0660ad9c9f7db2","ISSN":"2157-3999","abstract":"Background: Government, industry and charitable organisations have an increasing focus on programs intended to support community resilience to disasters. But has consensus been reached as to what defines 'community resilience' and what its core characteristics are? Methods: We undertook a systematic literature review of definitions of community resilience related to disasters. We conducted an inductive thematic analysis of the definitions and descriptions that we identified, in order to determine the proposed characteristics of community resilience prior to, during and after a disaster. Results: We identified 80 relevant papers. There was no evidence of a common, agreed definition of community resilience. In spite of this, evidence was found of nine core elements of community resilience that were common among the definitions. The core elements were: local knowledge, community networks and relationships, communication, health, governance and leadership, resources, economic investment, preparedness, and mental outlook. Within these core elements, we identified 19 sub-elements linked to community resilience. Conclusion: Our findings show that community resilience remains an amorphous concept that is understood and applied differently by different research groups. Yet in spite of the differences in conception and application, there are well-understood elements that are widely proposed as important for a resilient community. A focus on these individual elements may be more productive than attempting to define and study community resilience as a distinct concept. Tweet Patel SS, Rogers MB, Amlôt R, Rubin GJ. What Do We Mean by 'Community Resilience'? A","author":[{"dropping-particle":"","family":"Patel","given":"Sonny S","non-dropping-particle":"","parse-names":false,"suffix":""},{"dropping-particle":"","family":"Rogers","given":"M Brooke","non-dropping-particle":"","parse-names":false,"suffix":""},{"dropping-particle":"","family":"Amlôt","given":"Richard","non-dropping-particle":"","parse-names":false,"suffix":""},{"dropping-particle":"","family":"Rubin","given":"G James","non-dropping-particle":"","parse-names":false,"suffix":""}],"container-title":"PLoS currents","id":"ITEM-1","issued":{"date-parts":[["2017"]]},"page":"1-22","title":"What Do We Mean by 'Community Resilience'? A Systematic Literature Review of How It Is Defined in the Literature","type":"article-journal","volume":"9"},"uris":["http://www.mendeley.com/documents/?uuid=8b7e845a-0cc5-4c23-b38e-826bdf09e29d"]}],"mendeley":{"formattedCitation":"(Patel et al., 2017)","plainTextFormattedCitation":"(Patel et al., 2017)","previouslyFormattedCitation":"(Patel et al., 2017)"},"properties":{"noteIndex":0},"schema":"https://github.com/citation-style-language/schema/raw/master/csl-citation.json"}</w:instrText>
      </w:r>
      <w:r w:rsidRPr="0025240F">
        <w:rPr>
          <w:rFonts w:cs="Calibri"/>
        </w:rPr>
        <w:fldChar w:fldCharType="separate"/>
      </w:r>
      <w:r w:rsidRPr="0025240F">
        <w:rPr>
          <w:rFonts w:cs="Calibri"/>
          <w:noProof/>
        </w:rPr>
        <w:t>(Patel et al., 2017)</w:t>
      </w:r>
      <w:r w:rsidRPr="0025240F">
        <w:rPr>
          <w:rFonts w:cs="Calibri"/>
        </w:rPr>
        <w:fldChar w:fldCharType="end"/>
      </w:r>
      <w:r w:rsidRPr="0025240F">
        <w:rPr>
          <w:rFonts w:cs="Calibri"/>
        </w:rPr>
        <w:t xml:space="preserve">, it is more complex than providing the information and expecting behaviour change, as discussed in the critiques of the </w:t>
      </w:r>
      <w:r w:rsidR="00912954">
        <w:rPr>
          <w:rFonts w:cs="Calibri"/>
        </w:rPr>
        <w:t>D</w:t>
      </w:r>
      <w:r w:rsidR="004F7B90" w:rsidRPr="0025240F">
        <w:rPr>
          <w:rFonts w:cs="Calibri"/>
        </w:rPr>
        <w:t xml:space="preserve">eficit </w:t>
      </w:r>
      <w:r w:rsidR="00912954">
        <w:rPr>
          <w:rFonts w:cs="Calibri"/>
        </w:rPr>
        <w:t>M</w:t>
      </w:r>
      <w:r w:rsidR="004F7B90" w:rsidRPr="0025240F">
        <w:rPr>
          <w:rFonts w:cs="Calibri"/>
        </w:rPr>
        <w:t>odel</w:t>
      </w:r>
      <w:r w:rsidRPr="0025240F">
        <w:rPr>
          <w:rFonts w:cs="Calibri"/>
        </w:rPr>
        <w:t>. The focus on prevention shows a strong regulative institutional driver, namely the FRS Act (2004), which focuses on the prevention of fires (discussed in more detail in chapter 5).</w:t>
      </w:r>
    </w:p>
    <w:p w14:paraId="4BCF2AD8" w14:textId="77777777" w:rsidR="00787F73" w:rsidRPr="0025240F" w:rsidRDefault="00787F73" w:rsidP="00866155">
      <w:pPr>
        <w:rPr>
          <w:rFonts w:cs="Calibri"/>
        </w:rPr>
      </w:pPr>
    </w:p>
    <w:p w14:paraId="65AB8386" w14:textId="546A7F59" w:rsidR="00624117" w:rsidRDefault="00742FB7" w:rsidP="00866155">
      <w:pPr>
        <w:rPr>
          <w:rFonts w:cs="Calibri"/>
        </w:rPr>
      </w:pPr>
      <w:r w:rsidRPr="0025240F">
        <w:rPr>
          <w:rFonts w:cs="Calibri"/>
        </w:rPr>
        <w:t>In section 4.2.1, I discussed the use of an analytical lens focusing on resilience, and whether it was appropriate given the focus on prevention. In this section, I noted that SYFR had actively designed this project, meaning that whil</w:t>
      </w:r>
      <w:r w:rsidR="00E16D30">
        <w:rPr>
          <w:rFonts w:cs="Calibri"/>
        </w:rPr>
        <w:t>e</w:t>
      </w:r>
      <w:r w:rsidRPr="0025240F">
        <w:rPr>
          <w:rFonts w:cs="Calibri"/>
        </w:rPr>
        <w:t xml:space="preserve"> resilience was not currently used within their everyday operational language, there was a drive to work more towards resilience. This created a contribution not only to the transdisciplinary literature, but also to SYFR</w:t>
      </w:r>
      <w:r w:rsidR="0025240F">
        <w:rPr>
          <w:rFonts w:cs="Calibri"/>
        </w:rPr>
        <w:t>’s</w:t>
      </w:r>
      <w:r w:rsidRPr="0025240F">
        <w:rPr>
          <w:rFonts w:cs="Calibri"/>
        </w:rPr>
        <w:t xml:space="preserve"> policy and practice, through working with SYFR to examine how their work aids resilience, and therefore how it can be adapted to further support communities. Section 4.2.1 also noted how the disaster management sector rarely, if ever, defines resilience, with the ISO documentation and CCA (2004) not using</w:t>
      </w:r>
      <w:r>
        <w:rPr>
          <w:rFonts w:cs="Calibri"/>
        </w:rPr>
        <w:t xml:space="preserve"> a specific resilience definition; this again provides a contribution to the resilience literature and</w:t>
      </w:r>
      <w:r w:rsidR="00845D2C">
        <w:rPr>
          <w:rFonts w:cs="Calibri"/>
        </w:rPr>
        <w:t xml:space="preserve"> potentially to the</w:t>
      </w:r>
      <w:r>
        <w:rPr>
          <w:rFonts w:cs="Calibri"/>
        </w:rPr>
        <w:t xml:space="preserve"> wider disaster management policy arena through noting that there is a lack of clarity within the institutional language </w:t>
      </w:r>
      <w:r>
        <w:rPr>
          <w:rFonts w:cs="Calibri"/>
        </w:rPr>
        <w:lastRenderedPageBreak/>
        <w:t xml:space="preserve">and wider political rhetoric surrounding community resilience. This suggests that the challenge of defining resilience is not unique to SYFR, but to the wider institution of the FRS and the disaster management practitioner field. </w:t>
      </w:r>
    </w:p>
    <w:p w14:paraId="7FE18A76" w14:textId="77777777" w:rsidR="00624117" w:rsidRDefault="00624117" w:rsidP="00866155">
      <w:pPr>
        <w:rPr>
          <w:rFonts w:cs="Calibri"/>
        </w:rPr>
      </w:pPr>
    </w:p>
    <w:p w14:paraId="0A89C875" w14:textId="77777777" w:rsidR="00787F73" w:rsidRPr="0025240F" w:rsidRDefault="00742FB7" w:rsidP="00866155">
      <w:r>
        <w:rPr>
          <w:rFonts w:cs="Calibri"/>
        </w:rPr>
        <w:t xml:space="preserve">Using Scott’s pillars approach to institutional theory (regulative, normative, and cultural cognitive) </w:t>
      </w:r>
      <w:r>
        <w:fldChar w:fldCharType="begin" w:fldLock="1"/>
      </w:r>
      <w:r w:rsidR="00974B75">
        <w:rPr>
          <w:rFonts w:cs="Calibri"/>
        </w:rPr>
        <w:instrText>ADDIN CSL_CITATION {"citationItems":[{"id":"ITEM-1","itemData":{"DOI":"10.1108/S0277-2833(2010)0000021006","ISBN":"0000021008","ISSN":"02772833","abstract":"Social science attention to the distinctive role played by the professions\\nin modern society dates, at least, from the 1930s, beginning with\\nthe pioneering research of Carr-Saunders and Wilson (1933) and the\\ntheorizing of Parsons (1939). A considerable body of work was produced\\nwell into the 1960s, most of which embraced what was subsequently\\ntermed a functionalist approach. It was argued that in return for\\nemploying their specialized knowledge in the client's interest, professionals\\nwere ceded the right to set standards of training and practice and\\nto exercise autonomy of decision making in their spheres of competence\\n(e.g., Goode, 1957; Goss, 1961; Greenwood, 1957; Hughes, 1958b).\\nConsiderable effort was expended in differentiating between more-\\nand less-fully developed types of professions (e.g., Etzioni, 1969;\\nScott, 1965), as well as identifying the stages and strategies by\\nwhich professions acquired their distinctive features and status\\n(e.g., Abbott, 1988; Freidson, 1986; Wilensky, 1964).","author":[{"dropping-particle":"","family":"Scott","given":"W. Richard","non-dropping-particle":"","parse-names":false,"suffix":""}],"container-title":"Institutions and Entrepreneurship (Research in the Sociology of Work, Vol. 21)","editor":[{"dropping-particle":"","family":"Wesley D. Sine","given":"Robert J. David","non-dropping-particle":"","parse-names":false,"suffix":""}],"id":"ITEM-1","issued":{"date-parts":[["2010"]]},"page":"27-49","publisher":"Emerald Group Publishing Limited","publisher-place":"Leeds","title":"Entrepreneurs and professionals: The mediating role of institutions","type":"chapter"},"uris":["http://www.mendeley.com/documents/?uuid=8748eab4-c587-451c-8f5e-723bdb377cea"]},{"id":"ITEM-2","itemData":{"DOI":"10.1111/joms.12070","ISBN":"7804923325","ISSN":"14676486","abstract":"In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Studies","id":"ITEM-2","issue":"7","issued":{"date-parts":[["2014"]]},"page":"1206-1220","title":"Rethinking institutions and organizations","type":"article-journal","volume":"51"},"uris":["http://www.mendeley.com/documents/?uuid=0af2a191-4e5d-48b8-8f8d-ce7200539d20"]},{"id":"ITEM-3","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Practice","id":"ITEM-3","issue":"3","issued":{"date-parts":[["2010"]]},"page":"421-440","title":"Institutional theory and entrepreneurship: Where are we now and where do we need to move in the future?","type":"article-journal","volume":"34"},"uris":["http://www.mendeley.com/documents/?uuid=e36ff41e-f87e-4ac2-ad15-cf1983b501ae"]},{"id":"ITEM-4","itemData":{"DOI":"10.1177/0170840607088151","ISBN":"0170-8406","ISSN":"01708406","PMID":"31323064","abstract":"More so than other types of social actors, the professions in modern society have assumed leading roles in the creation and tending of institutions. They are the preeminent institutional agents of our time. Different professions work in various ways: some attempt to create general cultural-cognitive frameworks; others to devise normative pre- scriptions to guide behavior; and still others to exercise coercive authority. Also, indi- vidual professionals assume varying roles within their professional community: some concentrate on devising and testing general principles, others transport these ideas to varying communities; and still others work to apply the principles to individual cases. Professions themselves adhere to an institutional model, but this model has undergone important changes over time.","author":[{"dropping-particle":"","family":"Scott","given":"W. Richard","non-dropping-particle":"","parse-names":false,"suffix":""}],"container-title":"Organization Studies","id":"ITEM-4","issue":"2","issued":{"date-parts":[["2008"]]},"page":"219-238","title":"Lords of the dance: Professionals as institutional agents","type":"article-journal","volume":"29"},"uris":["http://www.mendeley.com/documents/?uuid=08afe149-5ce2-4fa3-a5be-8ece63af6202"]},{"id":"ITEM-5","itemData":{"author":[{"dropping-particle":"","family":"Scott","given":"W. R.","non-dropping-particle":"","parse-names":false,"suffix":""}],"chapter-number":"22","container-title":"Great Minds in Management: The Process of Theory Development","editor":[{"dropping-particle":"","family":"Smith","given":"Ken G.","non-dropping-particle":"","parse-names":false,"suffix":""},{"dropping-particle":"","family":"Hitt","given":"Michael A.","non-dropping-particle":"","parse-names":false,"suffix":""}],"id":"ITEM-5","issued":{"date-parts":[["2005"]]},"page":"460-484","publisher":"Oxford University Press","publisher-place":"Oxford","title":"Institutional theory: Contributing to a theoretical research program","type":"chapter"},"uris":["http://www.mendeley.com/documents/?uuid=8de1c0a6-4550-442d-8529-9841b65f3d92"]}],"mendeley":{"formattedCitation":"(Greenwood, Hinings, &amp; Whetten, 2014; Bruton, Ahlstrom, &amp; Li, 2010; Scott, 2005, 2008b, 2010a)","plainTextFormattedCitation":"(Greenwood, Hinings, &amp; Whetten, 2014; Bruton, Ahlstrom, &amp; Li, 2010; Scott, 2005, 2008b, 2010a)","previouslyFormattedCitation":"(Greenwood, Hinings, &amp; Whetten, 2014; Bruton, Ahlstrom, &amp; Li, 2010; Scott, 2005, 2008b, 2010a)"},"properties":{"noteIndex":0},"schema":"https://github.com/citation-style-language/schema/raw/master/csl-citation.json"}</w:instrText>
      </w:r>
      <w:r>
        <w:rPr>
          <w:rFonts w:cs="Calibri"/>
        </w:rPr>
        <w:fldChar w:fldCharType="separate"/>
      </w:r>
      <w:r>
        <w:rPr>
          <w:rFonts w:cs="Calibri"/>
          <w:noProof/>
        </w:rPr>
        <w:t>(Greenwood, Hinings, &amp; Whetten, 2014; Bruton, Ahlstrom, &amp; Li, 2010; Scott, 2005, 2008b, 2010a)</w:t>
      </w:r>
      <w:r>
        <w:rPr>
          <w:rFonts w:cs="Calibri"/>
        </w:rPr>
        <w:fldChar w:fldCharType="end"/>
      </w:r>
      <w:r>
        <w:rPr>
          <w:rFonts w:cs="Calibri"/>
        </w:rPr>
        <w:t xml:space="preserve">, one can view the lack of definition as a constriction of the institution, or the potential for institutional agency. If the institution has strict regulative or normative expectations for organisations, it can limit how the organisation and individuals </w:t>
      </w:r>
      <w:r w:rsidRPr="0025240F">
        <w:rPr>
          <w:rFonts w:cs="Calibri"/>
        </w:rPr>
        <w:t xml:space="preserve">work within the logic. However, institutions are socially constructed and are constantly in a state of flux </w:t>
      </w:r>
      <w:r w:rsidRPr="0025240F">
        <w:fldChar w:fldCharType="begin" w:fldLock="1"/>
      </w:r>
      <w:r w:rsidR="00E37B0E">
        <w:rPr>
          <w:rFonts w:cs="Calibri"/>
        </w:rPr>
        <w:instrText>ADDIN CSL_CITATION {"citationItems":[{"id":"ITEM-1","itemData":{"DOI":"10.1111/joms.12124","ISSN":"14676486","abstract":"Multinational enterprises (MNEs) operate in complex transnational organizational fields with multiple, diverse, and possibly conflicting institutional forces. This paper examines how such complex environments affect a firm's adoption of Corporate Social Responsibility (CSR) practices. To capture the effect of transnational fields, we consider the institutional influences of all country environments to which the firm is linked through its portfolio of operations and propose that these effects will be weighted depending on their relative salience. We identify a set of factors that make certain pressures more salient than others, including firm's economic dependence on a particular country, heterogeneity of institutional forces within the firm's transnational field, exposure to leading countries with more stringent CSR templates, and intensity and commitment to particular economic linkages (i.e., foreign direct investment versus international trade). Our hypotheses are tested and supported in a study of 710 US MNEs from 2007 to 2011 with global ties to over 100 countries.","author":[{"dropping-particle":"","family":"Marano","given":"Valentina","non-dropping-particle":"","parse-names":false,"suffix":""},{"dropping-particle":"","family":"Kostova","given":"Tatiana","non-dropping-particle":"","parse-names":false,"suffix":""}],"container-title":"Journal of Management Studies","id":"ITEM-1","issue":"1","issued":{"date-parts":[["2016"]]},"page":"28-54","title":"Unpacking the Institutional Complexity in Adoption of CSR Practices in Multinational Enterprises","type":"article-journal","volume":"53"},"uris":["http://www.mendeley.com/documents/?uuid=ded94b6d-fc3a-4b3c-b1d9-4f3038f2d4c1"]},{"id":"ITEM-2","itemData":{"DOI":"10.1057/jit.2009.11","ISSN":"02683962","abstract":"Institutional theory has proven to be a central analytical perspective for investigating the role of social and historical structures of information systems (IS) implementation. However, it does not explicitly account for how organisational actors make sense of and enact technologies in their local context. We address this limitation by exploring the potential of using institutional theory with sensemaking theory to study IS implementation in organisations. We argue that each theoretical perspective has its own explanatory power and that a combination of the two facilitates a much richer interpretation of IS implementation by linking macro- and micro-levels of analysis. To illustrate this, we report from an empirical study of the implementation of an Electronic Patient Record (EPR) system in a clinical setting. Using key constructs from the two theories, our findings address the phenomenon of implementing EPRs at three levels: the organisational field, the organisational/group, and the individual/socio-cognitive level. The study shows how a rationalised myth of an efficient EPR system has travelled from the organisational field to the hospital ward and on to individual doctors. The findings also provide evidence of a strong human agency by showing how doctors enact their work practices and shape the use of the EPR system. The study contributes to IS research by showing the need to address macro-level structures, as well as individual interpretations and practical use situations, in order to identify how and why information systems are adopted by users. © 2009 JIT Palgrave Macmillan All rights reserved.","author":[{"dropping-particle":"","family":"Jensen","given":"Tina Blegind","non-dropping-particle":"","parse-names":false,"suffix":""},{"dropping-particle":"","family":"Kjærgaard","given":"Annemette","non-dropping-particle":"","parse-names":false,"suffix":""},{"dropping-particle":"","family":"Svejvig","given":"Per","non-dropping-particle":"","parse-names":false,"suffix":""}],"container-title":"Journal of Information Technology","id":"ITEM-2","issue":"4","issued":{"date-parts":[["2009"]]},"page":"343-353","title":"Using institutional theory with sensemaking theory: A case study of information system implementation in healthcare","type":"article-journal","volume":"24"},"uris":["http://www.mendeley.com/documents/?uuid=ce64e0bb-77bf-416f-b59c-b4bbd65a84e8"]},{"id":"ITEM-3","itemData":{"author":[{"dropping-particle":"","family":"Besharov","given":"Marya L.","non-dropping-particle":"","parse-names":false,"suffix":""},{"dropping-particle":"","family":"Smith","given":"Wendy K.","non-dropping-particle":"","parse-names":false,"suffix":""}],"container-title":"The Academy of Management Review","id":"ITEM-3","issue":"3","issued":{"date-parts":[["2014"]]},"page":"364-381","title":"Multiple Institutional Logics In Organizations: Explaining Their Varied Nature And Implications","type":"article-journal","volume":"39"},"uris":["http://www.mendeley.com/documents/?uuid=57cbbf37-05be-48a2-ad9d-1095a2aeb8e5"]},{"id":"ITEM-4","itemData":{"DOI":"10.1111/j.1467-9299.2012.02105.x","ISBN":"00014273","ISSN":"0170-8406","PMID":"18837629","abstract":"Over recent decades, a number of managerial reform initiatives in continental Europe have aimed at moving away from the traditional Weberian model of public administration. Such shifting bases of legitimacy are brought about by changes in the institutional logics in place, which not only provide frames of reference but also social identities and vocabularies of motive for the actors in the field. In this article, we approach the expanding research on public service motivation (PSM) by employing an institutional prism. Based on an executive survey in a continental European context, we examine the assumption that high PSM is associated with the traditional ethos and social identity in the public sector. What we find is that a Weberian legalistic-bureaucratic logic supports neither a high attraction to policy-making nor a high level of compassion. A managerial orientation, on the other hand, entails significantly higher scores on these two dimensions, as well as on overall PSM.","author":[{"dropping-particle":"","family":"Dacin","given":"M Tina","non-dropping-particle":"","parse-names":false,"suffix":""},{"dropping-particle":"","family":"Goodstein","given":"Jerry","non-dropping-particle":"","parse-names":false,"suffix":""},{"dropping-particle":"","family":"Scott","given":"W Richard","non-dropping-particle":"","parse-names":false,"suffix":""}],"container-title":"The Academy of Management Journal","id":"ITEM-4","issue":"1","issued":{"date-parts":[["2002"]]},"page":"45-56","title":"Institutional Theory and Institutional Change: Introduction to the Special Research Forum","type":"article-journal","volume":"45"},"uris":["http://www.mendeley.com/documents/?uuid=ce784237-38a8-4089-a19f-9157aeaf33bb"]},{"id":"ITEM-5","itemData":{"DOI":"10.1093/acprof","ISBN":"9780199682676","ISSN":"0873626X","PMID":"16683413","abstract":"This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-5","issued":{"date-parts":[["2012"]]},"publisher":"Oxford Acdemic","publisher-place":"Oxford","title":"The Institutional Logics Perspective: A New Approach to Culture, Structure and Process","type":"book"},"uris":["http://www.mendeley.com/documents/?uuid=7afe7588-cd0b-4a95-b78a-3214c1130169"]},{"id":"ITEM-6","itemData":{"DOI":"10.1177/2631787720960487","ISSN":"26317877","abstract":"The institutional logics perspective has the explanatory power and potential to further contribute to our understanding of some of the most pressing societal concerns of our time. In this article, we develop the logics perspective along four analytical dimensions – macro-level positioning, contextuality, temporality and value plurality – which, we argue, can be leveraged to research and address grand challenges. We elaborate the currency of these dimensions in the context of the grand challenge of climate change. In doing so, we demonstrate the overall value of a logics perspective for engaging grand challenges.","author":[{"dropping-particle":"","family":"Gümüsay","given":"Ali Aslan","non-dropping-particle":"","parse-names":false,"suffix":""},{"dropping-particle":"","family":"Claus","given":"Laura","non-dropping-particle":"","parse-names":false,"suffix":""},{"dropping-particle":"","family":"Amis","given":"John","non-dropping-particle":"","parse-names":false,"suffix":""}],"container-title":"Organization Theory","id":"ITEM-6","issue":"3","issued":{"date-parts":[["2020"]]},"page":"1 - 20","title":"Engaging with Grand Challenges: An Institutional Logics Perspective","type":"article-journal","volume":"1"},"uris":["http://www.mendeley.com/documents/?uuid=dacf5638-66f7-4439-89e3-4c36bebc3e96"]}],"mendeley":{"formattedCitation":"(Gümüsay, Claus, &amp; Amis, 2020; Marano &amp; Kostova, 2016; Besharov &amp; Smith, 2014; Thornton, Ocasio, &amp; Lounsbury, 2012; Jensen, Kjærgaard, &amp; Svejvig, 2009; Dacin, Goodstein, &amp; Scott, 2002)","plainTextFormattedCitation":"(Gümüsay, Claus, &amp; Amis, 2020; Marano &amp; Kostova, 2016; Besharov &amp; Smith, 2014; Thornton, Ocasio, &amp; Lounsbury, 2012; Jensen, Kjærgaard, &amp; Svejvig, 2009; Dacin, Goodstein, &amp; Scott, 2002)","previouslyFormattedCitation":"(Gümüsay, Claus, &amp; Amis, 2020; Marano &amp; Kostova, 2016; Besharov &amp; Smith, 2014; Thornton, Ocasio, &amp; Lounsbury, 2012; Jensen, Kjærgaard, &amp; Svejvig, 2009; Dacin, Goodstein, &amp; Scott, 2002)"},"properties":{"noteIndex":0},"schema":"https://github.com/citation-style-language/schema/raw/master/csl-citation.json"}</w:instrText>
      </w:r>
      <w:r w:rsidRPr="0025240F">
        <w:rPr>
          <w:rFonts w:cs="Calibri"/>
        </w:rPr>
        <w:fldChar w:fldCharType="separate"/>
      </w:r>
      <w:r w:rsidR="007C12EC" w:rsidRPr="007C12EC">
        <w:rPr>
          <w:rFonts w:cs="Calibri"/>
          <w:noProof/>
        </w:rPr>
        <w:t>(Gümüsay, Claus, &amp; Amis, 2020; Marano &amp; Kostova, 2016; Besharov &amp; Smith, 2014; Thornton, Ocasio, &amp; Lounsbury, 2012; Jensen, Kjærgaard, &amp; Svejvig, 2009; Dacin, Goodstein, &amp; Scott, 2002)</w:t>
      </w:r>
      <w:r w:rsidRPr="0025240F">
        <w:rPr>
          <w:rFonts w:cs="Calibri"/>
        </w:rPr>
        <w:fldChar w:fldCharType="end"/>
      </w:r>
      <w:r w:rsidRPr="0025240F">
        <w:rPr>
          <w:rFonts w:cs="Calibri"/>
        </w:rPr>
        <w:t>. Th</w:t>
      </w:r>
      <w:r w:rsidRPr="0025240F">
        <w:t xml:space="preserve">erefore, </w:t>
      </w:r>
      <w:r w:rsidRPr="0025240F">
        <w:rPr>
          <w:rFonts w:cs="Calibri"/>
        </w:rPr>
        <w:t xml:space="preserve">with no clear definition or institutional approach, there is a potential for SYFR to choose their definition of resilience, and use their institutional agency to influence wider institution of the FRS and the disaster management institution </w:t>
      </w:r>
      <w:r w:rsidRPr="0025240F">
        <w:fldChar w:fldCharType="begin" w:fldLock="1"/>
      </w:r>
      <w:r w:rsidR="00974B75" w:rsidRPr="0025240F">
        <w:rPr>
          <w:rFonts w:cs="Calibri"/>
        </w:rPr>
        <w:instrText>ADDIN CSL_CITATION {"citationItems":[{"id":"ITEM-1","itemData":{"DOI":"10.1108/S0733-558X(2013)0039A&amp;B015","ISSN":"0733558X","abstract":"This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Organizations","id":"ITEM-1","issue":"B","issued":{"date-parts":[["2013"]]},"page":"37-61","publisher":"Emerald Group Publishing Limited","title":"Institutional ambidexterity: Leveraging institutional complexity in practice","type":"article-journal","volume":"39"},"uris":["http://www.mendeley.com/documents/?uuid=ff8dc873-f050-4c05-bdec-08925d6e6ab8"]},{"id":"ITEM-2","itemData":{"DOI":"10.1177/1476127015625040","author":[{"dropping-particle":"","family":"Ocasio","given":"William","non-dropping-particle":"","parse-names":false,"suffix":""},{"dropping-particle":"","family":"Radoynovska","given":"Nevena","non-dropping-particle":"","parse-names":false,"suffix":""}],"container-title":"Strategic Organization","id":"ITEM-2","issue":"4","issued":{"date-parts":[["2016"]]},"page":"287 - 309","title":"Strategy and commitments to institutional logics : Organizational heterogeneity in business models and governance","type":"article-journal","volume":"14"},"uris":["http://www.mendeley.com/documents/?uuid=eede86b6-3a39-4b52-acc9-94e8cc3fbd5e"]}],"mendeley":{"formattedCitation":"(Ocasio &amp; Radoynovska, 2016; Jarzabkowski et al., 2013)","plainTextFormattedCitation":"(Ocasio &amp; Radoynovska, 2016; Jarzabkowski et al., 2013)","previouslyFormattedCitation":"(Ocasio &amp; Radoynovska, 2016; Jarzabkowski et al., 2013)"},"properties":{"noteIndex":0},"schema":"https://github.com/citation-style-language/schema/raw/master/csl-citation.json"}</w:instrText>
      </w:r>
      <w:r w:rsidRPr="0025240F">
        <w:rPr>
          <w:rFonts w:cs="Calibri"/>
        </w:rPr>
        <w:fldChar w:fldCharType="separate"/>
      </w:r>
      <w:r w:rsidRPr="0025240F">
        <w:rPr>
          <w:rFonts w:cs="Calibri"/>
          <w:noProof/>
        </w:rPr>
        <w:t>(Ocasio &amp; Radoynovska, 2016; Jarzabkowski et al., 2013)</w:t>
      </w:r>
      <w:r w:rsidRPr="0025240F">
        <w:rPr>
          <w:rFonts w:cs="Calibri"/>
        </w:rPr>
        <w:fldChar w:fldCharType="end"/>
      </w:r>
      <w:r w:rsidRPr="0025240F">
        <w:rPr>
          <w:rFonts w:cs="Calibri"/>
        </w:rPr>
        <w:t>. This draws on the institutional pluralism literature</w:t>
      </w:r>
      <w:r w:rsidRPr="0025240F">
        <w:rPr>
          <w:rStyle w:val="CommentReference"/>
          <w:sz w:val="24"/>
          <w:szCs w:val="24"/>
        </w:rPr>
        <w:t>,</w:t>
      </w:r>
      <w:r w:rsidRPr="0025240F">
        <w:rPr>
          <w:rFonts w:cs="Calibri"/>
        </w:rPr>
        <w:t xml:space="preserve"> and whether a new resilience logic would combine or conflict with the existing institutional drivers of SYFR; this will be discussed in greater detail in section 5.5.</w:t>
      </w:r>
    </w:p>
    <w:p w14:paraId="62DBE015" w14:textId="77777777" w:rsidR="00787F73" w:rsidRPr="0025240F" w:rsidRDefault="00787F73" w:rsidP="00866155">
      <w:pPr>
        <w:rPr>
          <w:rFonts w:cs="Calibri"/>
        </w:rPr>
      </w:pPr>
    </w:p>
    <w:p w14:paraId="28306C95" w14:textId="2C89D082" w:rsidR="00787F73" w:rsidRDefault="00E16D30" w:rsidP="00866155">
      <w:pPr>
        <w:rPr>
          <w:rFonts w:cs="Calibri"/>
        </w:rPr>
      </w:pPr>
      <w:r w:rsidRPr="0025240F">
        <w:rPr>
          <w:rFonts w:cs="Calibri"/>
        </w:rPr>
        <w:t>Whil</w:t>
      </w:r>
      <w:r>
        <w:rPr>
          <w:rFonts w:cs="Calibri"/>
        </w:rPr>
        <w:t>e</w:t>
      </w:r>
      <w:r w:rsidRPr="0025240F">
        <w:rPr>
          <w:rFonts w:cs="Calibri"/>
        </w:rPr>
        <w:t xml:space="preserve"> </w:t>
      </w:r>
      <w:r w:rsidR="00742FB7" w:rsidRPr="0025240F">
        <w:rPr>
          <w:rFonts w:cs="Calibri"/>
        </w:rPr>
        <w:t xml:space="preserve">SYFR did not explicitly aim for community resilience, their strategy and operations worked towards elements of community resilience, with each department working in a slightly different way. The BCR team focused on the high-level community resilience, creating plans for a range of risks across South Yorkshire. </w:t>
      </w:r>
      <w:r w:rsidRPr="0025240F">
        <w:rPr>
          <w:rFonts w:cs="Calibri"/>
        </w:rPr>
        <w:t>Whil</w:t>
      </w:r>
      <w:r>
        <w:rPr>
          <w:rFonts w:cs="Calibri"/>
        </w:rPr>
        <w:t>e</w:t>
      </w:r>
      <w:r w:rsidRPr="0025240F">
        <w:rPr>
          <w:rFonts w:cs="Calibri"/>
        </w:rPr>
        <w:t xml:space="preserve"> </w:t>
      </w:r>
      <w:r w:rsidR="00742FB7" w:rsidRPr="0025240F">
        <w:rPr>
          <w:rFonts w:cs="Calibri"/>
        </w:rPr>
        <w:t xml:space="preserve">they were working within resilience, their strategy predominantly focused on operational resilience, ensuring that in a major incident SYFR would be able to respond to communities in need; this again highlights an institutional regulative driver by the CCA (2004) </w:t>
      </w:r>
      <w:r w:rsidR="00742FB7" w:rsidRPr="0025240F">
        <w:t xml:space="preserve">which focuses on SYFR’s resilience within </w:t>
      </w:r>
      <w:r w:rsidR="00F84689" w:rsidRPr="0025240F">
        <w:rPr>
          <w:rFonts w:cs="Calibri"/>
        </w:rPr>
        <w:t xml:space="preserve">their operational </w:t>
      </w:r>
      <w:r w:rsidR="00742FB7" w:rsidRPr="0025240F">
        <w:t>response</w:t>
      </w:r>
      <w:r w:rsidR="00742FB7" w:rsidRPr="0025240F">
        <w:rPr>
          <w:rFonts w:cs="Calibri"/>
        </w:rPr>
        <w:t>. However, in their work creating resilience plans, the communities are not included in the creation or dissemination of SYFR’s plan</w:t>
      </w:r>
      <w:r w:rsidR="00624117">
        <w:rPr>
          <w:rFonts w:cs="Calibri"/>
        </w:rPr>
        <w:t>.</w:t>
      </w:r>
      <w:r w:rsidR="00742FB7" w:rsidRPr="0025240F">
        <w:rPr>
          <w:rFonts w:cs="Calibri"/>
        </w:rPr>
        <w:t xml:space="preserve"> </w:t>
      </w:r>
      <w:r w:rsidR="00624117">
        <w:rPr>
          <w:rFonts w:cs="Calibri"/>
        </w:rPr>
        <w:t>This</w:t>
      </w:r>
      <w:r w:rsidR="00624117" w:rsidRPr="0025240F">
        <w:rPr>
          <w:rFonts w:cs="Calibri"/>
        </w:rPr>
        <w:t xml:space="preserve"> </w:t>
      </w:r>
      <w:r w:rsidR="00742FB7" w:rsidRPr="0025240F">
        <w:rPr>
          <w:rFonts w:cs="Calibri"/>
        </w:rPr>
        <w:t xml:space="preserve">means that they were unaware of risks in their area, and are therefore very low down Arnstein’s </w:t>
      </w:r>
      <w:r>
        <w:rPr>
          <w:rFonts w:cs="Calibri"/>
        </w:rPr>
        <w:t>L</w:t>
      </w:r>
      <w:r w:rsidR="00742FB7" w:rsidRPr="0025240F">
        <w:rPr>
          <w:rFonts w:cs="Calibri"/>
        </w:rPr>
        <w:t xml:space="preserve">adder of </w:t>
      </w:r>
      <w:r>
        <w:rPr>
          <w:rFonts w:cs="Calibri"/>
        </w:rPr>
        <w:t>P</w:t>
      </w:r>
      <w:r w:rsidR="00742FB7" w:rsidRPr="0025240F">
        <w:rPr>
          <w:rFonts w:cs="Calibri"/>
        </w:rPr>
        <w:t xml:space="preserve">articipation </w:t>
      </w:r>
      <w:r w:rsidR="00742FB7" w:rsidRPr="0025240F">
        <w:fldChar w:fldCharType="begin" w:fldLock="1"/>
      </w:r>
      <w:r w:rsidR="00742FB7" w:rsidRPr="0025240F">
        <w:rPr>
          <w:rFonts w:cs="Calibri"/>
        </w:rPr>
        <w:instrText>ADDIN CSL_CITATION {"citationItems":[{"id":"ITEM-1","itemData":{"DOI":"10.1080/01944366908977225","ISBN":"0002-8991","ISSN":"01944363","PMID":"9871","abstract":"Abstract The heated controversy over ?citizen participation,? ?citizen control?, and ?maximum feasible involvement of the poor,? has been waged largely in terms of exacerbated rhetoric and misleading euphemisms. To encourage a more enlightened dialogue, a typology of citizen participation is offered using examples from three federal social programs: urban renewal, anti-poverty, and Model Cities. The typology, which is designed to be provocative, is arranged in a ladder pattern with each rung corresponding to the extent of citizens' power in determining the plan and/or program. Abstract The heated controversy over ?citizen participation,? ?citizen control?, and ?maximum feasible involvement of the poor,? has been waged largely in terms of exacerbated rhetoric and misleading euphemisms. To encourage a more enlightened dialogue, a typology of citizen participation is offered using examples from three federal social programs: urban renewal, anti-poverty, and Model Cities. The typology, which is designed to be provocative, is arranged in a ladder pattern with each rung corresponding to the extent of citizens' power in determining the plan and/or program.","author":[{"dropping-particle":"","family":"Arnstein","given":"Sherry R.","non-dropping-particle":"","parse-names":false,"suffix":""}],"container-title":"Journal of the American Institute of Planners","id":"ITEM-1","issue":"4","issued":{"date-parts":[["1969"]]},"page":"216-224","title":"A Ladder Of Citizen Participation","type":"article-journal","volume":"35"},"uris":["http://www.mendeley.com/documents/?uuid=722d0a20-1906-4f55-980c-d7ca16560fd6"]}],"mendeley":{"formattedCitation":"(Arnstein, 1969)","plainTextFormattedCitation":"(Arnstein, 1969)","previouslyFormattedCitation":"(Arnstein, 1969)"},"properties":{"noteIndex":0},"schema":"https://github.com/citation-style-language/schema/raw/master/csl-citation.json"}</w:instrText>
      </w:r>
      <w:r w:rsidR="00742FB7" w:rsidRPr="0025240F">
        <w:rPr>
          <w:rFonts w:cs="Calibri"/>
        </w:rPr>
        <w:fldChar w:fldCharType="separate"/>
      </w:r>
      <w:r w:rsidR="00742FB7" w:rsidRPr="0025240F">
        <w:rPr>
          <w:rFonts w:cs="Calibri"/>
          <w:noProof/>
        </w:rPr>
        <w:t>(Arnstein, 1969)</w:t>
      </w:r>
      <w:r w:rsidR="00742FB7" w:rsidRPr="0025240F">
        <w:rPr>
          <w:rFonts w:cs="Calibri"/>
        </w:rPr>
        <w:fldChar w:fldCharType="end"/>
      </w:r>
      <w:r w:rsidR="00742FB7" w:rsidRPr="0025240F">
        <w:rPr>
          <w:rFonts w:cs="Calibri"/>
        </w:rPr>
        <w:t xml:space="preserve"> (Figure 5, page 44). The statutory obligations under the CCA (2004) are for the LRF and local authorities to create and communicate surrounding a community risk register. However, this does not include the specifics of response, and in </w:t>
      </w:r>
      <w:r w:rsidR="00742FB7" w:rsidRPr="0025240F">
        <w:rPr>
          <w:rFonts w:cs="Calibri"/>
        </w:rPr>
        <w:lastRenderedPageBreak/>
        <w:t xml:space="preserve">practice this communication and campaigning is not as prevalent as the LRF’s operational obligations. Using PMT, this means that the communities are unable to develop a threat or coping appraisal, meaning that they are unable to adapt their behaviour to build their individual or community resilience to the threat. </w:t>
      </w:r>
    </w:p>
    <w:p w14:paraId="56B17B04" w14:textId="77777777" w:rsidR="004F6AAA" w:rsidRPr="0025240F" w:rsidRDefault="004F6AAA" w:rsidP="00866155"/>
    <w:p w14:paraId="0EF57CF6" w14:textId="27422518" w:rsidR="00787F73" w:rsidRPr="0025240F" w:rsidRDefault="00E16D30" w:rsidP="00866155">
      <w:r w:rsidRPr="0025240F">
        <w:rPr>
          <w:rFonts w:cs="Calibri"/>
        </w:rPr>
        <w:t>Whil</w:t>
      </w:r>
      <w:r>
        <w:rPr>
          <w:rFonts w:cs="Calibri"/>
        </w:rPr>
        <w:t xml:space="preserve">e </w:t>
      </w:r>
      <w:r w:rsidR="00742FB7" w:rsidRPr="0025240F">
        <w:rPr>
          <w:rFonts w:cs="Calibri"/>
        </w:rPr>
        <w:t xml:space="preserve">the BCR team </w:t>
      </w:r>
      <w:r w:rsidR="00624117">
        <w:rPr>
          <w:rFonts w:cs="Calibri"/>
        </w:rPr>
        <w:t>do</w:t>
      </w:r>
      <w:r w:rsidR="00624117" w:rsidRPr="0025240F">
        <w:rPr>
          <w:rFonts w:cs="Calibri"/>
        </w:rPr>
        <w:t xml:space="preserve"> </w:t>
      </w:r>
      <w:r w:rsidR="00742FB7" w:rsidRPr="0025240F">
        <w:rPr>
          <w:rFonts w:cs="Calibri"/>
        </w:rPr>
        <w:t xml:space="preserve">not actively engage the communities of South Yorkshire, the Community Safety team do. They work face-to-face in the community’s providing information and resources (e.g., fire alarms) to the community and supporting individuals who are deemed vulnerable to risk of fire through home-safety checks. This aims to support individuals to prevent fires within their own home, arguably making them more resilient to the risks of fire, supporting them in developing threat and coping appraisals. The work of the Community Safety team again highlights the institutional driver of the FRSA (2004) logic, focusing on active prevention of fire. The Community Safety team’s work can be seen as developing linking social capital </w:t>
      </w:r>
      <w:r w:rsidR="00742FB7" w:rsidRPr="0025240F">
        <w:fldChar w:fldCharType="begin" w:fldLock="1"/>
      </w:r>
      <w:r w:rsidR="00742FB7" w:rsidRPr="0025240F">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capital","type":"article-journal","volume":"51"},"uris":["http://www.mendeley.com/documents/?uuid=811839c2-2eda-4cbc-80b5-6bfc7c4a8392"]},{"id":"ITEM-2","itemData":{"author":[{"dropping-particle":"","family":"Ludin","given":"Salizar M.","non-dropping-particle":"","parse-names":false,"suffix":""},{"dropping-particle":"","family":"Rohaizat","given":"Munirah","non-dropping-particle":"","parse-names":false,"suffix":""},{"dropping-particle":"","family":"Arbon","given":"Paul","non-dropping-particle":"","parse-names":false,"suffix":""}],"container-title":"Health and Social Care in the Community","id":"ITEM-2","issue":"3","issued":{"date-parts":[["2019"]]},"page":"621 - 631","title":"The association between social cohesion and community disaster resilience: A cross‐sectional study","type":"article-journal","volume":"27"},"uris":["http://www.mendeley.com/documents/?uuid=818d7348-40a6-4380-acb5-bd2c514990f2"]}],"mendeley":{"formattedCitation":"(Carmen et al., 2022; Ludin, Rohaizat, &amp; Arbon, 2019)","plainTextFormattedCitation":"(Carmen et al., 2022; Ludin, Rohaizat, &amp; Arbon, 2019)","previouslyFormattedCitation":"(Carmen et al., 2022; Ludin, Rohaizat, &amp; Arbon, 2019)"},"properties":{"noteIndex":0},"schema":"https://github.com/citation-style-language/schema/raw/master/csl-citation.json"}</w:instrText>
      </w:r>
      <w:r w:rsidR="00742FB7" w:rsidRPr="0025240F">
        <w:rPr>
          <w:rFonts w:cs="Calibri"/>
        </w:rPr>
        <w:fldChar w:fldCharType="separate"/>
      </w:r>
      <w:r w:rsidR="00742FB7" w:rsidRPr="0025240F">
        <w:rPr>
          <w:rFonts w:cs="Calibri"/>
          <w:noProof/>
        </w:rPr>
        <w:t>(Carmen et al., 2022; Ludin, Rohaizat, &amp; Arbon, 2019)</w:t>
      </w:r>
      <w:r w:rsidR="00742FB7" w:rsidRPr="0025240F">
        <w:rPr>
          <w:rFonts w:cs="Calibri"/>
        </w:rPr>
        <w:fldChar w:fldCharType="end"/>
      </w:r>
      <w:r w:rsidR="00742FB7" w:rsidRPr="0025240F">
        <w:rPr>
          <w:rFonts w:cs="Calibri"/>
        </w:rPr>
        <w:t xml:space="preserve"> within the community, through developing relationship and creating a sense of trust between community members and SYFR. However, due to budget constraints, they were only able to focus on the community members deemed as vulnerable, and there needs to be additional resources to widen the in-person reach of SYFR. This thesis focuses on whether community resilience can be supported and developed on social media, however, in regards to vulnerable people, the literature suggests that they are less likely to be able to engage online (see the digital divide section 2.5.3) </w:t>
      </w:r>
      <w:r w:rsidR="00742FB7" w:rsidRPr="0025240F">
        <w:fldChar w:fldCharType="begin" w:fldLock="1"/>
      </w:r>
      <w:r w:rsidR="00742FB7" w:rsidRPr="0025240F">
        <w:rPr>
          <w:rFonts w:cs="Calibri"/>
        </w:rPr>
        <w:instrText>ADDIN CSL_CITATION {"citationItems":[{"id":"ITEM-1","itemData":{"DOI":"10.1016/j.poetic.2006.05.004","abstract":"From the end of the 1990s onwards the digital divide, commonly defined as the gap between those who have and do not have access to computers and the Internet, has been a central issue on the scholarly and political agenda of new media development. This article makes an inventory of 5 years of digital divide research (2000–2005). The article focuses on three questions. (1) To what type of inequality does the digital divide concept refer? (2) What is new about the inequality of access to and use of ICTs as compared to other scarce material and immaterial resources? (3) Do new types of inequality exist or rise in the information society? The results of digital divide research are classified under four successive types of access: motivational, physical, skills and usage. A shift of attention from physical access to skills and usage is observed. In terms of physical access the divide seems to be closing in the most developed countries; concerning digital skills and the use of applications the divide persists or widens. Among the shortcomings of digital divide research are its lack of theory, conceptual definition, interdisciplinary approach, qualitative research and longitudinal research. #","author":[{"dropping-particle":"","family":"Dijk","given":"Jan A G M","non-dropping-particle":"van","parse-names":false,"suffix":""}],"container-title":"Poetics","id":"ITEM-1","issue":"4-5","issued":{"date-parts":[["2006"]]},"page":"221 - 235","title":"Digital divide research, achievements and shortcomings","type":"article-journal","volume":"34"},"uris":["http://www.mendeley.com/documents/?uuid=81626349-ddbe-3702-8994-c9efb377b397"]},{"id":"ITEM-2","itemData":{"DOI":"10.1080/1369118X.2015.1084023","ISSN":"14684462","abstract":"ABSTRACTBased on the idea that Internet use can be conceptualized in terms of depth (frequency) and width (differentiated) uses of the Web, this study explored how socio-demographic factors and digital skills are related to frequency and types of Facebook use among young adults. It used a face-to-face representative survey conducted in the three main urban areas of Chile among a sample of 18-to 29-year olds. The results found that men and more educated young people had higher levels of skills, confirming that the so-called ‘digital natives’ are not a monolithic group. They also revealed that digital skills did not predict frequency of Facebook use. Furthermore, lower educated young people tended to use Facebook more frequently. Although these results go against the long-established digital divide research, traditional digital gaps emerged when types of use were analyzed. While more educated and skillful individuals tended to use Facebook for informational and mobilizing purposes, socio-demographic factors...","author":[{"dropping-particle":"","family":"Correa","given":"Teresa","non-dropping-particle":"","parse-names":false,"suffix":""}],"container-title":"Information Communication and Society","id":"ITEM-2","issue":"8","issued":{"date-parts":[["2016"]]},"page":"1095-1107","title":"Digital skills and social media use: how Internet skills are related to different types of Facebook use among ‘digital natives’","type":"article-journal","volume":"19"},"uris":["http://www.mendeley.com/documents/?uuid=487b665a-3545-479d-8afb-aa5e78296f9d"]},{"id":"ITEM-3","itemData":{"DOI":"10.1016/j.diggeo.2022.100041","ISSN":"26663783","abstract":"Digital exclusion and poverty are understood to be closely linked, and existing literature on the topic makes clear that the contexts of people's lives shape their experiences of digital exclusion in important ways. Indeed, the online and offline aspects of life are in many regards inextricable. As such, this paper focuses on the complex relationship between digital exclusion and poverty, and examines how a range of spatial, material, and temporal factors related to experiences of poverty shape opportunities to use the internet. Drawing upon qualitative data from interviews with coaches and participants in a programme which seeks to help low-income people find work, manage their money, and get online, the paper traces several key ways in which different aspects of poverty – including housing inequality – coalesce to shape experiences of digital exclusion. In doing so, the paper argues that examining the ways in which these seemingly offline aspects of poverty affect opportunities to use the internet provides an opportunity to enhance understandings of exactly how digital exclusion is manifested for those experiencing poverty.","author":[{"dropping-particle":"","family":"Holmes","given":"Hannah","non-dropping-particle":"","parse-names":false,"suffix":""},{"dropping-particle":"","family":"Burgess","given":"Gemma","non-dropping-particle":"","parse-names":false,"suffix":""}],"container-title":"Digital Geography and Society","id":"ITEM-3","issued":{"date-parts":[["2022"]]},"page":"1-9","title":"Digital exclusion and poverty in the UK: How structural inequality shapes experiences of getting online","type":"article-journal","volume":"3"},"uris":["http://www.mendeley.com/documents/?uuid=a5d72ba4-5729-45de-a51e-ca85c70c5384"]}],"mendeley":{"formattedCitation":"(Holmes &amp; Burgess, 2022; Correa, 2016; van Dijk, 2006)","plainTextFormattedCitation":"(Holmes &amp; Burgess, 2022; Correa, 2016; van Dijk, 2006)","previouslyFormattedCitation":"(Holmes &amp; Burgess, 2022; Correa, 2016; van Dijk, 2006)"},"properties":{"noteIndex":0},"schema":"https://github.com/citation-style-language/schema/raw/master/csl-citation.json"}</w:instrText>
      </w:r>
      <w:r w:rsidR="00742FB7" w:rsidRPr="0025240F">
        <w:rPr>
          <w:rFonts w:cs="Calibri"/>
        </w:rPr>
        <w:fldChar w:fldCharType="separate"/>
      </w:r>
      <w:r w:rsidR="00742FB7" w:rsidRPr="0025240F">
        <w:rPr>
          <w:rFonts w:cs="Calibri"/>
          <w:noProof/>
        </w:rPr>
        <w:t>(Holmes &amp; Burgess, 2022; Correa, 2016; van Dijk, 2006)</w:t>
      </w:r>
      <w:r w:rsidR="00742FB7" w:rsidRPr="0025240F">
        <w:rPr>
          <w:rFonts w:cs="Calibri"/>
        </w:rPr>
        <w:fldChar w:fldCharType="end"/>
      </w:r>
      <w:r w:rsidR="00742FB7" w:rsidRPr="0025240F">
        <w:rPr>
          <w:rFonts w:cs="Calibri"/>
        </w:rPr>
        <w:t xml:space="preserve">, and therefore the in-person work of the Community Safety team is crucial to support these members of the community. </w:t>
      </w:r>
    </w:p>
    <w:p w14:paraId="7AC7AC6D" w14:textId="77777777" w:rsidR="00787F73" w:rsidRPr="0025240F" w:rsidRDefault="00787F73" w:rsidP="00866155">
      <w:pPr>
        <w:rPr>
          <w:rFonts w:cs="Calibri"/>
        </w:rPr>
      </w:pPr>
    </w:p>
    <w:p w14:paraId="592EC13D" w14:textId="66D8751C" w:rsidR="00787F73" w:rsidRDefault="00742FB7" w:rsidP="00866155">
      <w:r w:rsidRPr="0025240F">
        <w:rPr>
          <w:rFonts w:cs="Calibri"/>
        </w:rPr>
        <w:t xml:space="preserve">Examining the work of the BCR and CS teams provided an understanding of where the work of the Communications team sits within this wider SYFR organisational approach to community resilience. The Communication teams run 4-5 PICs each year, aiming to </w:t>
      </w:r>
      <w:r w:rsidRPr="0025240F">
        <w:rPr>
          <w:rFonts w:cs="Calibri"/>
          <w:i/>
          <w:iCs/>
        </w:rPr>
        <w:t xml:space="preserve">nudge </w:t>
      </w:r>
      <w:r w:rsidRPr="0025240F">
        <w:rPr>
          <w:rFonts w:cs="Calibri"/>
        </w:rPr>
        <w:t>people into preventative behaviour change</w:t>
      </w:r>
      <w:r w:rsidR="006C263A">
        <w:rPr>
          <w:rFonts w:cs="Calibri"/>
        </w:rPr>
        <w:t>. This is evident in</w:t>
      </w:r>
      <w:r w:rsidRPr="0025240F">
        <w:rPr>
          <w:rFonts w:cs="Calibri"/>
        </w:rPr>
        <w:t xml:space="preserve">their campaign </w:t>
      </w:r>
      <w:r w:rsidRPr="0025240F">
        <w:rPr>
          <w:rFonts w:cs="Calibri"/>
          <w:i/>
          <w:iCs/>
        </w:rPr>
        <w:t>Stand by your Pan</w:t>
      </w:r>
      <w:r w:rsidRPr="0025240F">
        <w:rPr>
          <w:rFonts w:cs="Calibri"/>
        </w:rPr>
        <w:t>, which encouraged people not</w:t>
      </w:r>
      <w:r>
        <w:rPr>
          <w:rFonts w:cs="Calibri"/>
        </w:rPr>
        <w:t xml:space="preserve"> to leave food unattended while cooking. The approaches of each department suggest a wider theme of responsibility. The BCR take responsibility for county-wide resilience, the CS team taking responsibility for working directly with vulnerable people to help prevent individual fires, and the Communications team focusing </w:t>
      </w:r>
      <w:r>
        <w:rPr>
          <w:rFonts w:cs="Calibri"/>
        </w:rPr>
        <w:lastRenderedPageBreak/>
        <w:t xml:space="preserve">on prevention on an individual and community level, with messages targeting individual house fires, as well as community fires, such as the Summer Fires campaign. This approach indicates a series of institutional logics, with a focus on their statutory obligation to prevention of fire from the FRSA (2004). However, it is not only fires which SYFR operationally manage, but also response and recovery for flooding, pandemics and other disasters as covered under the CCA (2004). This thesis examined whether SYFR can developing community resilience with their </w:t>
      </w:r>
      <w:r w:rsidR="006C263A">
        <w:rPr>
          <w:rFonts w:cs="Calibri"/>
        </w:rPr>
        <w:t>communication. However</w:t>
      </w:r>
      <w:r>
        <w:rPr>
          <w:rFonts w:cs="Calibri"/>
        </w:rPr>
        <w:t>, their focus is on preventing fires, so their ability to develop wide</w:t>
      </w:r>
      <w:r w:rsidR="0025240F">
        <w:rPr>
          <w:rFonts w:cs="Calibri"/>
        </w:rPr>
        <w:t>r</w:t>
      </w:r>
      <w:r>
        <w:rPr>
          <w:rFonts w:cs="Calibri"/>
        </w:rPr>
        <w:t xml:space="preserve"> community resilience is limited to resilience surrounding fires. Focusing on resilience for fires, there is a future challenge faced by SYFR, namely that focusing on past fires by using the previous year’s incident data means that SYFR are not adapting their approach for future risks or proactive resilience </w:t>
      </w:r>
      <w:r>
        <w:fldChar w:fldCharType="begin" w:fldLock="1"/>
      </w:r>
      <w:r>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Pr>
          <w:rFonts w:cs="Calibri"/>
        </w:rPr>
        <w:fldChar w:fldCharType="separate"/>
      </w:r>
      <w:r>
        <w:rPr>
          <w:rFonts w:cs="Calibri"/>
          <w:noProof/>
        </w:rPr>
        <w:t>(Carmen et al., 2022)</w:t>
      </w:r>
      <w:r>
        <w:rPr>
          <w:rFonts w:cs="Calibri"/>
        </w:rPr>
        <w:fldChar w:fldCharType="end"/>
      </w:r>
      <w:r>
        <w:rPr>
          <w:rFonts w:cs="Calibri"/>
        </w:rPr>
        <w:t>, such as increased flooding and wildfires due to climate change.</w:t>
      </w:r>
    </w:p>
    <w:p w14:paraId="71B833DF" w14:textId="77777777" w:rsidR="00787F73" w:rsidRDefault="00787F73" w:rsidP="00866155">
      <w:pPr>
        <w:rPr>
          <w:rFonts w:cs="Calibri"/>
        </w:rPr>
      </w:pPr>
    </w:p>
    <w:p w14:paraId="42AAF5BC" w14:textId="7AFB0806" w:rsidR="00787F73" w:rsidRDefault="00742FB7" w:rsidP="00866155">
      <w:r>
        <w:rPr>
          <w:rFonts w:cs="Calibri"/>
        </w:rPr>
        <w:t xml:space="preserve">Investigating SYFR’s campaign work suggests an emphasis on the use of social media to communicate with the South Yorkshire community members. Using the contextual data from the literature review (chapter 2), one can surmise that this may be due to both a growing institutional demand from a social media logic </w:t>
      </w:r>
      <w:r>
        <w:fldChar w:fldCharType="begin" w:fldLock="1"/>
      </w:r>
      <w:r w:rsidR="00974B75">
        <w:rPr>
          <w:rFonts w:cs="Calibri"/>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logic","type":"article-journal","volume":"1"},"uris":["http://www.mendeley.com/documents/?uuid=6959a087-04c3-4414-8425-5f017798610f"]},{"id":"ITEM-2","itemData":{"DOI":"10.1016/j.jaging.2021.100952","ISSN":"08904065","PMID":"34425987","abstract":"European local authorities increasingly use social media to present services and activities organized for citizens living in the particular area. Previous studies found that authority-managed social media visually depicted older adults as being active, sociable, happy, and physically capable, reflecting the normative “third age” representation. Yet few studies to date have examined how local authorities produce the photos of older adults for social media posting. Drawing on semi-structured interviews with communication officers in a Swedish municipality, the purpose of this study is to investigate the production process for social media photos of older adults within local authorities from an institutional logics perspective. The analysis illustrates that communication officers strive to create a good image of the municipality and its services, follow municipal policy and EU law on data protection, seek photos through particular sources, adjust to and develop photographic standards of good photos, and endeavor to promote social media engagement in the photos. These motives and work practices of communication officers contribute to the visual representations of older adults as engaging in municipal services, being socially active, and staying physically capable. The analysis also indicates that both social media and bureaucratic logics encourage officers to produce photos of older adults that highlight the bright side of later life. The findings contribute to previous studies on online representations of older adults generated by local authorities, by showing how the third age representation may come about in practice, and which logics may influence officers to generate such representation. Furthermore, the knowledge provided could be used as a basis for assessment and improvement on authorities' production for social media photos of older adults, which in turn contributes to more diverse and thoughtful representations of older adults and later life in authority-managed social media.","author":[{"dropping-particle":"","family":"Xu","given":"Wenqian","non-dropping-particle":"","parse-names":false,"suffix":""},{"dropping-particle":"","family":"Taghizadeh Larsson","given":"Annika","non-dropping-particle":"","parse-names":false,"suffix":""}],"container-title":"Journal of Aging Studies","id":"ITEM-2","issued":{"date-parts":[["2021"]]},"page":"1 - 11","title":"Communication officers in local authorities meeting social media: On the production of social media photos of older adults","type":"article-journal","volume":"58"},"uris":["http://www.mendeley.com/documents/?uuid=f57bd4e4-c651-431d-b4c2-8a0250ed77b5"]},{"id":"ITEM-3","itemData":{"DOI":"10.1109/TEM.2023.3290152","ISSN":"15580040","abstract":"The ubiquity of social media and the varying nature of subjective well-being (SWB) in a culturally heterogeneous world raises an essential question about how social media and culture jointly influence SWB. We argue that social media shapes the influence of cultural dimensions on SWB in nuanced ways, depending on the nature of the dimensions. Drawing on the affordance-based institutional logics perspective, we hypothesize that social media attenuates the adverse effects of power distance, masculinity, and uncertainty avoidance and amplifies the positive effects of individualism, long-term orientation, and indulgence on SWB. Using a dynamic panel model, our analysis shows that a degree of high social media diffusion in a country reduces the negative effect of power distance on SWB and increases the positive effect of individualism on SWB. These findings can help policymakers make informed decisions regarding increasing social media penetration as a means of overcoming negative cultural characteristics to enhance SWB.","author":[{"dropping-particle":"","family":"Arayankalam","given":"Jithesh","non-dropping-particle":"","parse-names":false,"suffix":""},{"dropping-particle":"","family":"Krishnan","given":"Satish","non-dropping-particle":"","parse-names":false,"suffix":""},{"dropping-particle":"","family":"Ractham","given":"Peter","non-dropping-particle":"","parse-names":false,"suffix":""},{"dropping-particle":"","family":"Papa","given":"Armando","non-dropping-particle":"","parse-names":false,"suffix":""}],"container-title":"IEEE Transactions on Engineering Management","id":"ITEM-3","issued":{"date-parts":[["2023"]]},"page":"1-17","title":"Social Media as an Amplifier or Attenuator: How Does Social Media Diffusion Shape the Influence of Culture on Subjective Well-Being","type":"article-journal"},"uris":["http://www.mendeley.com/documents/?uuid=26a85c19-7d40-4644-a009-3a4bc68b715b"]}],"mendeley":{"formattedCitation":"(Arayankalam et al., 2023; Xu &amp; Taghizadeh Larsson, 2021; van Dijck &amp; Poell, 2013)","plainTextFormattedCitation":"(Arayankalam et al., 2023; Xu &amp; Taghizadeh Larsson, 2021; van Dijck &amp; Poell, 2013)","previouslyFormattedCitation":"(Arayankalam et al., 2023; Xu &amp; Taghizadeh Larsson, 2021; van Dijck &amp; Poell, 2013)"},"properties":{"noteIndex":0},"schema":"https://github.com/citation-style-language/schema/raw/master/csl-citation.json"}</w:instrText>
      </w:r>
      <w:r>
        <w:rPr>
          <w:rFonts w:cs="Calibri"/>
        </w:rPr>
        <w:fldChar w:fldCharType="separate"/>
      </w:r>
      <w:r>
        <w:rPr>
          <w:rFonts w:cs="Calibri"/>
          <w:noProof/>
        </w:rPr>
        <w:t>(Arayankalam et al., 2023; Xu &amp; Taghizadeh Larsson, 2021; van Dijck &amp; Poell, 2013)</w:t>
      </w:r>
      <w:r>
        <w:rPr>
          <w:rFonts w:cs="Calibri"/>
        </w:rPr>
        <w:fldChar w:fldCharType="end"/>
      </w:r>
      <w:r>
        <w:rPr>
          <w:rFonts w:cs="Calibri"/>
        </w:rPr>
        <w:t xml:space="preserve">, but also financial challenges due to government cuts to funding </w:t>
      </w:r>
      <w:r>
        <w:fldChar w:fldCharType="begin" w:fldLock="1"/>
      </w:r>
      <w:r>
        <w:rPr>
          <w:rFonts w:cs="Calibri"/>
        </w:rPr>
        <w:instrText>ADDIN CSL_CITATION {"citationItems":[{"id":"ITEM-1","itemData":{"author":[{"dropping-particle":"","family":"Waring","given":"Sara","non-dropping-particle":"","parse-names":false,"suffix":""},{"dropping-particle":"","family":"Bromley","given":"Caitlin","non-dropping-particle":"","parse-names":false,"suffix":""},{"dropping-particle":"","family":"Giles","given":"Susan","non-dropping-particle":"","parse-names":false,"suffix":""}],"id":"ITEM-1","issue":"July","issued":{"date-parts":[["2022"]]},"number-of-pages":"1-17","title":"Economic Evaluation of Fire and Rescue Service Activities : A Scoping Review","type":"report"},"uris":["http://www.mendeley.com/documents/?uuid=50784e0c-6920-43d9-85c2-0d903a9aa97c"]}],"mendeley":{"formattedCitation":"(Waring, Bromley, &amp; Giles, 2022)","plainTextFormattedCitation":"(Waring, Bromley, &amp; Giles, 2022)","previouslyFormattedCitation":"(Waring, Bromley, &amp; Giles, 2022)"},"properties":{"noteIndex":0},"schema":"https://github.com/citation-style-language/schema/raw/master/csl-citation.json"}</w:instrText>
      </w:r>
      <w:r>
        <w:rPr>
          <w:rFonts w:cs="Calibri"/>
        </w:rPr>
        <w:fldChar w:fldCharType="separate"/>
      </w:r>
      <w:r>
        <w:rPr>
          <w:rFonts w:cs="Calibri"/>
          <w:noProof/>
        </w:rPr>
        <w:t>(Waring, Bromley, &amp; Giles, 2022)</w:t>
      </w:r>
      <w:r>
        <w:rPr>
          <w:rFonts w:cs="Calibri"/>
        </w:rPr>
        <w:fldChar w:fldCharType="end"/>
      </w:r>
      <w:r>
        <w:rPr>
          <w:rFonts w:cs="Calibri"/>
        </w:rPr>
        <w:t xml:space="preserve">; these two elements make the use of social media appear to be a viable option for effective community engagement. Using the institutional pluralism literature, one can examine that the combination of these logics appear to be co-existing logics </w:t>
      </w:r>
      <w:r>
        <w:fldChar w:fldCharType="begin" w:fldLock="1"/>
      </w:r>
      <w:r w:rsidR="00D177B9">
        <w:rPr>
          <w:rFonts w:cs="Calibri"/>
        </w:rPr>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Process","type":"book"},"uris":["http://www.mendeley.com/documents/?uuid=7afe7588-cd0b-4a95-b78a-3214c1130169"]},{"id":"ITEM-2","itemData":{"DOI":"10.1177/017084069701800204","ISBN":"01708406","ISSN":"0170-8406","PMID":"9707225788","abstract":"The focus of this paper is to examine the responses to institutional isomorph ism in one area of the public sector — universities. As an example, one particu lar organizational practice is examined — performance appraisal — and its implications for one group of professionals — academics. In doing so, some of the sources of variation in responses to institutional pressures are illustrated and the strategies of resistance actors engage in to resist such pressures. It is suggested that the concept of institutional logic is an important element in influencing responses to isomorphism, providing a repertoire of beliefs with which to contest concepts of legitimacy.","author":[{"dropping-particle":"","family":"Townley","given":"Barbara","non-dropping-particle":"","parse-names":false,"suffix":""}],"container-title":"Organization Studies","id":"ITEM-2","issue":"2","issued":{"date-parts":[["1997"]]},"page":"261-285","title":"Logic of Performance Appraisal","type":"article-journal","volume":"18"},"uris":["http://www.mendeley.com/documents/?uuid=3956e178-7c7b-4649-90dd-0750fde9fde0"]},{"id":"ITEM-3","itemData":{"DOI":"10.1108/S0733-558X201600048A005","author":[{"dropping-particle":"","family":"Zilber","given":"Tammar B","non-dropping-particle":"","parse-names":false,"suffix":""}],"chapter-number":"5","container-title":"How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-3","issued":{"date-parts":[["2016"]]},"page":"137-155","publisher":"Emerald Group Publishing Limited","title":"How Institutional Logics Matter: A Bottom-Up Exploration","type":"chapter","volume":"48"},"uris":["http://www.mendeley.com/documents/?uuid=e4988de7-6965-4bc8-bedf-8392ba1d8d8c"]},{"id":"ITEM-4","itemData":{"DOI":"10.1108/S0733-558X201600048A001","author":[{"dropping-particle":"","family":"Glaser","given":"Vern L","non-dropping-particle":"","parse-names":false,"suffix":""},{"dropping-particle":"","family":"Fast","given":"Nathanael J","non-dropping-particle":"","parse-names":false,"suffix":""},{"dropping-particle":"","family":"Harmon","given":"Derek J","non-dropping-particle":"","parse-names":false,"suffix":""},{"dropping-particle":"","family":"Green","given":"Sandy E","non-dropping-particle":"","parse-names":false,"suffix":""}],"chapter-number":"2","container-title":"How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-4","issued":{"date-parts":[["2016"]]},"page":"35-70","publisher":"Emerald Group Publishing Limited","title":"Institutional Frame Switching: How Institutional Logics Shape Individual Action","type":"chapter","volume":"48A"},"uris":["http://www.mendeley.com/documents/?uuid=8ac9f37b-5be1-4297-bd70-0abc13a22de3"]},{"id":"ITEM-5","itemData":{"DOI":"10.1177/1476127015625040","author":[{"dropping-particle":"","family":"Ocasio","given":"William","non-dropping-particle":"","parse-names":false,"suffix":""},{"dropping-particle":"","family":"Radoynovska","given":"Nevena","non-dropping-particle":"","parse-names":false,"suffix":""}],"container-title":"Strategic Organization","id":"ITEM-5","issue":"4","issued":{"date-parts":[["2016"]]},"page":"287 - 309","title":"Strategy and commitments to institutional logics : Organizational heterogeneity in business models and governance","type":"article-journal","volume":"14"},"uris":["http://www.mendeley.com/documents/?uuid=eede86b6-3a39-4b52-acc9-94e8cc3fbd5e"]},{"id":"ITEM-6","itemData":{"DOI":"10.1177/0007650318789104","ISSN":"15524205","abstract":"Social innovations are urgently needed as we confront complex social problems. As these social problems feature substantial interdependencies among multiple systems and actors, developing and implementing innovative solutions involve the re-negotiating of settled institutions or the building of new ones. In this introductory article, we introduce a stylized three-cycle model highlighting the institutional nature of social innovation efforts. The model conceptualizes social innovation processes as the product of agentic, relational, and situated dynamics in three interrelated cycles that operate at the micro, meso, and macro levels of analysis. The five papers included in this special issue address one or more of these cycles. We draw on these papers and the model to stimulate and offer guidance to future conversations on social innovations from an institutional theory perspective.","author":[{"dropping-particle":"","family":"Wijk","given":"Jakomijn","non-dropping-particle":"van","parse-names":false,"suffix":""},{"dropping-particle":"","family":"Zietsma","given":"Charlene","non-dropping-particle":"","parse-names":false,"suffix":""},{"dropping-particle":"","family":"Dorado","given":"Silvia","non-dropping-particle":"","parse-names":false,"suffix":""},{"dropping-particle":"","family":"Bakker","given":"Frank G.A.","non-dropping-particle":"de","parse-names":false,"suffix":""},{"dropping-particle":"","family":"Martí","given":"Ignasi","non-dropping-particle":"","parse-names":false,"suffix":""}],"container-title":"Business and Society","id":"ITEM-6","issue":"5","issued":{"date-parts":[["2019"]]},"page":"887-918","title":"Social Innovation: Integrating Micro, Meso, and Macro Level Insights From Institutional Theory","type":"article-journal","volume":"58"},"uris":["http://www.mendeley.com/documents/?uuid=e7aea813-38d5-4cfc-809f-0f93b22a795c"]},{"id":"ITEM-7","itemData":{"DOI":"10.1111/soc4.12269","ISSN":"17519020","abstract":"The institutional logics perspective holds the promise of delivering where neo-institutionalist theory has disappointed - the ability to address key societal problems such as inequality, social discrimination, and economic insecurity - a promise that, as of yet, has been unrealized. In this review, I provide an overview of the body of work within the institutional logics perspective that addresses the co-existence of multiple institutional logics influencing identities, values, cognitive frameworks, and practices - institutional pluralism. I demonstrate how pluralism diverges from conventional neo-institutionalist theory in its view of institutional fields as heterogeneous spaces. I then review the implications for organizations and social actors responding to multiple logics in the institutional environment. In the discussion section, I argue that the study of pluralism, in acknowledging human agency, politics, and collective mobilization, opens the door for creative resolutions to societal problems hitherto overlooked in neo-institutional theory. Despite the promise, I address key research areas that remain unresolved or under-addressed in the institutional pluralism perspective.","author":[{"dropping-particle":"","family":"Yu","given":"Kyoung Hee","non-dropping-particle":"","parse-names":false,"suffix":""}],"container-title":"Sociology Compass","id":"ITEM-7","issue":"6","issued":{"date-parts":[["2015"]]},"page":"464-476","title":"Institutional Pluralism, Organizations, and Actors: A Review","type":"article-journal","volume":"9"},"uris":["http://www.mendeley.com/documents/?uuid=058e9d2a-fe79-4bc1-a00a-cbe69c5b928d"]}],"mendeley":{"formattedCitation":"(van Wijk et al., 2019; Glaser et al., 2016; Ocasio &amp; Radoynovska, 2016; Zilber, 2016; Yu, 2015; Thornton, Ocasio, &amp; Lounsbury, 2012; Townley, 1997)","plainTextFormattedCitation":"(van Wijk et al., 2019; Glaser et al., 2016; Ocasio &amp; Radoynovska, 2016; Zilber, 2016; Yu, 2015; Thornton, Ocasio, &amp; Lounsbury, 2012; Townley, 1997)","previouslyFormattedCitation":"(van Wijk et al., 2019; Glaser et al., 2016; Ocasio &amp; Radoynovska, 2016; Zilber, 2016; Yu, 2015; Thornton, Ocasio, &amp; Lounsbury, 2012; Townley, 1997)"},"properties":{"noteIndex":0},"schema":"https://github.com/citation-style-language/schema/raw/master/csl-citation.json"}</w:instrText>
      </w:r>
      <w:r>
        <w:rPr>
          <w:rFonts w:cs="Calibri"/>
        </w:rPr>
        <w:fldChar w:fldCharType="separate"/>
      </w:r>
      <w:r w:rsidR="00E37B0E" w:rsidRPr="00E37B0E">
        <w:rPr>
          <w:rFonts w:cs="Calibri"/>
          <w:noProof/>
        </w:rPr>
        <w:t>(van Wijk et al., 2019; Glaser et al., 2016; Ocasio &amp; Radoynovska, 2016; Zilber, 2016; Yu, 2015; Thornton, Ocasio, &amp; Lounsbury, 2012; Townley, 1997)</w:t>
      </w:r>
      <w:r>
        <w:rPr>
          <w:rFonts w:cs="Calibri"/>
        </w:rPr>
        <w:fldChar w:fldCharType="end"/>
      </w:r>
      <w:r>
        <w:rPr>
          <w:rFonts w:cs="Calibri"/>
        </w:rPr>
        <w:t xml:space="preserve"> with the social media logic supporting the development of the FRSA logic through sharing fire prevention messages</w:t>
      </w:r>
      <w:r w:rsidR="006C263A">
        <w:rPr>
          <w:rFonts w:cs="Calibri"/>
        </w:rPr>
        <w:t>.</w:t>
      </w:r>
      <w:r>
        <w:rPr>
          <w:rFonts w:cs="Calibri"/>
        </w:rPr>
        <w:t xml:space="preserve"> </w:t>
      </w:r>
      <w:r w:rsidR="006C263A">
        <w:rPr>
          <w:rFonts w:cs="Calibri"/>
        </w:rPr>
        <w:t>H</w:t>
      </w:r>
      <w:r>
        <w:rPr>
          <w:rFonts w:cs="Calibri"/>
        </w:rPr>
        <w:t xml:space="preserve">owever, as examined in the digital divide literature, this approach often excludes some of the most vulnerable members of society </w:t>
      </w:r>
      <w:r>
        <w:fldChar w:fldCharType="begin" w:fldLock="1"/>
      </w:r>
      <w:r>
        <w:rPr>
          <w:rFonts w:cs="Calibri"/>
        </w:rPr>
        <w:instrText>ADDIN CSL_CITATION {"citationItems":[{"id":"ITEM-1","itemData":{"DOI":"10.1016/j.poetic.2006.05.004","abstract":"From the end of the 1990s onwards the digital divide, commonly defined as the gap between those who have and do not have access to computers and the Internet, has been a central issue on the scholarly and political agenda of new media development. This article makes an inventory of 5 years of digital divide research (2000–2005). The article focuses on three questions. (1) To what type of inequality does the digital divide concept refer? (2) What is new about the inequality of access to and use of ICTs as compared to other scarce material and immaterial resources? (3) Do new types of inequality exist or rise in the information society? The results of digital divide research are classified under four successive types of access: motivational, physical, skills and usage. A shift of attention from physical access to skills and usage is observed. In terms of physical access the divide seems to be closing in the most developed countries; concerning digital skills and the use of applications the divide persists or widens. Among the shortcomings of digital divide research are its lack of theory, conceptual definition, interdisciplinary approach, qualitative research and longitudinal research. #","author":[{"dropping-particle":"","family":"Dijk","given":"Jan A G M","non-dropping-particle":"van","parse-names":false,"suffix":""}],"container-title":"Poetics","id":"ITEM-1","issue":"4-5","issued":{"date-parts":[["2006"]]},"page":"221 - 235","title":"Digital divide research, achievements and shortcomings","type":"article-journal","volume":"34"},"uris":["http://www.mendeley.com/documents/?uuid=81626349-ddbe-3702-8994-c9efb377b397"]},{"id":"ITEM-2","itemData":{"DOI":"10.1080/1369118X.2015.1084023","ISSN":"14684462","abstract":"ABSTRACTBased on the idea that Internet use can be conceptualized in terms of depth (frequency) and width (differentiated) uses of the Web, this study explored how socio-demographic factors and digital skills are related to frequency and types of Facebook use among young adults. It used a face-to-face representative survey conducted in the three main urban areas of Chile among a sample of 18-to 29-year olds. The results found that men and more educated young people had higher levels of skills, confirming that the so-called ‘digital natives’ are not a monolithic group. They also revealed that digital skills did not predict frequency of Facebook use. Furthermore, lower educated young people tended to use Facebook more frequently. Although these results go against the long-established digital divide research, traditional digital gaps emerged when types of use were analyzed. While more educated and skillful individuals tended to use Facebook for informational and mobilizing purposes, socio-demographic factors...","author":[{"dropping-particle":"","family":"Correa","given":"Teresa","non-dropping-particle":"","parse-names":false,"suffix":""}],"container-title":"Information Communication and Society","id":"ITEM-2","issue":"8","issued":{"date-parts":[["2016"]]},"page":"1095-1107","title":"Digital skills and social media use: how Internet skills are related to different types of Facebook use among ‘digital natives’","type":"article-journal","volume":"19"},"uris":["http://www.mendeley.com/documents/?uuid=487b665a-3545-479d-8afb-aa5e78296f9d"]},{"id":"ITEM-3","itemData":{"DOI":"10.1016/j.diggeo.2022.100041","ISSN":"26663783","abstract":"Digital exclusion and poverty are understood to be closely linked, and existing literature on the topic makes clear that the contexts of people's lives shape their experiences of digital exclusion in important ways. Indeed, the online and offline aspects of life are in many regards inextricable. As such, this paper focuses on the complex relationship between digital exclusion and poverty, and examines how a range of spatial, material, and temporal factors related to experiences of poverty shape opportunities to use the internet. Drawing upon qualitative data from interviews with coaches and participants in a programme which seeks to help low-income people find work, manage their money, and get online, the paper traces several key ways in which different aspects of poverty – including housing inequality – coalesce to shape experiences of digital exclusion. In doing so, the paper argues that examining the ways in which these seemingly offline aspects of poverty affect opportunities to use the internet provides an opportunity to enhance understandings of exactly how digital exclusion is manifested for those experiencing poverty.","author":[{"dropping-particle":"","family":"Holmes","given":"Hannah","non-dropping-particle":"","parse-names":false,"suffix":""},{"dropping-particle":"","family":"Burgess","given":"Gemma","non-dropping-particle":"","parse-names":false,"suffix":""}],"container-title":"Digital Geography and Society","id":"ITEM-3","issued":{"date-parts":[["2022"]]},"page":"1-9","title":"Digital exclusion and poverty in the UK: How structural inequality shapes experiences of getting online","type":"article-journal","volume":"3"},"uris":["http://www.mendeley.com/documents/?uuid=a5d72ba4-5729-45de-a51e-ca85c70c5384"]}],"mendeley":{"formattedCitation":"(Holmes &amp; Burgess, 2022; Correa, 2016; van Dijk, 2006)","plainTextFormattedCitation":"(Holmes &amp; Burgess, 2022; Correa, 2016; van Dijk, 2006)","previouslyFormattedCitation":"(Holmes &amp; Burgess, 2022; Correa, 2016; van Dijk, 2006)"},"properties":{"noteIndex":0},"schema":"https://github.com/citation-style-language/schema/raw/master/csl-citation.json"}</w:instrText>
      </w:r>
      <w:r>
        <w:rPr>
          <w:rFonts w:cs="Calibri"/>
        </w:rPr>
        <w:fldChar w:fldCharType="separate"/>
      </w:r>
      <w:r>
        <w:rPr>
          <w:rFonts w:cs="Calibri"/>
          <w:noProof/>
        </w:rPr>
        <w:t>(Holmes &amp; Burgess, 2022; Correa, 2016; van Dijk, 2006)</w:t>
      </w:r>
      <w:r>
        <w:rPr>
          <w:rFonts w:cs="Calibri"/>
        </w:rPr>
        <w:fldChar w:fldCharType="end"/>
      </w:r>
      <w:r>
        <w:rPr>
          <w:rFonts w:cs="Calibri"/>
        </w:rPr>
        <w:t xml:space="preserve"> who are often the most at risk during disasters and emergencies, with the literature </w:t>
      </w:r>
      <w:r>
        <w:t>noting that an event becomes a disaster due to</w:t>
      </w:r>
      <w:r>
        <w:rPr>
          <w:rFonts w:cs="Calibri"/>
        </w:rPr>
        <w:t xml:space="preserve"> the presence of a vulnerable community </w:t>
      </w:r>
      <w:r>
        <w:fldChar w:fldCharType="begin" w:fldLock="1"/>
      </w:r>
      <w:r w:rsidR="00974B75">
        <w:rPr>
          <w:rFonts w:cs="Calibri"/>
        </w:rPr>
        <w:instrText>ADDIN CSL_CITATION {"citationItems":[{"id":"ITEM-1","itemData":{"author":[{"dropping-particle":"","family":"Demeritt","given":"David","non-dropping-particle":"","parse-names":false,"suffix":""}],"container-title":"Progress in Human Geography","id":"ITEM-1","issue":"6","issued":{"date-parts":[["2002"]]},"page":"767-790","title":"What is the `social construction of nature? A typology and sympathetic critique","type":"article-journal","volume":"26"},"uris":["http://www.mendeley.com/documents/?uuid=426453fe-6225-4de7-a3c1-96891a7070ff"]},{"id":"ITEM-2","itemData":{"DOI":"10.1108/09653560810887275","ISBN":"0471949930","ISSN":"0965-3562","PMID":"14616063","abstract":"The main concept by which the 'social causation' is explained is 'vulnerability', which is a measure of the degree and type of exposures to risks generated by different societies in relation to hazards. This approach can be termed as 'vulnerability analysis'.","author":[{"dropping-particle":"","family":"Cannon","given":"Terry","non-dropping-particle":"","parse-names":false,"suffix":""}],"chapter-number":"2","container-title":"Disasters, Development and Environment","editor":[{"dropping-particle":"","family":"Varley","given":"Ann","non-dropping-particle":"","parse-names":false,"suffix":""}],"id":"ITEM-2","issued":{"date-parts":[["1994"]]},"page":"13-30","publisher":"John Wiley &amp; Sons Ltd","title":"Vulnerability Analysis and the Explanation of 'Natural' Disasters","type":"chapter"},"uris":["http://www.mendeley.com/documents/?uuid=af2da17b-67b6-4ce1-96d0-11ea439137c5"]},{"id":"ITEM-3","itemData":{"DOI":"10.3763/ehaz.1999.0105","ISSN":"18780059","abstract":"A disaster is widely perceived as an event that is beyond human control; the capricious hand of fate moves against unsuspecting communities creating massive destruction and prompting victims to call for divine support as well as earthly assistance. Surely these people would have acted differently had the risks been known and now they must depend on others for humanitarian aid with which to rebuild their shattered communities.","author":[{"dropping-particle":"","family":"Comfort","given":"L.","non-dropping-particle":"","parse-names":false,"suffix":""},{"dropping-particle":"","family":"Wisner","given":"B.","non-dropping-particle":"","parse-names":false,"suffix":""},{"dropping-particle":"","family":"Cutter","given":"S.","non-dropping-particle":"","parse-names":false,"suffix":""},{"dropping-particle":"","family":"Pulwarty","given":"R.","non-dropping-particle":"","parse-names":false,"suffix":""},{"dropping-particle":"","family":"Hewitt","given":"K.","non-dropping-particle":"","parse-names":false,"suffix":""},{"dropping-particle":"","family":"Oliver-Smith","given":"A.","non-dropping-particle":"","parse-names":false,"suffix":""},{"dropping-particle":"","family":"Wiener","given":"J.","non-dropping-particle":"","parse-names":false,"suffix":""},{"dropping-particle":"","family":"Fordham","given":"M.","non-dropping-particle":"","parse-names":false,"suffix":""},{"dropping-particle":"","family":"Peacock","given":"W.","non-dropping-particle":"","parse-names":false,"suffix":""},{"dropping-particle":"","family":"Krimgold","given":"F.","non-dropping-particle":"","parse-names":false,"suffix":""}],"container-title":"Global Environmental Change Part B: Environmental Hazards","id":"ITEM-3","issue":"1","issued":{"date-parts":[["1999"]]},"page":"39-44","title":"Reframing disaster policy: The global evolution of vulnerable communities","type":"article-journal","volume":"1"},"uris":["http://www.mendeley.com/documents/?uuid=ef487eba-33ca-47fb-8984-5d690fecc16e"]},{"id":"ITEM-4","itemData":{"DOI":"10.1016/j.scs.2021.103577","ISSN":"22106707","abstract":"The use of social media platforms such as Twitter significantly increases during natural hazards. With the emergence of several social media platforms over the past decade, many studies have investigated the applications of these platforms during calamities. This study presents a comprehensive spatiotemporal analysis of textual content from millions of tweets shared on Twitter during Hurricane Harvey (2017) across several affected counties in southeast Texas. We propose a new Hazard Risk Awareness (HRA) Index, which considers multiple factors, including the number of tweets, population, internet use rate, and natural hazard characteristics per geographic location. We then map the HRA Index across southeast Texas. Utilizing a dataset of 18 million tweets, we employ Natural Language Processing (NLP) along with a set of statistical techniques to perform analysis on the textual data generated by Twitter users during Hurricane Harvey. This enables us to subdivide the tweet contents into several categories per county that would inform crisis management during the event. In all, our study provides valuable information at the county level before, during, and after Harvey that could significantly help disaster managers and responders to minimize the consequences of the event and improve the preparedness of the residents for it. Since HRA is derived based on the meteorological observations and some demographic information, depending on the availability of such dataset and the nature of the hazard (i.e., flood, wildfire, hurricane, and earthquake), this index can be calculated and employed for assessing the risk awareness of a community exposed to either of these natural hazards.","author":[{"dropping-particle":"","family":"Karimiziarani","given":"Mohammadsepehr","non-dropping-particle":"","parse-names":false,"suffix":""},{"dropping-particle":"","family":"Jafarzadegan","given":"Keighobad","non-dropping-particle":"","parse-names":false,"suffix":""},{"dropping-particle":"","family":"Abbaszadeh","given":"Peyman","non-dropping-particle":"","parse-names":false,"suffix":""},{"dropping-particle":"","family":"Shao","given":"Wanyun","non-dropping-particle":"","parse-names":false,"suffix":""},{"dropping-particle":"","family":"Moradkhani","given":"Hamid","non-dropping-particle":"","parse-names":false,"suffix":""}],"container-title":"Sustainable Cities and Society","id":"ITEM-4","issued":{"date-parts":[["2022"]]},"page":"1 - 11","title":"Hazard risk awareness and disaster management: Extracting the information content of twitter data","type":"article-journal","volume":"77"},"uris":["http://www.mendeley.com/documents/?uuid=0ff52b10-5251-4279-bf6e-c55c0e18363a"]}],"mendeley":{"formattedCitation":"(Karimiziarani et al., 2022; Demeritt, 2002; Comfort et al., 1999; Cannon, 1994)","plainTextFormattedCitation":"(Karimiziarani et al., 2022; Demeritt, 2002; Comfort et al., 1999; Cannon, 1994)","previouslyFormattedCitation":"(Karimiziarani et al., 2022; Demeritt, 2002; Comfort et al., 1999; Cannon, 1994)"},"properties":{"noteIndex":0},"schema":"https://github.com/citation-style-language/schema/raw/master/csl-citation.json"}</w:instrText>
      </w:r>
      <w:r>
        <w:rPr>
          <w:rFonts w:cs="Calibri"/>
        </w:rPr>
        <w:fldChar w:fldCharType="separate"/>
      </w:r>
      <w:r>
        <w:rPr>
          <w:rFonts w:cs="Calibri"/>
          <w:noProof/>
        </w:rPr>
        <w:t>(Karimiziarani et al., 2022; Demeritt, 2002; Comfort et al., 1999; Cannon, 1994)</w:t>
      </w:r>
      <w:r>
        <w:rPr>
          <w:rFonts w:cs="Calibri"/>
        </w:rPr>
        <w:fldChar w:fldCharType="end"/>
      </w:r>
      <w:r>
        <w:rPr>
          <w:rFonts w:cs="Calibri"/>
        </w:rPr>
        <w:t xml:space="preserve">. </w:t>
      </w:r>
    </w:p>
    <w:p w14:paraId="33A213BA" w14:textId="77777777" w:rsidR="00787F73" w:rsidRDefault="00787F73" w:rsidP="00866155">
      <w:pPr>
        <w:rPr>
          <w:rFonts w:cs="Calibri"/>
        </w:rPr>
      </w:pPr>
    </w:p>
    <w:p w14:paraId="6BDB85A8" w14:textId="5A2DE448" w:rsidR="00787F73" w:rsidRDefault="006C263A" w:rsidP="00866155">
      <w:r>
        <w:rPr>
          <w:rFonts w:cs="Calibri"/>
        </w:rPr>
        <w:lastRenderedPageBreak/>
        <w:t xml:space="preserve">While assessing the campaign materials (plans and evaluation) and the ECS, I interpreted themes surrounding the challenges of using social media. These themes included the changing algorithms and the need to adapt their approach for community engagement, the drive to follow trends (such as TikTok), and the importance of trust, not only for the organisation communicating, but also the platform or method of communication. These themes highlight a series of institutional logics, such as a shifting social media logic. As discussed in the section 2.1, institutions are socially constructed and in a constant state of change </w:t>
      </w:r>
      <w:r>
        <w:fldChar w:fldCharType="begin" w:fldLock="1"/>
      </w:r>
      <w:r w:rsidR="00E37B0E">
        <w:rPr>
          <w:rFonts w:cs="Calibri"/>
        </w:rPr>
        <w:instrText>ADDIN CSL_CITATION {"citationItems":[{"id":"ITEM-1","itemData":{"DOI":"10.1111/joms.12124","ISSN":"14676486","abstract":"Multinational enterprises (MNEs) operate in complex transnational organizational fields with multiple, diverse, and possibly conflicting institutional forces. This paper examines how such complex environments affect a firm's adoption of Corporate Social Responsibility (CSR) practices. To capture the effect of transnational fields, we consider the institutional influences of all country environments to which the firm is linked through its portfolio of operations and propose that these effects will be weighted depending on their relative salience. We identify a set of factors that make certain pressures more salient than others, including firm's economic dependence on a particular country, heterogeneity of institutional forces within the firm's transnational field, exposure to leading countries with more stringent CSR templates, and intensity and commitment to particular economic linkages (i.e., foreign direct investment versus international trade). Our hypotheses are tested and supported in a study of 710 US MNEs from 2007 to 2011 with global ties to over 100 countries.","author":[{"dropping-particle":"","family":"Marano","given":"Valentina","non-dropping-particle":"","parse-names":false,"suffix":""},{"dropping-particle":"","family":"Kostova","given":"Tatiana","non-dropping-particle":"","parse-names":false,"suffix":""}],"container-title":"Journal of Management Studies","id":"ITEM-1","issue":"1","issued":{"date-parts":[["2016"]]},"page":"28-54","title":"Unpacking the Institutional Complexity in Adoption of CSR Practices in Multinational Enterprises","type":"article-journal","volume":"53"},"uris":["http://www.mendeley.com/documents/?uuid=ded94b6d-fc3a-4b3c-b1d9-4f3038f2d4c1"]},{"id":"ITEM-2","itemData":{"DOI":"10.1057/jit.2009.11","ISSN":"02683962","abstract":"Institutional theory has proven to be a central analytical perspective for investigating the role of social and historical structures of information systems (IS) implementation. However, it does not explicitly account for how organisational actors make sense of and enact technologies in their local context. We address this limitation by exploring the potential of using institutional theory with sensemaking theory to study IS implementation in organisations. We argue that each theoretical perspective has its own explanatory power and that a combination of the two facilitates a much richer interpretation of IS implementation by linking macro- and micro-levels of analysis. To illustrate this, we report from an empirical study of the implementation of an Electronic Patient Record (EPR) system in a clinical setting. Using key constructs from the two theories, our findings address the phenomenon of implementing EPRs at three levels: the organisational field, the organisational/group, and the individual/socio-cognitive level. The study shows how a rationalised myth of an efficient EPR system has travelled from the organisational field to the hospital ward and on to individual doctors. The findings also provide evidence of a strong human agency by showing how doctors enact their work practices and shape the use of the EPR system. The study contributes to IS research by showing the need to address macro-level structures, as well as individual interpretations and practical use situations, in order to identify how and why information systems are adopted by users. © 2009 JIT Palgrave Macmillan All rights reserved.","author":[{"dropping-particle":"","family":"Jensen","given":"Tina Blegind","non-dropping-particle":"","parse-names":false,"suffix":""},{"dropping-particle":"","family":"Kjærgaard","given":"Annemette","non-dropping-particle":"","parse-names":false,"suffix":""},{"dropping-particle":"","family":"Svejvig","given":"Per","non-dropping-particle":"","parse-names":false,"suffix":""}],"container-title":"Journal of Information Technology","id":"ITEM-2","issue":"4","issued":{"date-parts":[["2009"]]},"page":"343-353","title":"Using institutional theory with sensemaking theory: A case study of information system implementation in healthcare","type":"article-journal","volume":"24"},"uris":["http://www.mendeley.com/documents/?uuid=ce64e0bb-77bf-416f-b59c-b4bbd65a84e8"]},{"id":"ITEM-3","itemData":{"author":[{"dropping-particle":"","family":"Besharov","given":"Marya L.","non-dropping-particle":"","parse-names":false,"suffix":""},{"dropping-particle":"","family":"Smith","given":"Wendy K.","non-dropping-particle":"","parse-names":false,"suffix":""}],"container-title":"The Academy of Management Review","id":"ITEM-3","issue":"3","issued":{"date-parts":[["2014"]]},"page":"364-381","title":"Multiple Institutional Logics In Organizations: Explaining Their Varied Nature And Implications","type":"article-journal","volume":"39"},"uris":["http://www.mendeley.com/documents/?uuid=57cbbf37-05be-48a2-ad9d-1095a2aeb8e5"]},{"id":"ITEM-4","itemData":{"DOI":"10.1111/j.1467-9299.2012.02105.x","ISBN":"00014273","ISSN":"0170-8406","PMID":"18837629","abstract":"Over recent decades, a number of managerial reform initiatives in continental Europe have aimed at moving away from the traditional Weberian model of public administration. Such shifting bases of legitimacy are brought about by changes in the institutional logics in place, which not only provide frames of reference but also social identities and vocabularies of motive for the actors in the field. In this article, we approach the expanding research on public service motivation (PSM) by employing an institutional prism. Based on an executive survey in a continental European context, we examine the assumption that high PSM is associated with the traditional ethos and social identity in the public sector. What we find is that a Weberian legalistic-bureaucratic logic supports neither a high attraction to policy-making nor a high level of compassion. A managerial orientation, on the other hand, entails significantly higher scores on these two dimensions, as well as on overall PSM.","author":[{"dropping-particle":"","family":"Dacin","given":"M Tina","non-dropping-particle":"","parse-names":false,"suffix":""},{"dropping-particle":"","family":"Goodstein","given":"Jerry","non-dropping-particle":"","parse-names":false,"suffix":""},{"dropping-particle":"","family":"Scott","given":"W Richard","non-dropping-particle":"","parse-names":false,"suffix":""}],"container-title":"The Academy of Management Journal","id":"ITEM-4","issue":"1","issued":{"date-parts":[["2002"]]},"page":"45-56","title":"Institutional Theory and Institutional Change: Introduction to the Special Research Forum","type":"article-journal","volume":"45"},"uris":["http://www.mendeley.com/documents/?uuid=ce784237-38a8-4089-a19f-9157aeaf33bb"]},{"id":"ITEM-5","itemData":{"DOI":"10.1093/acprof","ISBN":"9780199682676","ISSN":"0873626X","PMID":"16683413","abstract":"This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-5","issued":{"date-parts":[["2012"]]},"publisher":"Oxford Acdemic","publisher-place":"Oxford","title":"The Institutional Logics Perspective: A New Approach to Culture, Structure and Process","type":"book"},"uris":["http://www.mendeley.com/documents/?uuid=7afe7588-cd0b-4a95-b78a-3214c1130169"]},{"id":"ITEM-6","itemData":{"DOI":"10.1177/2631787720960487","ISSN":"26317877","abstract":"The institutional logics perspective has the explanatory power and potential to further contribute to our understanding of some of the most pressing societal concerns of our time. In this article, we develop the logics perspective along four analytical dimensions – macro-level positioning, contextuality, temporality and value plurality – which, we argue, can be leveraged to research and address grand challenges. We elaborate the currency of these dimensions in the context of the grand challenge of climate change. In doing so, we demonstrate the overall value of a logics perspective for engaging grand challenges.","author":[{"dropping-particle":"","family":"Gümüsay","given":"Ali Aslan","non-dropping-particle":"","parse-names":false,"suffix":""},{"dropping-particle":"","family":"Claus","given":"Laura","non-dropping-particle":"","parse-names":false,"suffix":""},{"dropping-particle":"","family":"Amis","given":"John","non-dropping-particle":"","parse-names":false,"suffix":""}],"container-title":"Organization Theory","id":"ITEM-6","issue":"3","issued":{"date-parts":[["2020"]]},"page":"1 - 20","title":"Engaging with Grand Challenges: An Institutional Logics Perspective","type":"article-journal","volume":"1"},"uris":["http://www.mendeley.com/documents/?uuid=dacf5638-66f7-4439-89e3-4c36bebc3e96"]}],"mendeley":{"formattedCitation":"(Gümüsay, Claus, &amp; Amis, 2020; Marano &amp; Kostova, 2016; Besharov &amp; Smith, 2014; Thornton, Ocasio, &amp; Lounsbury, 2012; Jensen, Kjærgaard, &amp; Svejvig, 2009; Dacin, Goodstein, &amp; Scott, 2002)","plainTextFormattedCitation":"(Gümüsay, Claus, &amp; Amis, 2020; Marano &amp; Kostova, 2016; Besharov &amp; Smith, 2014; Thornton, Ocasio, &amp; Lounsbury, 2012; Jensen, Kjærgaard, &amp; Svejvig, 2009; Dacin, Goodstein, &amp; Scott, 2002)","previouslyFormattedCitation":"(Gümüsay, Claus, &amp; Amis, 2020; Marano &amp; Kostova, 2016; Besharov &amp; Smith, 2014; Thornton, Ocasio, &amp; Lounsbury, 2012; Jensen, Kjærgaard, &amp; Svejvig, 2009; Dacin, Goodstein, &amp; Scott, 2002)"},"properties":{"noteIndex":0},"schema":"https://github.com/citation-style-language/schema/raw/master/csl-citation.json"}</w:instrText>
      </w:r>
      <w:r>
        <w:rPr>
          <w:rFonts w:cs="Calibri"/>
        </w:rPr>
        <w:fldChar w:fldCharType="separate"/>
      </w:r>
      <w:r w:rsidR="007C12EC" w:rsidRPr="007C12EC">
        <w:rPr>
          <w:rFonts w:cs="Calibri"/>
          <w:noProof/>
        </w:rPr>
        <w:t>(Gümüsay, Claus, &amp; Amis, 2020; Marano &amp; Kostova, 2016; Besharov &amp; Smith, 2014; Thornton, Ocasio, &amp; Lounsbury, 2012; Jensen, Kjærgaard, &amp; Svejvig, 2009; Dacin, Goodstein, &amp; Scott, 2002)</w:t>
      </w:r>
      <w:r>
        <w:rPr>
          <w:rFonts w:cs="Calibri"/>
        </w:rPr>
        <w:fldChar w:fldCharType="end"/>
      </w:r>
      <w:r>
        <w:rPr>
          <w:rFonts w:cs="Calibri"/>
        </w:rPr>
        <w:t xml:space="preserve">, which creates a challenge for organisations such as SYFR to constantly adapt and work to the new parameters of the social media logic, and therefore requires strong levels of reflexivity within SYFR </w:t>
      </w:r>
      <w:r>
        <w:fldChar w:fldCharType="begin" w:fldLock="1"/>
      </w:r>
      <w:r>
        <w:rPr>
          <w:rFonts w:cs="Calibri"/>
        </w:rPr>
        <w:instrText>ADDIN CSL_CITATION {"citationItems":[{"id":"ITEM-1","itemData":{"DOI":"10.1177/0007650318789104","ISSN":"15524205","abstract":"Social innovations are urgently needed as we confront complex social problems. As these social problems feature substantial interdependencies among multiple systems and actors, developing and implementing innovative solutions involve the re-negotiating of settled institutions or the building of new ones. In this introductory article, we introduce a stylized three-cycle model highlighting the institutional nature of social innovation efforts. The model conceptualizes social innovation processes as the product of agentic, relational, and situated dynamics in three interrelated cycles that operate at the micro, meso, and macro levels of analysis. The five papers included in this special issue address one or more of these cycles. We draw on these papers and the model to stimulate and offer guidance to future conversations on social innovations from an institutional theory perspective.","author":[{"dropping-particle":"","family":"Wijk","given":"Jakomijn","non-dropping-particle":"van","parse-names":false,"suffix":""},{"dropping-particle":"","family":"Zietsma","given":"Charlene","non-dropping-particle":"","parse-names":false,"suffix":""},{"dropping-particle":"","family":"Dorado","given":"Silvia","non-dropping-particle":"","parse-names":false,"suffix":""},{"dropping-particle":"","family":"Bakker","given":"Frank G.A.","non-dropping-particle":"de","parse-names":false,"suffix":""},{"dropping-particle":"","family":"Martí","given":"Ignasi","non-dropping-particle":"","parse-names":false,"suffix":""}],"container-title":"Business and Society","id":"ITEM-1","issue":"5","issued":{"date-parts":[["2019"]]},"page":"887-918","title":"Social Innovation: Integrating Micro, Meso, and Macro Level Insights From Institutional Theory","type":"article-journal","volume":"58"},"uris":["http://www.mendeley.com/documents/?uuid=e7aea813-38d5-4cfc-809f-0f93b22a795c"]},{"id":"ITEM-2","itemData":{"DOI":"10.1177/1476127015625040","author":[{"dropping-particle":"","family":"Ocasio","given":"William","non-dropping-particle":"","parse-names":false,"suffix":""},{"dropping-particle":"","family":"Radoynovska","given":"Nevena","non-dropping-particle":"","parse-names":false,"suffix":""}],"container-title":"Strategic Organization","id":"ITEM-2","issue":"4","issued":{"date-parts":[["2016"]]},"page":"287 - 309","title":"Strategy and commitments to institutional logics : Organizational heterogeneity in business models and governance","type":"article-journal","volume":"14"},"uris":["http://www.mendeley.com/documents/?uuid=eede86b6-3a39-4b52-acc9-94e8cc3fbd5e"]}],"mendeley":{"formattedCitation":"(van Wijk et al., 2019; Ocasio &amp; Radoynovska, 2016)","plainTextFormattedCitation":"(van Wijk et al., 2019; Ocasio &amp; Radoynovska, 2016)","previouslyFormattedCitation":"(van Wijk et al., 2019; Ocasio &amp; Radoynovska, 2016)"},"properties":{"noteIndex":0},"schema":"https://github.com/citation-style-language/schema/raw/master/csl-citation.json"}</w:instrText>
      </w:r>
      <w:r>
        <w:rPr>
          <w:rFonts w:cs="Calibri"/>
        </w:rPr>
        <w:fldChar w:fldCharType="separate"/>
      </w:r>
      <w:r>
        <w:rPr>
          <w:rFonts w:cs="Calibri"/>
          <w:noProof/>
        </w:rPr>
        <w:t>(van Wijk et al., 2019; Ocasio &amp; Radoynovska, 2016)</w:t>
      </w:r>
      <w:r>
        <w:rPr>
          <w:rFonts w:cs="Calibri"/>
        </w:rPr>
        <w:fldChar w:fldCharType="end"/>
      </w:r>
      <w:r>
        <w:rPr>
          <w:rFonts w:cs="Calibri"/>
        </w:rPr>
        <w:t xml:space="preserve">. However, this also creates potential for SYFR to develop institutional agency </w:t>
      </w:r>
      <w:r>
        <w:fldChar w:fldCharType="begin" w:fldLock="1"/>
      </w:r>
      <w:r w:rsidR="00974B75">
        <w:rPr>
          <w:rFonts w:cs="Calibri"/>
        </w:rPr>
        <w:instrText>ADDIN CSL_CITATION {"citationItems":[{"id":"ITEM-1","itemData":{"DOI":"10.1108/S0733-558X(2013)0039A&amp;B015","ISSN":"0733558X","abstract":"This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Organizations","id":"ITEM-1","issue":"B","issued":{"date-parts":[["2013"]]},"page":"37-61","publisher":"Emerald Group Publishing Limited","title":"Institutional ambidexterity: Leveraging institutional complexity in practice","type":"article-journal","volume":"39"},"uris":["http://www.mendeley.com/documents/?uuid=ff8dc873-f050-4c05-bdec-08925d6e6ab8"]},{"id":"ITEM-2","itemData":{"DOI":"10.1177/1476127015625040","author":[{"dropping-particle":"","family":"Ocasio","given":"William","non-dropping-particle":"","parse-names":false,"suffix":""},{"dropping-particle":"","family":"Radoynovska","given":"Nevena","non-dropping-particle":"","parse-names":false,"suffix":""}],"container-title":"Strategic Organization","id":"ITEM-2","issue":"4","issued":{"date-parts":[["2016"]]},"page":"287 - 309","title":"Strategy and commitments to institutional logics : Organizational heterogeneity in business models and governance","type":"article-journal","volume":"14"},"uris":["http://www.mendeley.com/documents/?uuid=eede86b6-3a39-4b52-acc9-94e8cc3fbd5e"]}],"mendeley":{"formattedCitation":"(Ocasio &amp; Radoynovska, 2016; Jarzabkowski et al., 2013)","plainTextFormattedCitation":"(Ocasio &amp; Radoynovska, 2016; Jarzabkowski et al., 2013)","previouslyFormattedCitation":"(Ocasio &amp; Radoynovska, 2016; Jarzabkowski et al., 2013)"},"properties":{"noteIndex":0},"schema":"https://github.com/citation-style-language/schema/raw/master/csl-citation.json"}</w:instrText>
      </w:r>
      <w:r>
        <w:rPr>
          <w:rFonts w:cs="Calibri"/>
        </w:rPr>
        <w:fldChar w:fldCharType="separate"/>
      </w:r>
      <w:r>
        <w:rPr>
          <w:rFonts w:cs="Calibri"/>
          <w:noProof/>
        </w:rPr>
        <w:t>(Ocasio &amp; Radoynovska, 2016; Jarzabkowski et al., 2013)</w:t>
      </w:r>
      <w:r>
        <w:rPr>
          <w:rFonts w:cs="Calibri"/>
        </w:rPr>
        <w:fldChar w:fldCharType="end"/>
      </w:r>
      <w:r>
        <w:rPr>
          <w:rFonts w:cs="Calibri"/>
        </w:rPr>
        <w:t xml:space="preserve"> within the FRS logic, to use new platforms and trial new methods of communicating surrounding risk. </w:t>
      </w:r>
    </w:p>
    <w:p w14:paraId="5FA37BFC" w14:textId="77777777" w:rsidR="00787F73" w:rsidRDefault="00787F73" w:rsidP="00866155">
      <w:pPr>
        <w:rPr>
          <w:rFonts w:cs="Calibri"/>
        </w:rPr>
      </w:pPr>
    </w:p>
    <w:p w14:paraId="1DD8596D" w14:textId="56C18D70" w:rsidR="00787F73" w:rsidRDefault="00742FB7" w:rsidP="00866155">
      <w:r>
        <w:rPr>
          <w:rFonts w:cs="Calibri"/>
        </w:rPr>
        <w:t xml:space="preserve">Examining the campaign data, I became aware of the reliance on metrics and quantification, such as the use of incident data, MOSAIC data, and social media metrics. It appeared that SYFR were using a combination of these quantifiable measures to imply causation between their PICs and a reduction in </w:t>
      </w:r>
      <w:r w:rsidR="00F84689">
        <w:rPr>
          <w:rFonts w:cs="Calibri"/>
        </w:rPr>
        <w:t xml:space="preserve">reported </w:t>
      </w:r>
      <w:r w:rsidR="006C263A" w:rsidRPr="00F84689">
        <w:t>incident</w:t>
      </w:r>
      <w:r w:rsidR="006C263A" w:rsidRPr="00F84689">
        <w:rPr>
          <w:rFonts w:cs="Calibri"/>
        </w:rPr>
        <w:t>s</w:t>
      </w:r>
      <w:r w:rsidR="006C263A">
        <w:t>. Whil</w:t>
      </w:r>
      <w:r w:rsidR="00E16D30">
        <w:t>e</w:t>
      </w:r>
      <w:r w:rsidRPr="00F84689">
        <w:t xml:space="preserve"> </w:t>
      </w:r>
      <w:r>
        <w:rPr>
          <w:rFonts w:cs="Calibri"/>
        </w:rPr>
        <w:t xml:space="preserve">they were aware that this did not provide a full picture, they continued with this approach, indicating a normative institutional logic within the FRS sector. This demonstrates that SYFR were being influenced by multiple logics, with the FRSA (2004) requiring SYFR to </w:t>
      </w:r>
      <w:r>
        <w:rPr>
          <w:rFonts w:cs="Calibri"/>
          <w:i/>
          <w:iCs/>
        </w:rPr>
        <w:t>prevent,</w:t>
      </w:r>
      <w:r>
        <w:rPr>
          <w:rFonts w:cs="Calibri"/>
        </w:rPr>
        <w:t xml:space="preserve"> and NPM logics encouraging quantification of engagement for wider performance indicators. These two logics appear to blend together </w:t>
      </w:r>
      <w:r>
        <w:fldChar w:fldCharType="begin" w:fldLock="1"/>
      </w:r>
      <w:r w:rsidR="00974B75">
        <w:rPr>
          <w:rFonts w:cs="Calibri"/>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Phenomena","type":"article-journal","volume":"47"},"uris":["http://www.mendeley.com/documents/?uuid=3561369e-31b0-40ce-940d-739bd34cab24"]},{"id":"ITEM-2","itemData":{"DOI":"10.1080/1461670X.2015.1052537","ISSN":"14699699","abstract":"This study analyzes the emergence, development, and stasis of the news fact-checking website through the institutional perspectives of population ecology and institutional logics. The population ecology approach suggests that like other new media forms, fact-checking sites will mimic one another in pursuit of legitimacy, and this will encourage formation of media “populations,” and tendencies to buffer the external environment and stabilize. Over time, these sites will respond more to other sites within the population itself than to changes in the immediate environment. However, the institutional logics approach accommodates conflict and agency, suggesting that entities pursue complex strategies to retain legitimacy when faced with conflicts within the wider institutional environment. The fact-checking site is a product of such a strategy, as it straddles both traditional journalism and digital network logics. Findings show evidence of a budding fact-checking site population, increasing legitimacy, and increased isomorphism. Yet findings also reveal fragmentation and diversity in recent years, suggesting that institutionalization processes are complex and uneven. Findings suggest a need to understand that media entities are shaped by both their exogenous environment and their endogenous “population,” a collective of similar entities. Future research should explore the conditions that lead to one or the other being more consequential.","author":[{"dropping-particle":"","family":"Lowrey","given":"Wilson","non-dropping-particle":"","parse-names":false,"suffix":""}],"container-title":"Journalism Studies","id":"ITEM-2","issue":"3","issued":{"date-parts":[["2017"]]},"page":"376-394","title":"The Emergence and Development of News Fact-checking Sites: Institutional logics and population ecology","type":"article-journal","volume":"18"},"uris":["http://www.mendeley.com/documents/?uuid=e8fb5c0e-d852-402f-8b44-c91e49684340"]},{"id":"ITEM-3","itemData":{"DOI":"10.1016/j.aos.2022.101336","ISSN":"03613682","abstract":"This paper is located within the research problematic of multiple logics with reference to professional service firms (PSFs), and in particular audit firms. Within this multi-logic (“hybrid”) and complex organization, we are specifically concerned with the impacts of new institutional logics that reflect social and political movements - in this case diversity legislation - and how these new logics are absorbed and managed within the organizations’ structures and practices. Based upon a study of large and medium sized audit firms in the UK, we consider the organizational responses to the demands for improved diversity among firm members, especially the senior elite, in the context of the passing of the Equality Act, 2010, and subsequent legislation which both consolidated and extended UK laws on discrimination. Our study indicates how such organizational sites have value for demonstrating how the conflict between logics shifts its terms of reference. While most of the conflict between logics of commercialism and professionalism has been successfully managed through mechanisms of hybridization, we bring to the fore how the struggles between ideas about merit and diversity in professional evaluation processes and practices are more intractable. Our work contributes to an understanding of both the dependencies (blending) and co-existences (separation) that can exist between diversity, commercial and professional logics of practice in multi-logic organizations. We further highlight the role of identity scripts that shape how individuals situationally demarcate their identities as they struggle with the demands for diversity that challenge dominant logics.","author":[{"dropping-particle":"","family":"Anderson-Gough","given":"Fiona","non-dropping-particle":"","parse-names":false,"suffix":""},{"dropping-particle":"","family":"Edgley","given":"Carla","non-dropping-particle":"","parse-names":false,"suffix":""},{"dropping-particle":"","family":"Robson","given":"Keith","non-dropping-particle":"","parse-names":false,"suffix":""},{"dropping-particle":"","family":"Sharma","given":"Nina","non-dropping-particle":"","parse-names":false,"suffix":""}],"container-title":"Accounting, Organizations and Society","id":"ITEM-3","issued":{"date-parts":[["2022"]]},"page":"1-21","publisher":"The Authors","title":"Organizational responses to multiple logics: Diversity, identity and the professional service firm","type":"article-journal","volume":"103"},"uris":["http://www.mendeley.com/documents/?uuid=fa3c624d-bc21-4550-9481-bd7c9bf1f730"]},{"id":"ITEM-4","itemData":{"DOI":"10.1080/19416520.2011.590299","ISSN":"19416520","abstract":"Organizations face institutional complexity whenever they confront incompatible prescriptions from multiple institutional logics. Our interest is in how plural institutional logics, refracted through field-level structures and processes, are experienced within organizations and how organizations respond to such complexity. We draw on a variety of cognate literatures to discuss the field-level structural characteristics and organizational attributes that shape institutional complexity. We then explore the repertoire of strategies and structures that organizations deploy to cope with multiple, competing demands. The analytical framework developed herein is presented to guide future scholarship in the systematic analysis of institutional complexity. We conclude by suggesting avenues for future research. © 2011 Academy of Management.","author":[{"dropping-particle":"","family":"Greenwood","given":"Royston","non-dropping-particle":"","parse-names":false,"suffix":""},{"dropping-particle":"","family":"Raynard","given":"Mia","non-dropping-particle":"","parse-names":false,"suffix":""},{"dropping-particle":"","family":"Kodeih","given":"Farah","non-dropping-particle":"","parse-names":false,"suffix":""},{"dropping-particle":"","family":"Micelotta","given":"Evelyn R.","non-dropping-particle":"","parse-names":false,"suffix":""},{"dropping-particle":"","family":"Lounsbury","given":"Michael","non-dropping-particle":"","parse-names":false,"suffix":""}],"container-title":"Academy of Management Annals","id":"ITEM-4","issue":"1","issued":{"date-parts":[["2011"]]},"page":"317-371","title":"Institutional complexity and organizational responses","type":"article-journal","volume":"5"},"uris":["http://www.mendeley.com/documents/?uuid=72d52388-8162-42b1-8496-741e9c5b2b81"]},{"id":"ITEM-5","itemData":{"DOI":"10.1111/soc4.12269","ISSN":"17519020","abstract":"The institutional logics perspective holds the promise of delivering where neo-institutionalist theory has disappointed - the ability to address key societal problems such as inequality, social discrimination, and economic insecurity - a promise that, as of yet, has been unrealized. In this review, I provide an overview of the body of work within the institutional logics perspective that addresses the co-existence of multiple institutional logics influencing identities, values, cognitive frameworks, and practices - institutional pluralism. I demonstrate how pluralism diverges from conventional neo-institutionalist theory in its view of institutional fields as heterogeneous spaces. I then review the implications for organizations and social actors responding to multiple logics in the institutional environment. In the discussion section, I argue that the study of pluralism, in acknowledging human agency, politics, and collective mobilization, opens the door for creative resolutions to societal problems hitherto overlooked in neo-institutional theory. Despite the promise, I address key research areas that remain unresolved or under-addressed in the institutional pluralism perspective.","author":[{"dropping-particle":"","family":"Yu","given":"Kyoung Hee","non-dropping-particle":"","parse-names":false,"suffix":""}],"container-title":"Sociology Compass","id":"ITEM-5","issue":"6","issued":{"date-parts":[["2015"]]},"page":"464-476","title":"Institutional Pluralism, Organizations, and Actors: A Review","type":"article-journal","volume":"9"},"uris":["http://www.mendeley.com/documents/?uuid=058e9d2a-fe79-4bc1-a00a-cbe69c5b928d"]}],"mendeley":{"formattedCitation":"(Anderson-Gough et al., 2022; Lounsbury et al., 2021; Lowrey, 2017; Yu, 2015; Greenwood et al., 2011)","plainTextFormattedCitation":"(Anderson-Gough et al., 2022; Lounsbury et al., 2021; Lowrey, 2017; Yu, 2015; Greenwood et al., 2011)","previouslyFormattedCitation":"(Anderson-Gough et al., 2022; Lounsbury et al., 2021; Lowrey, 2017; Yu, 2015; Greenwood et al., 2011)"},"properties":{"noteIndex":0},"schema":"https://github.com/citation-style-language/schema/raw/master/csl-citation.json"}</w:instrText>
      </w:r>
      <w:r>
        <w:rPr>
          <w:rFonts w:cs="Calibri"/>
        </w:rPr>
        <w:fldChar w:fldCharType="separate"/>
      </w:r>
      <w:r>
        <w:rPr>
          <w:rFonts w:cs="Calibri"/>
          <w:noProof/>
        </w:rPr>
        <w:t>(Anderson-Gough et al., 2022; Lounsbury et al., 2021; Lowrey, 2017; Yu, 2015; Greenwood et al., 2011)</w:t>
      </w:r>
      <w:r>
        <w:rPr>
          <w:rFonts w:cs="Calibri"/>
        </w:rPr>
        <w:fldChar w:fldCharType="end"/>
      </w:r>
      <w:r>
        <w:rPr>
          <w:rFonts w:cs="Calibri"/>
        </w:rPr>
        <w:t>, as the use of metrics and other performance indicators are used as a measure of the prevention</w:t>
      </w:r>
      <w:r w:rsidR="006C263A">
        <w:rPr>
          <w:rFonts w:cs="Calibri"/>
        </w:rPr>
        <w:t>.</w:t>
      </w:r>
      <w:r>
        <w:rPr>
          <w:rFonts w:cs="Calibri"/>
        </w:rPr>
        <w:t xml:space="preserve"> </w:t>
      </w:r>
      <w:r w:rsidR="006C263A">
        <w:rPr>
          <w:rFonts w:cs="Calibri"/>
        </w:rPr>
        <w:t>H</w:t>
      </w:r>
      <w:r>
        <w:rPr>
          <w:rFonts w:cs="Calibri"/>
        </w:rPr>
        <w:t xml:space="preserve">owever, as noted in the previous section, focusing on these metrics implies causation when it could be correlation, and therefore what appears to be institutional blending is in fact competing logics </w:t>
      </w:r>
      <w:r>
        <w:fldChar w:fldCharType="begin" w:fldLock="1"/>
      </w:r>
      <w:r w:rsidR="00D177B9">
        <w:rPr>
          <w:rFonts w:cs="Calibri"/>
        </w:rPr>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Process","type":"book"},"uris":["http://www.mendeley.com/documents/?uuid=7afe7588-cd0b-4a95-b78a-3214c1130169"]},{"id":"ITEM-2","itemData":{"DOI":"10.1177/017084069701800204","ISBN":"01708406","ISSN":"0170-8406","PMID":"9707225788","abstract":"The focus of this paper is to examine the responses to institutional isomorph ism in one area of the public sector — universities. As an example, one particu lar organizational practice is examined — performance appraisal — and its implications for one group of professionals — academics. In doing so, some of the sources of variation in responses to institutional pressures are illustrated and the strategies of resistance actors engage in to resist such pressures. It is suggested that the concept of institutional logic is an important element in influencing responses to isomorphism, providing a repertoire of beliefs with which to contest concepts of legitimacy.","author":[{"dropping-particle":"","family":"Townley","given":"Barbara","non-dropping-particle":"","parse-names":false,"suffix":""}],"container-title":"Organization Studies","id":"ITEM-2","issue":"2","issued":{"date-parts":[["1997"]]},"page":"261-285","title":"Logic of Performance Appraisal","type":"article-journal","volume":"18"},"uris":["http://www.mendeley.com/documents/?uuid=3956e178-7c7b-4649-90dd-0750fde9fde0"]},{"id":"ITEM-3","itemData":{"DOI":"10.1108/S0733-558X201600048A005","author":[{"dropping-particle":"","family":"Zilber","given":"Tammar B","non-dropping-particle":"","parse-names":false,"suffix":""}],"chapter-number":"5","container-title":"How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-3","issued":{"date-parts":[["2016"]]},"page":"137-155","publisher":"Emerald Group Publishing Limited","title":"How Institutional Logics Matter: A Bottom-Up Exploration","type":"chapter","volume":"48"},"uris":["http://www.mendeley.com/documents/?uuid=e4988de7-6965-4bc8-bedf-8392ba1d8d8c"]},{"id":"ITEM-4","itemData":{"DOI":"10.1108/S0733-558X201600048A001","author":[{"dropping-particle":"","family":"Glaser","given":"Vern L","non-dropping-particle":"","parse-names":false,"suffix":""},{"dropping-particle":"","family":"Fast","given":"Nathanael J","non-dropping-particle":"","parse-names":false,"suffix":""},{"dropping-particle":"","family":"Harmon","given":"Derek J","non-dropping-particle":"","parse-names":false,"suffix":""},{"dropping-particle":"","family":"Green","given":"Sandy E","non-dropping-particle":"","parse-names":false,"suffix":""}],"chapter-number":"2","container-title":"How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-4","issued":{"date-parts":[["2016"]]},"page":"35-70","publisher":"Emerald Group Publishing Limited","title":"Institutional Frame Switching: How Institutional Logics Shape Individual Action","type":"chapter","volume":"48A"},"uris":["http://www.mendeley.com/documents/?uuid=8ac9f37b-5be1-4297-bd70-0abc13a22de3"]},{"id":"ITEM-5","itemData":{"DOI":"10.1177/1476127015625040","author":[{"dropping-particle":"","family":"Ocasio","given":"William","non-dropping-particle":"","parse-names":false,"suffix":""},{"dropping-particle":"","family":"Radoynovska","given":"Nevena","non-dropping-particle":"","parse-names":false,"suffix":""}],"container-title":"Strategic Organization","id":"ITEM-5","issue":"4","issued":{"date-parts":[["2016"]]},"page":"287 - 309","title":"Strategy and commitments to institutional logics : Organizational heterogeneity in business models and governance","type":"article-journal","volume":"14"},"uris":["http://www.mendeley.com/documents/?uuid=eede86b6-3a39-4b52-acc9-94e8cc3fbd5e"]},{"id":"ITEM-6","itemData":{"DOI":"10.1177/0007650318789104","ISSN":"15524205","abstract":"Social innovations are urgently needed as we confront complex social problems. As these social problems feature substantial interdependencies among multiple systems and actors, developing and implementing innovative solutions involve the re-negotiating of settled institutions or the building of new ones. In this introductory article, we introduce a stylized three-cycle model highlighting the institutional nature of social innovation efforts. The model conceptualizes social innovation processes as the product of agentic, relational, and situated dynamics in three interrelated cycles that operate at the micro, meso, and macro levels of analysis. The five papers included in this special issue address one or more of these cycles. We draw on these papers and the model to stimulate and offer guidance to future conversations on social innovations from an institutional theory perspective.","author":[{"dropping-particle":"","family":"Wijk","given":"Jakomijn","non-dropping-particle":"van","parse-names":false,"suffix":""},{"dropping-particle":"","family":"Zietsma","given":"Charlene","non-dropping-particle":"","parse-names":false,"suffix":""},{"dropping-particle":"","family":"Dorado","given":"Silvia","non-dropping-particle":"","parse-names":false,"suffix":""},{"dropping-particle":"","family":"Bakker","given":"Frank G.A.","non-dropping-particle":"de","parse-names":false,"suffix":""},{"dropping-particle":"","family":"Martí","given":"Ignasi","non-dropping-particle":"","parse-names":false,"suffix":""}],"container-title":"Business and Society","id":"ITEM-6","issue":"5","issued":{"date-parts":[["2019"]]},"page":"887-918","title":"Social Innovation: Integrating Micro, Meso, and Macro Level Insights From Institutional Theory","type":"article-journal","volume":"58"},"uris":["http://www.mendeley.com/documents/?uuid=e7aea813-38d5-4cfc-809f-0f93b22a795c"]},{"id":"ITEM-7","itemData":{"DOI":"10.1111/soc4.12269","ISSN":"17519020","abstract":"The institutional logics perspective holds the promise of delivering where neo-institutionalist theory has disappointed - the ability to address key societal problems such as inequality, social discrimination, and economic insecurity - a promise that, as of yet, has been unrealized. In this review, I provide an overview of the body of work within the institutional logics perspective that addresses the co-existence of multiple institutional logics influencing identities, values, cognitive frameworks, and practices - institutional pluralism. I demonstrate how pluralism diverges from conventional neo-institutionalist theory in its view of institutional fields as heterogeneous spaces. I then review the implications for organizations and social actors responding to multiple logics in the institutional environment. In the discussion section, I argue that the study of pluralism, in acknowledging human agency, politics, and collective mobilization, opens the door for creative resolutions to societal problems hitherto overlooked in neo-institutional theory. Despite the promise, I address key research areas that remain unresolved or under-addressed in the institutional pluralism perspective.","author":[{"dropping-particle":"","family":"Yu","given":"Kyoung Hee","non-dropping-particle":"","parse-names":false,"suffix":""}],"container-title":"Sociology Compass","id":"ITEM-7","issue":"6","issued":{"date-parts":[["2015"]]},"page":"464-476","title":"Institutional Pluralism, Organizations, and Actors: A Review","type":"article-journal","volume":"9"},"uris":["http://www.mendeley.com/documents/?uuid=058e9d2a-fe79-4bc1-a00a-cbe69c5b928d"]}],"mendeley":{"formattedCitation":"(van Wijk et al., 2019; Glaser et al., 2016; Ocasio &amp; Radoynovska, 2016; Zilber, 2016; Yu, 2015; Thornton, Ocasio, &amp; Lounsbury, 2012; Townley, 1997)","plainTextFormattedCitation":"(van Wijk et al., 2019; Glaser et al., 2016; Ocasio &amp; Radoynovska, 2016; Zilber, 2016; Yu, 2015; Thornton, Ocasio, &amp; Lounsbury, 2012; Townley, 1997)","previouslyFormattedCitation":"(van Wijk et al., 2019; Glaser et al., 2016; Ocasio &amp; Radoynovska, 2016; Zilber, 2016; Yu, 2015; Thornton, Ocasio, &amp; Lounsbury, 2012; Townley, 1997)"},"properties":{"noteIndex":0},"schema":"https://github.com/citation-style-language/schema/raw/master/csl-citation.json"}</w:instrText>
      </w:r>
      <w:r>
        <w:rPr>
          <w:rFonts w:cs="Calibri"/>
        </w:rPr>
        <w:fldChar w:fldCharType="separate"/>
      </w:r>
      <w:r w:rsidR="00E37B0E" w:rsidRPr="00E37B0E">
        <w:rPr>
          <w:rFonts w:cs="Calibri"/>
          <w:noProof/>
        </w:rPr>
        <w:t>(van Wijk et al., 2019; Glaser et al., 2016; Ocasio &amp; Radoynovska, 2016; Zilber, 2016; Yu, 2015; Thornton, Ocasio, &amp; Lounsbury, 2012; Townley, 1997)</w:t>
      </w:r>
      <w:r>
        <w:rPr>
          <w:rFonts w:cs="Calibri"/>
        </w:rPr>
        <w:fldChar w:fldCharType="end"/>
      </w:r>
      <w:r>
        <w:rPr>
          <w:rFonts w:cs="Calibri"/>
        </w:rPr>
        <w:t xml:space="preserve">. </w:t>
      </w:r>
    </w:p>
    <w:p w14:paraId="0FEB6D23" w14:textId="77777777" w:rsidR="00787F73" w:rsidRDefault="00787F73" w:rsidP="00866155">
      <w:pPr>
        <w:rPr>
          <w:rFonts w:cs="Calibri"/>
        </w:rPr>
      </w:pPr>
    </w:p>
    <w:p w14:paraId="55C69694" w14:textId="597C6FF6" w:rsidR="00787F73" w:rsidRDefault="00742FB7" w:rsidP="00866155">
      <w:r>
        <w:rPr>
          <w:rFonts w:cs="Calibri"/>
        </w:rPr>
        <w:lastRenderedPageBreak/>
        <w:t>This chapter answered RQ1 (</w:t>
      </w:r>
      <w:r>
        <w:rPr>
          <w:rFonts w:cs="Calibri"/>
          <w:lang w:eastAsia="ko-KR"/>
        </w:rPr>
        <w:t>What is SYFR’s communication strategy for building community disaster resilience?</w:t>
      </w:r>
      <w:r>
        <w:rPr>
          <w:rFonts w:cs="Calibri"/>
        </w:rPr>
        <w:t>) by examining the work that SYFR conducted with the community members of South Yorkshire, with a specific focus on how they designed, communicated, and evaluated their risk communication PICs. Whil</w:t>
      </w:r>
      <w:r w:rsidR="00E16D30">
        <w:rPr>
          <w:rFonts w:cs="Calibri"/>
        </w:rPr>
        <w:t>e</w:t>
      </w:r>
      <w:r>
        <w:rPr>
          <w:rFonts w:cs="Calibri"/>
        </w:rPr>
        <w:t xml:space="preserve"> SYFR use social media for </w:t>
      </w:r>
      <w:r w:rsidR="0036386C">
        <w:rPr>
          <w:rFonts w:cs="Calibri"/>
        </w:rPr>
        <w:t>all</w:t>
      </w:r>
      <w:r>
        <w:rPr>
          <w:rFonts w:cs="Calibri"/>
        </w:rPr>
        <w:t xml:space="preserve"> their campaigns, their materials predominantly focused on prevention </w:t>
      </w:r>
      <w:r w:rsidR="004C40E5">
        <w:rPr>
          <w:rFonts w:cs="Calibri"/>
        </w:rPr>
        <w:t xml:space="preserve">as an element of </w:t>
      </w:r>
      <w:r>
        <w:rPr>
          <w:rFonts w:cs="Calibri"/>
        </w:rPr>
        <w:t>community resilience</w:t>
      </w:r>
      <w:r w:rsidR="004C40E5">
        <w:rPr>
          <w:rFonts w:cs="Calibri"/>
        </w:rPr>
        <w:t xml:space="preserve">. </w:t>
      </w:r>
      <w:r w:rsidR="006C263A">
        <w:rPr>
          <w:rFonts w:cs="Calibri"/>
        </w:rPr>
        <w:t>Although they</w:t>
      </w:r>
      <w:r w:rsidR="004C40E5">
        <w:rPr>
          <w:rFonts w:cs="Calibri"/>
        </w:rPr>
        <w:t xml:space="preserve"> have  the aim of</w:t>
      </w:r>
      <w:r>
        <w:rPr>
          <w:rFonts w:cs="Calibri"/>
        </w:rPr>
        <w:t xml:space="preserve"> working towards community resilience, as evidenced by their partnership in this project, their messaging only focused on fire, which suggests that they were limited in how they could support the development of community resilience. This suggests that the institutional logics of the FRSA (2004) and NPM is constraining their ability to develop a communication strategy towards community resilience.  </w:t>
      </w:r>
    </w:p>
    <w:p w14:paraId="0BD8E2BB" w14:textId="77777777" w:rsidR="00787F73" w:rsidRDefault="00742FB7" w:rsidP="00866155">
      <w:pPr>
        <w:rPr>
          <w:rFonts w:cs="Calibri"/>
        </w:rPr>
      </w:pPr>
      <w:bookmarkStart w:id="837" w:name="_Hlk1616755621"/>
      <w:bookmarkEnd w:id="837"/>
      <w:r>
        <w:br w:type="page"/>
      </w:r>
    </w:p>
    <w:p w14:paraId="1A7EDA61" w14:textId="77777777" w:rsidR="00787F73" w:rsidRDefault="00742FB7" w:rsidP="00A0151B">
      <w:pPr>
        <w:pStyle w:val="Heading1"/>
        <w:spacing w:before="0"/>
        <w:jc w:val="center"/>
      </w:pPr>
      <w:bookmarkStart w:id="838" w:name="_Toc158216458"/>
      <w:bookmarkStart w:id="839" w:name="_Toc158047135"/>
      <w:bookmarkStart w:id="840" w:name="_Toc156227629"/>
      <w:bookmarkStart w:id="841" w:name="_Toc158046801"/>
      <w:bookmarkStart w:id="842" w:name="_Toc158047180"/>
      <w:bookmarkStart w:id="843" w:name="_Toc158216644"/>
      <w:bookmarkStart w:id="844" w:name="_Toc193367240"/>
      <w:bookmarkStart w:id="845" w:name="_Toc153554356"/>
      <w:r>
        <w:lastRenderedPageBreak/>
        <w:t>Chapter 5: What influences and shapes SYFR’s communication strategy?</w:t>
      </w:r>
      <w:bookmarkEnd w:id="838"/>
      <w:bookmarkEnd w:id="839"/>
      <w:bookmarkEnd w:id="840"/>
      <w:bookmarkEnd w:id="841"/>
      <w:bookmarkEnd w:id="842"/>
      <w:bookmarkEnd w:id="843"/>
      <w:bookmarkEnd w:id="844"/>
    </w:p>
    <w:p w14:paraId="0F8C88CB" w14:textId="77777777" w:rsidR="00787F73" w:rsidRDefault="00742FB7" w:rsidP="00866155">
      <w:pPr>
        <w:pStyle w:val="Heading2"/>
      </w:pPr>
      <w:bookmarkStart w:id="846" w:name="_Toc158047181"/>
      <w:bookmarkStart w:id="847" w:name="_Toc158046802"/>
      <w:bookmarkStart w:id="848" w:name="_Toc156227630"/>
      <w:bookmarkStart w:id="849" w:name="_Toc158216645"/>
      <w:bookmarkStart w:id="850" w:name="_Toc158047136"/>
      <w:bookmarkStart w:id="851" w:name="_Toc158216459"/>
      <w:bookmarkStart w:id="852" w:name="_Toc193367241"/>
      <w:r>
        <w:t>5.1: Introduction</w:t>
      </w:r>
      <w:bookmarkEnd w:id="846"/>
      <w:bookmarkEnd w:id="847"/>
      <w:bookmarkEnd w:id="848"/>
      <w:bookmarkEnd w:id="849"/>
      <w:bookmarkEnd w:id="850"/>
      <w:bookmarkEnd w:id="851"/>
      <w:bookmarkEnd w:id="852"/>
    </w:p>
    <w:p w14:paraId="1D688726" w14:textId="77777777" w:rsidR="00787F73" w:rsidRDefault="00742FB7" w:rsidP="00A0151B">
      <w:pPr>
        <w:pStyle w:val="NormalWeb"/>
        <w:spacing w:before="0" w:after="0" w:line="360" w:lineRule="auto"/>
        <w:rPr>
          <w:rFonts w:ascii="Calibri" w:hAnsi="Calibri" w:cs="Calibri"/>
        </w:rPr>
      </w:pPr>
      <w:r>
        <w:rPr>
          <w:rFonts w:ascii="Calibri" w:hAnsi="Calibri" w:cs="Calibri"/>
        </w:rPr>
        <w:t xml:space="preserve">This chapter concentrates on the second research question, which explores </w:t>
      </w:r>
      <w:r>
        <w:rPr>
          <w:rFonts w:ascii="Calibri" w:hAnsi="Calibri" w:cs="Calibri"/>
          <w:i/>
          <w:iCs/>
        </w:rPr>
        <w:t>why</w:t>
      </w:r>
      <w:r>
        <w:rPr>
          <w:rFonts w:ascii="Calibri" w:hAnsi="Calibri" w:cs="Calibri"/>
        </w:rPr>
        <w:t xml:space="preserve"> SYFR communicate in the way they do. The research question builds on the findings from chapter 4 which explored SYFR’s communication strategy and their work on community resilience. Examination of the different influences and wider institutional drivers that affect SYFR is paramount for understanding their use of social media to enhance community resilience. Examining their approach and reasoning behind their communication strategy can inform future policy and implementation to meet communication aims and statutory obligations. </w:t>
      </w:r>
    </w:p>
    <w:p w14:paraId="3AA4F303" w14:textId="77777777" w:rsidR="004F6AAA" w:rsidRDefault="004F6AAA" w:rsidP="00A0151B">
      <w:pPr>
        <w:pStyle w:val="NormalWeb"/>
        <w:spacing w:before="0" w:after="0" w:line="360" w:lineRule="auto"/>
      </w:pPr>
    </w:p>
    <w:p w14:paraId="4E158782" w14:textId="77777777" w:rsidR="00787F73" w:rsidRDefault="00742FB7" w:rsidP="00A0151B">
      <w:pPr>
        <w:pStyle w:val="NormalWeb"/>
        <w:spacing w:before="0" w:after="0" w:line="360" w:lineRule="auto"/>
        <w:rPr>
          <w:rFonts w:ascii="Calibri" w:hAnsi="Calibri" w:cs="Calibri"/>
          <w:color w:val="000000"/>
        </w:rPr>
      </w:pPr>
      <w:r>
        <w:rPr>
          <w:rFonts w:ascii="Calibri" w:hAnsi="Calibri" w:cs="Calibri"/>
          <w:color w:val="000000"/>
        </w:rPr>
        <w:t xml:space="preserve">The data for this research question were collected using an institutional ethnography (IE). As discussed in the methodology, this approach focuses on the standpoint of the Communications team to examine the various ways they are influenced by institutions. Using an IE approach with an interpretivist philosophical paradigm, the logics discussed in this chapter are those which I interpreted from the data during the data collection period. </w:t>
      </w:r>
    </w:p>
    <w:p w14:paraId="3D66166B" w14:textId="77777777" w:rsidR="004F6AAA" w:rsidRDefault="004F6AAA" w:rsidP="00A0151B">
      <w:pPr>
        <w:pStyle w:val="NormalWeb"/>
        <w:spacing w:before="0" w:after="0" w:line="360" w:lineRule="auto"/>
      </w:pPr>
    </w:p>
    <w:p w14:paraId="2AFC63BD" w14:textId="02126BFA" w:rsidR="00787F73" w:rsidRDefault="00742FB7" w:rsidP="00A0151B">
      <w:pPr>
        <w:pStyle w:val="NormalWeb"/>
        <w:spacing w:before="0" w:after="0" w:line="360" w:lineRule="auto"/>
        <w:rPr>
          <w:rFonts w:ascii="Calibri" w:hAnsi="Calibri" w:cs="Calibri"/>
          <w:color w:val="000000"/>
        </w:rPr>
      </w:pPr>
      <w:r>
        <w:rPr>
          <w:rFonts w:ascii="Calibri" w:hAnsi="Calibri" w:cs="Calibri"/>
          <w:color w:val="000000"/>
        </w:rPr>
        <w:t xml:space="preserve">Throughout Chapter 4, various institutional logics were interpreted from the data. This included several logics which can be categorised into macro societal logics and field logics. This chapter examines each of these categories of logics and suggests that there is a hierarchy to them, with institutional pressures from the regulative logics (state logics) shaping their strategy, but with the field logics and wider context influencing their approach. </w:t>
      </w:r>
      <w:r w:rsidR="00C84401" w:rsidRPr="00010F12">
        <w:rPr>
          <w:rFonts w:ascii="Calibri" w:hAnsi="Calibri" w:cs="Calibri"/>
        </w:rPr>
        <w:t>While</w:t>
      </w:r>
      <w:r>
        <w:rPr>
          <w:rFonts w:ascii="Calibri" w:hAnsi="Calibri" w:cs="Calibri"/>
          <w:color w:val="000000"/>
        </w:rPr>
        <w:t xml:space="preserve"> these logics influence their daily activities, there is still space for institutional agency and the weaving in of additional logics which focus more on the normative and cultural-cognitive elements of institutions. </w:t>
      </w:r>
    </w:p>
    <w:p w14:paraId="20EC043B" w14:textId="77777777" w:rsidR="004F6AAA" w:rsidRDefault="004F6AAA" w:rsidP="00A0151B">
      <w:pPr>
        <w:pStyle w:val="NormalWeb"/>
        <w:spacing w:before="0" w:after="0" w:line="360" w:lineRule="auto"/>
      </w:pPr>
    </w:p>
    <w:p w14:paraId="2F8B1783" w14:textId="17C51909" w:rsidR="00787F73" w:rsidRDefault="00742FB7" w:rsidP="00866155">
      <w:pPr>
        <w:pStyle w:val="NormalWeb"/>
        <w:spacing w:before="240" w:after="240" w:line="360" w:lineRule="auto"/>
      </w:pPr>
      <w:r>
        <w:rPr>
          <w:rFonts w:ascii="Calibri" w:hAnsi="Calibri" w:cs="Calibri"/>
          <w:color w:val="000000"/>
        </w:rPr>
        <w:t>This chapter is structured into three main sections: societal logics</w:t>
      </w:r>
      <w:r w:rsidR="00857C5A">
        <w:rPr>
          <w:rFonts w:ascii="Calibri" w:hAnsi="Calibri" w:cs="Calibri"/>
          <w:color w:val="000000"/>
        </w:rPr>
        <w:t>;</w:t>
      </w:r>
      <w:r>
        <w:rPr>
          <w:rFonts w:ascii="Calibri" w:hAnsi="Calibri" w:cs="Calibri"/>
          <w:color w:val="000000"/>
        </w:rPr>
        <w:t xml:space="preserve"> field logics</w:t>
      </w:r>
      <w:r w:rsidR="00857C5A">
        <w:rPr>
          <w:rFonts w:ascii="Calibri" w:hAnsi="Calibri" w:cs="Calibri"/>
          <w:color w:val="000000"/>
        </w:rPr>
        <w:t>;</w:t>
      </w:r>
      <w:r>
        <w:rPr>
          <w:rFonts w:ascii="Calibri" w:hAnsi="Calibri" w:cs="Calibri"/>
          <w:color w:val="000000"/>
        </w:rPr>
        <w:t xml:space="preserve"> and contextual logics. Each examines the key logics which I interpreted from the data collected. Within the societal logics section, I first examine the impact of state logics with an analysis of the FRSA (2004) and the CCA (2004). Next is a discussion on the second societal logic that </w:t>
      </w:r>
      <w:r>
        <w:rPr>
          <w:rFonts w:ascii="Calibri" w:hAnsi="Calibri" w:cs="Calibri"/>
          <w:color w:val="000000"/>
        </w:rPr>
        <w:lastRenderedPageBreak/>
        <w:t xml:space="preserve">I interpreted from the community data. The second section of this chapter examines field level logics, focusing on the different professional logics from the Communications team, including the communication profession logic, as well as a journalism logic. The third section examines contextual logics, with a focus on COVID-19 and its influence on state and community logics. </w:t>
      </w:r>
    </w:p>
    <w:p w14:paraId="0611CBDE" w14:textId="77777777" w:rsidR="00787F73" w:rsidRDefault="00742FB7" w:rsidP="00866155">
      <w:pPr>
        <w:pStyle w:val="NormalWeb"/>
        <w:spacing w:before="240" w:after="240" w:line="360" w:lineRule="auto"/>
      </w:pPr>
      <w:bookmarkStart w:id="853" w:name="_Toc158216646"/>
      <w:bookmarkStart w:id="854" w:name="_Toc158047182"/>
      <w:bookmarkStart w:id="855" w:name="_Toc158216460"/>
      <w:bookmarkStart w:id="856" w:name="_Toc158046803"/>
      <w:bookmarkStart w:id="857" w:name="_Toc158047137"/>
      <w:r>
        <w:rPr>
          <w:rStyle w:val="Heading3Char"/>
        </w:rPr>
        <w:t>5.1.1: Contributions to the literature and policy</w:t>
      </w:r>
      <w:bookmarkEnd w:id="853"/>
      <w:bookmarkEnd w:id="854"/>
      <w:bookmarkEnd w:id="855"/>
      <w:bookmarkEnd w:id="856"/>
      <w:bookmarkEnd w:id="857"/>
      <w:r>
        <w:rPr>
          <w:rFonts w:ascii="Calibri" w:hAnsi="Calibri" w:cs="Calibri"/>
          <w:color w:val="000000"/>
        </w:rPr>
        <w:t>.</w:t>
      </w:r>
    </w:p>
    <w:p w14:paraId="73C6BDDD" w14:textId="58DCE996" w:rsidR="00787F73" w:rsidRDefault="00742FB7" w:rsidP="00AA5C28">
      <w:pPr>
        <w:pStyle w:val="NormalWeb"/>
        <w:spacing w:before="240" w:after="240" w:line="360" w:lineRule="auto"/>
        <w:rPr>
          <w:rFonts w:ascii="Calibri" w:hAnsi="Calibri" w:cs="Calibri"/>
          <w:color w:val="000000"/>
        </w:rPr>
      </w:pPr>
      <w:r w:rsidRPr="00AC1B06">
        <w:rPr>
          <w:rFonts w:ascii="Calibri" w:hAnsi="Calibri" w:cs="Calibri"/>
          <w:color w:val="000000"/>
        </w:rPr>
        <w:t>This chapter examines the inner workings of SYFR, focusing on the institutional drivers which influence their daily activities</w:t>
      </w:r>
      <w:r w:rsidR="00BA16C4">
        <w:rPr>
          <w:rFonts w:ascii="Calibri" w:hAnsi="Calibri" w:cs="Calibri"/>
          <w:color w:val="000000"/>
        </w:rPr>
        <w:t>,</w:t>
      </w:r>
      <w:r w:rsidRPr="00AC1B06">
        <w:rPr>
          <w:rFonts w:ascii="Calibri" w:hAnsi="Calibri" w:cs="Calibri"/>
          <w:color w:val="000000"/>
        </w:rPr>
        <w:t xml:space="preserve"> </w:t>
      </w:r>
      <w:r w:rsidR="00BA16C4">
        <w:rPr>
          <w:rFonts w:ascii="Calibri" w:hAnsi="Calibri" w:cs="Calibri"/>
          <w:color w:val="000000"/>
        </w:rPr>
        <w:t>T</w:t>
      </w:r>
      <w:r w:rsidRPr="00AC1B06">
        <w:rPr>
          <w:rFonts w:ascii="Calibri" w:hAnsi="Calibri" w:cs="Calibri"/>
          <w:color w:val="000000"/>
        </w:rPr>
        <w:t>he knowledge elaborated</w:t>
      </w:r>
      <w:r w:rsidR="00BA16C4">
        <w:rPr>
          <w:rFonts w:ascii="Calibri" w:hAnsi="Calibri" w:cs="Calibri"/>
          <w:color w:val="000000"/>
        </w:rPr>
        <w:t xml:space="preserve"> on</w:t>
      </w:r>
      <w:r w:rsidRPr="00AC1B06">
        <w:rPr>
          <w:rFonts w:ascii="Calibri" w:hAnsi="Calibri" w:cs="Calibri"/>
          <w:color w:val="000000"/>
        </w:rPr>
        <w:t xml:space="preserve"> below fills a gap in the literature. To date, the literature on the internal workings of the UK FRS has examined the culture of the FRS, gender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{"citationItems":[{"id":"ITEM-1","itemData":{"DOI":"10.1016/j.ienj.2014.06.002","ISSN":"1755599X","abstract":"Background: A critical incident is defined as an event stressful enough to overwhelm the usually effective coping skills of an individual. Firefighters are frequently exposed to critical incidents that might have consequences for individuals and their performance in organization. Aim: The aim of this study was to describe experiences of critical incidents among female and male Swedish firefighters. Method: In all 180 participants (16 women, 164 men) who had been involved in up to 25 critical incidents during the last year responded to a survey describing critical incidents experienced in the past year. A qualitative content analysis identified several areas for improvement in firefighters' working conditions. Results: Female firefighters were terse in describing their experiences, while the men described their experiences of critical events more vividly. The critical incidents described by the firefighters concerned such overwhelming situations as traffic accidents, huge fires, and other fatal incidents such as drownings and suicides. Risk of delay due to lack of equipment training and lack of medical education was mentioned. Lack of resources and organizational problems was mentioned as causing risks of failure. Several firefighters expressed frustration over being assaulted and threatened, or exposed to other kinds of violence. Not knowing how close, physically or mentally, one can get to people during ongoing rescue can lead to unsuccessful operations. Conclusions: Gender patterns should always be taken into account, making it possible for all firefighters to express and reflect on existentially tough experiences. Education needs to focus more on medical and mental health issues. Firefighters were sometimes exposed to the difficult challenge of violence and assault during rescue operations. The complexity of this problem needs to be highlighted, not only in firefighter organizations, but also in society in general.","author":[{"dropping-particle":"","family":"Jacobsson","given":"Ann","non-dropping-particle":"","parse-names":false,"suffix":""},{"dropping-particle":"","family":"Backteman-Erlanson","given":"Susann","non-dropping-particle":"","parse-names":false,"suffix":""},{"dropping-particle":"","family":"Brulin","given":"Christine","non-dropping-particle":"","parse-names":false,"suffix":""},{"dropping-particle":"","family":"Hörnsten","given":"Åsa","non-dropping-particle":"","parse-names":false,"suffix":""}],"container-title":"International Emergency Nursing","id":"ITEM-1","issue":"2","issued":{"date-parts":[["2015"]]},"page":"100-104","title":"Experiences of critical incidents among female and male firefighters","type":"article-journal","volume":"23"},"uris":["http://www.mendeley.com/documents/?uuid=df499a4a-5743-405d-b6db-3f8b928a9026"]},{"id":"ITEM-2","itemData":{"DOI":"10.5153/sro.3832","ISSN":"13607804","abstract":"Despite the increasing percentage of women entering masculinized workplaces, certain organizations consistently see little change in the gender makeup of their staff. Contemporary scholarship suggests that women in rigidly gendered organizations are often assigned a token status and are victimized due to their gender. This study relocates the conversations of women as tokens towards a fresh conversation of women's agency in masculinized workplaces. This paper uses ten qualitative interviews and ethnographic fieldwork to discuss how female firefighters navigate their gender at work. This article draws on reflexive accounts of everyday gendered negotiations to look at how the female firefighters ?do gender? within a specific fire service in Australia. I argue that emergency services, such as firefighting, create a contradictory field where women are located in (1) a paradoxical environment where the ?female body? is problematized (2) a work environment where they have to repeatedly prove their cultural competence in order to confirm their professional identity. The findings suggest that while female firefighters do have agency, tokenism locates many of them in a ?never quite there? bind that challenges their ability to progress into leadership roles within the service. This article concludes that the nuanced difference between, and at times, within the women's narratives problematizes the bounds of personal agency and cultural change. This consequently results in resistance to policies by some women that may benefit like-situated women, such as affirmative action.","author":[{"dropping-particle":"","family":"Perrott","given":"Tamika","non-dropping-particle":"","parse-names":false,"suffix":""}],"container-title":"Sociological Research Online","id":"ITEM-2","issue":"1","issued":{"date-parts":[["2016"]]},"page":"1-14","title":"Beyond 'token' firefighters: Exploring women's experiences of gender and identity at work","type":"article-journal","volume":"21"},"uris":["http://www.mendeley.com/documents/?uuid=02795c10-d092-41b1-9922-de0948a03cbb"]},{"id":"ITEM-3","itemData":{"DOI":"10.1016/j.emospa.2009.03.001","ISBN":"1755-4586","ISSN":"17554586","abstract":"As an occupation, firefighting is replete with images of maleness operating around a series of highly masculinised codes and values most notably comprising: risk/danger, heroism, fearlessness/courage, physicality, and bodily strength. This qualitative study of the UK Fire Service seeks to uncover the ways in which these masculine codes and values were evident amidst the daily working lives of a group of full-time, male firefighters. Placing respondent views at the centre of the research, findings suggest that occupational identities were based primarily upon notions of emotional strength, physical and technical competence and collective understandings of risk and responsibility. A commitment to group solidarity was also central to the masculine identities of respondents, with colleagues in administrative and managerial positions being distanced on account of their non-manual occupational roles. © 2009 Elsevier Ltd. All rights reserved.","author":[{"dropping-particle":"","family":"Thurnell-Read","given":"Thomas","non-dropping-particle":"","parse-names":false,"suffix":""},{"dropping-particle":"","family":"Parker","given":"Andrew","non-dropping-particle":"","parse-names":false,"suffix":""}],"container-title":"Emotion, Space and Society","id":"ITEM-3","issue":"2","issued":{"date-parts":[["2008"]]},"page":"127-134","publisher":"Elsevier Ltd","title":"Men, masculinities and firefighting: Occupational identity, shop-floor culture and organisational change","type":"article-journal","volume":"1"},"uris":["http://www.mendeley.com/documents/?uuid=57503363-bcc5-42cb-b52c-4039f5eadf42"]},{"id":"ITEM-4","itemData":{"DOI":"10.1177/0950017015573693","ISSN":"09500170","abstract":"This article focuses on a hitherto un-researched group: women leaders within the UK Fire and Rescue Service. The process of modernizing the Fire and Rescue Service has increased expectations of workforce diversification and of women more easily entering and progressing within the organization. However, participants’ commentary testified to the difficulties faced when seeking recognition as a skilled woman in this context given the persistence of firefighter men as the occupational ideal type. Achieving recognition for both physical and non-physical skills remained an embodied, gendered and contested process and one that was not eased by promotion. Participants identified the heightened visibility that accompanied leadership as especially problematic. The findings suggest that some new elements of the modernized UK Fire and Rescue Service culture are less successful than they might be at supporting women in leadership roles.","author":[{"dropping-particle":"","family":"Woodfield","given":"Ruth","non-dropping-particle":"","parse-names":false,"suffix":""}],"container-title":"Work, Employment and Society","id":"ITEM-4","issue":"2","issued":{"date-parts":[["2016"]]},"page":"237-255","title":"Gender and the achievement of skilled status in the workplace: the case of women leaders in the UK Fire and Rescue Service","type":"article-journal","volume":"30"},"uris":["http://www.mendeley.com/documents/?uuid=1433dd38-8aee-459c-8e09-24f5d7b0d4b2"]}],"mendeley":{"formattedCitation":"(Perrott, 2016; Woodfield, 2016; Jacobsson et al., 2015; Thurnell-Read &amp; Parker, 2008)","plainTextFormattedCitation":"(Perrott, 2016; Woodfield, 2016; Jacobsson et al., 2015; Thurnell-Read &amp; Parker, 2008)","previouslyFormattedCitation":"(Perrott, 2016; Woodfield, 2016; Jacobsson et al., 2015; Thurnell-Read &amp; Parker, 2008)"},"properties":{"noteIndex":0},"schema":"https://github.com/citation-style-language/schema/raw/master/csl-citation.json"}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(Perrott, 2016; Woodfield, 2016; Jacobsson et al., 2015; Thurnell-Read &amp; Parker, 2008)</w:t>
      </w:r>
      <w:r w:rsidRPr="00AC1B06">
        <w:rPr>
          <w:rFonts w:ascii="Calibri" w:hAnsi="Calibri" w:cs="Calibri"/>
          <w:color w:val="000000"/>
        </w:rPr>
        <w:fldChar w:fldCharType="end"/>
      </w:r>
      <w:r w:rsidRPr="00AC1B06">
        <w:rPr>
          <w:rFonts w:ascii="Calibri" w:hAnsi="Calibri" w:cs="Calibri"/>
          <w:color w:val="000000"/>
        </w:rPr>
        <w:t xml:space="preserve">, sexuality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{"citationItems":[{"id":"ITEM-1","itemData":{"DOI":"10.1111/j.1468-0432.2011.00558.x","ISSN":"09686673","abstract":"The public sector has traditionally been in the forefront of equality employment policy and practice and an employer of choice for lesbian, gay and bisexual (LGB) people. The introduction of the Employment Equality (Sexual Orientation) Regulations outlawing discrimination in employment on grounds of sexual orientation in 2003 has undoubtedly offered a step forward for LGB people in British workplaces. Yet the public sector has been subjected to huge changes as a result of the ‘mod- ernization agenda’ pursued by the Labour government between 1997 and 2010. It has been argued that the pace and direction of change has not only jeopardized but reversed progress made on equal opportunities in the public sector. This article considers LGB employee and trade union representatives’ views on the inclusion of sexual orientation in public sector equality policy and practice. It draws on European Social Fund-sponsored research in nine ‘good practice’ public sector organisa- tions between 1994 and 1997.","author":[{"dropping-particle":"","family":"Colgan","given":"Fiona","non-dropping-particle":"","parse-names":false,"suffix":""},{"dropping-particle":"","family":"Wright","given":"Tessa","non-dropping-particle":"","parse-names":false,"suffix":""}],"container-title":"Gender, Work and Organization","id":"ITEM-1","issue":"5","issued":{"date-parts":[["2011"]]},"page":"548-570","title":"Lesbian, gay and bisexual equality in a modernizing public sector 1997-2010: Opportunities and threats","type":"article-journal","volume":"18"},"uris":["http://www.mendeley.com/documents/?uuid=7231a234-db05-4965-a149-51d2f558e0ab"]}],"mendeley":{"formattedCitation":"(Colgan &amp; Wright, 2011)","plainTextFormattedCitation":"(Colgan &amp; Wright, 2011)","previouslyFormattedCitation":"(Colgan &amp; Wright, 2011)"},"properties":{"noteIndex":0},"schema":"https://github.com/citation-style-language/schema/raw/master/csl-citation.json"}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(Colgan &amp; Wright, 2011)</w:t>
      </w:r>
      <w:r w:rsidRPr="00AC1B06">
        <w:rPr>
          <w:rFonts w:ascii="Calibri" w:hAnsi="Calibri" w:cs="Calibri"/>
          <w:color w:val="000000"/>
        </w:rPr>
        <w:fldChar w:fldCharType="end"/>
      </w:r>
      <w:r w:rsidRPr="00AC1B06">
        <w:rPr>
          <w:rFonts w:ascii="Calibri" w:hAnsi="Calibri" w:cs="Calibri"/>
          <w:color w:val="000000"/>
        </w:rPr>
        <w:t xml:space="preserve">, and mental health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{"citationItems":[{"id":"ITEM-1","itemData":{"DOI":"10.1177/0004867415615217","ISSN":"14401614","abstract":"Objective: Emergency workers, such as fire-fighters, are routinely exposed to potentially traumatic events. While a number of studies have examined the occurrence of post-traumatic stress disorder, the role of multiple traumas on other mental health sequelae, such as depression and alcohol misuse, among emergency workers remains unclear. This study aimed to assess the prevalence of post-traumatic stress disorder, depression and alcohol misuse in a sample of current and retired fire-fighters and examine their relationship with cumulative trauma exposure. Method: A cross-sectional survey was completed by current (n = 488) and retired (n = 265) fire-fighters from Fire and Rescue New South Wales, Australia. Demographic and occupational information was collected, including the number of fatal incidents fire-fighters reported attending across years of service. Validated, self-report measures were used to determine probable caseness for post-traumatic stress disorder, depression and heavy drinking. Results: Among current fire-fighters, rates of post-traumatic stress disorder and depression were 8% and 5%, respectively, while 4% reported consumption of more than 42 alcoholic drinks per week. Retired fire-fighters reported significantly greater levels of symptomatology, with the prevalence estimates of post-traumatic stress disorder at 18% (p = 0.001), depression at 18% (p &lt; 0.001) and heavy drinking at 7%. There was a significant positive linear relationship between the number of fatal incidents attended and rates of post-traumatic stress disorder, depression and heavy drinking. Conclusion: Fire-fighters suffer from high rates of mental disorders, with rates of post-traumatic stress disorder, depression and heavy drinking continuing to rise in a linear manner with each additional trauma exposure. The level of psychiatric morbidity among retired fire-fighters appears to be particularly high. Our findings have important implications for the ongoing debates surrounding the detection of mental disorders in high-risk occupations and for policy consider- ations around the welfare of current and retired emergency workers.","author":[{"dropping-particle":"","family":"Harvey","given":"Samuel B.","non-dropping-particle":"","parse-names":false,"suffix":""},{"dropping-particle":"","family":"Milligan-Saville","given":"Josie S.","non-dropping-particle":"","parse-names":false,"suffix":""},{"dropping-particle":"","family":"Paterson","given":"Helen M.","non-dropping-particle":"","parse-names":false,"suffix":""},{"dropping-particle":"","family":"Harkness","given":"Emily L.","non-dropping-particle":"","parse-names":false,"suffix":""},{"dropping-particle":"","family":"Marsh","given":"Annabel M.","non-dropping-particle":"","parse-names":false,"suffix":""},{"dropping-particle":"","family":"Dobson","given":"Mark","non-dropping-particle":"","parse-names":false,"suffix":""},{"dropping-particle":"","family":"Kemp","given":"Richard","non-dropping-particle":"","parse-names":false,"suffix":""},{"dropping-particle":"","family":"Bryant","given":"Richard A.","non-dropping-particle":"","parse-names":false,"suffix":""}],"container-title":"Australian and New Zealand Journal of Psychiatry","id":"ITEM-1","issue":"7","issued":{"date-parts":[["2016"]]},"page":"649-658","title":"The mental health of fire-fighters: An examination of the impact of repeated trauma exposure","type":"article-journal","volume":"50"},"uris":["http://www.mendeley.com/documents/?uuid=ebae51a7-de1d-4bd7-94aa-df8ef4cd7eaf"]},{"id":"ITEM-2","itemData":{"DOI":".1037//0033-2909.I26.1.78","abstract":"Background: Women protective service workers die by suicide at a higher rate than women workers in other occupational groups. However, no study has examined rates and correlates of suicidal thoughts and behaviors among women firefighters, despite the potential for these data to inform suicide screening, prevention, and intervention initiatives. The purpose of this study is to describe and compare pre-career and career rates of suicidal thoughts and behaviors and identify their sociodemographic and occupational correlates among women firefighters. Methods: Data were obtained from 313 current U.S. women firefighters who completed a web-based survey (mean age = 37.30y, SD = 9.70y, 92.7% White). Results: Pre-career rates of suicide ideation, plans, attempts, and non-suicidal self-injury (NSSI) were found to be 28.4%, 10.2%, 5.8%, and 11.2%, respectively. Career rates of suicide ideation, plans, attempts, and NSSI were found to be 37.7%, 10.9%, 3.5%, and 9.3%, respectively. Pre-career rates of suicide ideation (OR = 4.760, 95% CI = 2.820–8.034, p &lt; 0.001), plans (OR = 4.867, 95% CI = 2.067–11.463, p &lt; 0.001), attempts (OR = 7.175, 95% CI = 1.726–29.828, p = 0.007), and NSSI (OR = 9.676, 95% CI = 4.130–22.670, p &lt; 0.001) were significantly associated with career suicidality. With few exceptions, neither sociodemographic characteristics nor firefighter experiences were associated with career suicidal symptoms. Limitations: Study limitations include a cross-sectional design and convenience sample recruitment strategy. Conclusions: Women firefighters report elevated rates of suicidal thoughts and behaviors. Suicidal symptoms occurring prior to one's tenure as a firefighter—and not solely an aspect of firefighter career experiences—should be considered in suicide risk screening, prevention, and intervention initiatives. Studies examining modifiable suicide risk factors and correlates (e.g., psychiatric symptoms, workplace harassment) are needed.","author":[{"dropping-particle":"","family":"Stanley","given":"Ian H","non-dropping-particle":"","parse-names":false,"suffix":""},{"dropping-particle":"","family":"Hom","given":"Melanie A","non-dropping-particle":"","parse-names":false,"suffix":""},{"dropping-particle":"","family":"Spencer-Thomas","given":"Sally","non-dropping-particle":"","parse-names":false,"suffix":""},{"dropping-particle":"","family":"Joiner","given":"Thomas E","non-dropping-particle":"","parse-names":false,"suffix":""}],"container-title":"Journal of Affective Disorders","id":"ITEM-2","issue":"15","issued":{"date-parts":[["2017"]]},"page":"107 - 114","title":"Suicidal thoughts and behaviors among women firefighters: An examination of associated features and comparison of pre-career and career prevalence rates","type":"article-journal","volume":"221"},"uris":["http://www.mendeley.com/documents/?uuid=b3d3edb7-5228-44b1-8e72-92c2d205a566"]}],"mendeley":{"formattedCitation":"(Stanley et al., 2017; Harvey et al., 2016)","plainTextFormattedCitation":"(Stanley et al., 2017; Harvey et al., 2016)","previouslyFormattedCitation":"(Stanley et al., 2017; Harvey et al., 2016)"},"properties":{"noteIndex":0},"schema":"https://github.com/citation-style-language/schema/raw/master/csl-citation.json"}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(Stanley et al., 2017; Harvey et al., 2016)</w:t>
      </w:r>
      <w:r w:rsidRPr="00AC1B06">
        <w:rPr>
          <w:rFonts w:ascii="Calibri" w:hAnsi="Calibri" w:cs="Calibri"/>
          <w:color w:val="000000"/>
        </w:rPr>
        <w:fldChar w:fldCharType="end"/>
      </w:r>
      <w:r w:rsidRPr="00AC1B06">
        <w:rPr>
          <w:rFonts w:ascii="Calibri" w:hAnsi="Calibri" w:cs="Calibri"/>
          <w:color w:val="000000"/>
        </w:rPr>
        <w:t xml:space="preserve"> with specific work conducted on Post Traumatic Stress Disorder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{"citationItems":[{"id":"ITEM-1","itemData":{"DOI":"10.1080/02678370310001625649","ISBN":"0267-8373","ISSN":"02678373","abstract":"Emergency service personnel are at high risk of developing post-traumatic stress disorder (PTSD). However, there is little in-depth information on the psychological responses of firefighters to the daily incidents that they attend. This preliminary study aimed to investigate the PTSD symptoms of firefighters in relation to traumatic events experienced by them, and the availability of social support. Thirty-one UK fire service workers completed an adapted version of the Post-traumatic Diagnostic Scale (PDS; Foa, 1995) to investigate the existence of post-traumatic stress disorder (PTSD). They were also individually interviewed to explore the symptoms they had experienced, what events these were related to, types of social support and coping strategies. Two participants reached the DSM-IV criteria for PTSD. Rumination and sleep disturbance were the most commonly reported PTSD symptoms. Participants reported high levels of social support from within the service and outside. The results suggest that fire service personnel are at risk of developing some symptoms of PTSD; however most had not experienced severe enough symptoms for PTSD to be diagnosed. The study suggests that high levels of social support may play a role in buffering firefighters from the development of PTSD.","author":[{"dropping-particle":"","family":"Haslam","given":"Cheryl","non-dropping-particle":"","parse-names":false,"suffix":""},{"dropping-particle":"","family":"Mallon","given":"Krissie","non-dropping-particle":"","parse-names":false,"suffix":""}],"container-title":"Work and Stress","id":"ITEM-1","issue":"3","issued":{"date-parts":[["2003"]]},"page":"277-285","title":"A preliminary investigation of post-traumatic stress symptoms among firefighters","type":"article-journal","volume":"17"},"uris":["http://www.mendeley.com/documents/?uuid=806622ba-fa7e-4ab4-97b3-0124df8bcb55"]},{"id":"ITEM-2","itemData":{"DOI":".1037//0033-2909.I26.1.78","abstract":"When genetic similarity is controlled, siblings often appear no more alike than individuals selected atrandom from the population. Since R. Plomin and D. Daniels' seminal 1987 review, it has become widelyaccepted that the source of this dissimilarity is a variance component called nonshared environment. Theauthors review the conceptual foundations of nonshared environment, with emphasis on distinctionsbetween components of environmental variance and causal properties of environmental events andbetween the effective and objective aspects of the environment. A statistical model of shared andnonshared environmental variables is developed. A quantitative review shows that measured nonsharedenvironmental variables do not account for a substantial portion of the nonshared variability posited bybiometric studies of behavior. Other explanations of the preponderance of nonshared environmentalvariability are suggested.","author":[{"dropping-particle":"","family":"Khan","given":"Khalid","non-dropping-particle":"","parse-names":false,"suffix":""},{"dropping-particle":"","family":"Charters","given":"Jonathan","non-dropping-particle":"","parse-names":false,"suffix":""},{"dropping-particle":"","family":"Graham","given":"Tony L","non-dropping-particle":"","parse-names":false,"suffix":""},{"dropping-particle":"","family":"Nasriani","given":"Hamid R","non-dropping-particle":"","parse-names":false,"suffix":""},{"dropping-particle":"","family":"Ndlovu","given":"Shephard","non-dropping-particle":"","parse-names":false,"suffix":""}],"container-title":"Safety and Health at Work","id":"ITEM-2","issue":"3","issued":{"date-parts":[["2018"]]},"page":"277 - 289","title":"A Case Study of the effects of Posttraumatic Stress Disorder on Operational Fire Service Personnel Within the Lancashire Fire and Rescue Service","type":"article-journal","volume":"9"},"uris":["http://www.mendeley.com/documents/?uuid=4407b009-158f-4f76-80a9-4b3f1fc5751e"]},{"id":"ITEM-3","itemData":{"DOI":"10.1093/occmed/kqm071","ISBN":"0361-5995","ISSN":"09627480","PMID":"17728314","abstract":"We assessed the transport of dissolved organic matter (DOM) through a sandy, Ultisol forest soil on the southeastern U.S. Coastal Plain, and contrasted the results with similar studies from other forest regions, to test the hypothesis that DOM transport is greater through sandy Ultisols than finer textured Ultisols and Spodosols. Within a small headwater catchment, concentrations of dissolved organic carbon (DOG), a measure of DOM, were measured in soil solution at three depths (10, 30, and 90 cm) in sand A and E horizons of soil profiles, and in sand along the valley bottom at 198- to 264-cm depth in shallow groundwater. Water samples were collected after every rainfall event for 21 mo using zero-tension lysimeters, suction samplers, and piezometers. Mean concentration of DOC in soil water decreased from 25.5 mg C L-1 at 10-cm depth to 13.7 mg C L-1 at 30 cm, and to 1.8 mg C L-1 at 76 to 99 cm, before contacting clay-enriched horizons. All valley bottom stations consistently averaged between 0.3 and 2.1 mg C L-1. We did not find significant seasonal patterns, nor a correlation between DOC concentration and magnitude of rainfall events. We estimate that the nux of DOC decreased more sharply with soil depth than concentration due to attenuation of water transport through the soil profile. Compared with literature data from other forest regions, our results do not support the hypothesis that there is greater DOM transport through sandy upland soils on the Coastal Plain. Our results suggest that this is due to strong DOM retention within deep sand E horizons of these soils. Thus, strong DOM retention in forest soils appears to occur across a broader range of soil types than those exhibiting podzolization or having high clay content.","author":[{"dropping-particle":"","family":"Regel","given":"Stephen","non-dropping-particle":"","parse-names":false,"suffix":""}],"container-title":"Occupational Medicine","id":"ITEM-3","issue":"6","issued":{"date-parts":[["2007"]]},"page":"411-416","title":"Post-trauma support in the workplace: The current status and practice of critical incident stress management (CISM) and psychological debriefing (PD) within organizations in the UK","type":"article-journal","volume":"57"},"uris":["http://www.mendeley.com/documents/?uuid=f471b6ea-ef09-46ff-8b81-b3e15e093e0b"]}],"mendeley":{"formattedCitation":"(Khan et al., 2018; Regel, 2007; Haslam &amp; Mallon, 2003)","plainTextFormattedCitation":"(Khan et al., 2018; Regel, 2007; Haslam &amp; Mallon, 2003)","previouslyFormattedCitation":"(Khan et al., 2018; Regel, 2007; Haslam &amp; Mallon, 2003)"},"properties":{"noteIndex":0},"schema":"https://github.com/citation-style-language/schema/raw/master/csl-citation.json"}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(Khan et al., 2018; Regel, 2007; Haslam &amp; Mallon, 2003)</w:t>
      </w:r>
      <w:r w:rsidRPr="00AC1B06">
        <w:rPr>
          <w:rFonts w:ascii="Calibri" w:hAnsi="Calibri" w:cs="Calibri"/>
          <w:color w:val="000000"/>
        </w:rPr>
        <w:fldChar w:fldCharType="end"/>
      </w:r>
      <w:r w:rsidRPr="00AC1B06">
        <w:rPr>
          <w:rFonts w:ascii="Calibri" w:hAnsi="Calibri" w:cs="Calibri"/>
          <w:color w:val="000000"/>
        </w:rPr>
        <w:t xml:space="preserve">. There has also been research conducted on the organisation and wider strategy of the FRS, looking at its modernisation via political shifts and changing legislation, such as the Bain review (2002) and the FRSA (2004)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{"citationItems":[{"id":"ITEM-1","itemData":{"DOI":"10.1080/03003930.2011.588701","ISBN":"03003930 (ISSN)","ISSN":"03003930","abstract":"Over the last ten years, local government modernisation and the growth of community safety agendas have called for change in the public sector at a local level. This has been typified by partnership work, improvement and inspection and community governance. The fire and rescue services, despite some initial cultural difficulties, have worked hard to adapt themselves to modern local government, for example through community fire safety work, which is presented as a case study. However, the culmination of the modernisation project, Comprehensive Area Assessment, does not favour the fire and rescue service, and to an extent excludes them from its formula. In this light, it seems that there is little incentive for the Fire Service to continue its modernising trajectory. © 2011 Taylor &amp; Francis.","author":[{"dropping-particle":"","family":"Matheson","given":"Kate","non-dropping-particle":"","parse-names":false,"suffix":""},{"dropping-particle":"","family":"Manning","given":"Rachel","non-dropping-particle":"","parse-names":false,"suffix":""},{"dropping-particle":"","family":"Williams","given":"Sara","non-dropping-particle":"","parse-names":false,"suffix":""}],"container-title":"Local Government Studies","id":"ITEM-1","issue":"4","issued":{"date-parts":[["2011"]]},"page":"451-465","title":"From brigade to service: An examination of the role of fire and rescue services in modern local government","type":"article-journal","volume":"37"},"uris":["http://www.mendeley.com/documents/?uuid=d535e317-5890-468e-bf3a-7891ccb8e10d"]},{"id":"ITEM-2","itemData":{"DOI":"10.1007/978-3-319-62155-5_4","ISBN":"9783319621555","author":[{"dropping-particle":"","family":"Murphy","given":"Peter","non-dropping-particle":"","parse-names":false,"suffix":""},{"dropping-particle":"","family":"Ferry","given":"Laurence","non-dropping-particle":"","parse-names":false,"suffix":""}],"chapter-number":"4","container-title":"Fire and Rescue Services: Leadership and Management Perspectives","editor":[{"dropping-particle":"","family":"Murphy","given":"Peter","non-dropping-particle":"","parse-names":false,"suffix":""},{"dropping-particle":"","family":"Greenhalgh","given":"Kirsten","non-dropping-particle":"","parse-names":false,"suffix":""}],"id":"ITEM-2","issued":{"date-parts":[["2018"]]},"page":"45-59","publisher":"Springer","publisher-place":"Nottingham","title":"Another turn of the screw: Fire and rescue under the coalition government of 2010-2015","type":"chapter"},"uris":["http://www.mendeley.com/documents/?uuid=936d56f8-8f74-4772-8597-92b58bbdfe0c"]},{"id":"ITEM-3","itemData":{"DOI":"10.1007/978-3-319-62155-5_2","ISBN":"9783319621555","author":[{"dropping-particle":"","family":"Murphy","given":"Peter","non-dropping-particle":"","parse-names":false,"suffix":""},{"dropping-particle":"","family":"Greenhalgh","given":"Kirsten","non-dropping-particle":"","parse-names":false,"suffix":""}],"chapter-number":"2","container-title":"Fire and Rescue Services: Leadership and Management Perspectives","editor":[{"dropping-particle":"","family":"Murphy","given":"Peter","non-dropping-particle":"","parse-names":false,"suffix":""},{"dropping-particle":"","family":"Greenhalgh","given":"Kirsten","non-dropping-particle":"","parse-names":false,"suffix":""}],"id":"ITEM-3","issued":{"date-parts":[["2018"]]},"page":"9-26","publisher":"Springer","publisher-place":"Nottingham","title":"The Gathering Storm: Modernisation, local alignment and collaboration. Fire and rescue services under the early new labour administrations from 1997 to 2005","type":"chapter"},"uris":["http://www.mendeley.com/documents/?uuid=80233f35-d817-4ac8-8726-9234d824212b"]},{"id":"ITEM-4","itemData":{"DOI":"10.1093/milmed/157.7.a3a","ISBN":"9781032055435","ISSN":"00264075","PMID":"1528462","author":[{"dropping-particle":"","family":"Wankhade","given":"Paresh","non-dropping-particle":"","parse-names":false,"suffix":""},{"dropping-particle":"","family":"Murphy","given":"Peter","non-dropping-particle":"","parse-names":false,"suffix":""}],"edition":"First","id":"ITEM-4","issued":{"date-parts":[["2023"]]},"publisher":"Routledge","publisher-place":"Abingdon","title":"Emergency services management course: A research Overview","type":"book"},"uris":["http://www.mendeley.com/documents/?uuid=c441c885-3108-4c7e-9d3e-4346bac85c65"]}],"mendeley":{"formattedCitation":"(Wankhade &amp; Murphy, 2023; Murphy &amp; Ferry, 2018; Murphy &amp; Greenhalgh, 2018; Matheson, Manning, &amp; Williams, 2011)","plainTextFormattedCitation":"(Wankhade &amp; Murphy, 2023; Murphy &amp; Ferry, 2018; Murphy &amp; Greenhalgh, 2018; Matheson, Manning, &amp; Williams, 2011)","previouslyFormattedCitation":"(Wankhade &amp; Murphy, 2023; Murphy &amp; Ferry, 2018; Murphy &amp; Greenhalgh, 2018; Matheson, Manning, &amp; Williams, 2011)"},"properties":{"noteIndex":0},"schema":"https://github.com/citation-style-language/schema/raw/master/csl-citation.json"}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(Wankhade &amp; Murphy, 2023; Murphy &amp; Ferry, 2018; Murphy &amp; Greenhalgh, 2018; Matheson, Manning, &amp; Williams, 2011)</w:t>
      </w:r>
      <w:r w:rsidRPr="00AC1B06">
        <w:rPr>
          <w:rFonts w:ascii="Calibri" w:hAnsi="Calibri" w:cs="Calibri"/>
          <w:color w:val="000000"/>
        </w:rPr>
        <w:fldChar w:fldCharType="end"/>
      </w:r>
      <w:r w:rsidRPr="00AC1B06">
        <w:rPr>
          <w:rFonts w:ascii="Calibri" w:hAnsi="Calibri" w:cs="Calibri"/>
          <w:color w:val="000000"/>
        </w:rPr>
        <w:t xml:space="preserve">, and with additional work looking into organisational strategy and the increased role of performance management within this modernisation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10.1080/09540962.2013.785711","ISSN":"09540962","author":[{"dropping-particle":"","family":"Murphy","given":"Pete","non-dropping-particle":"","parse-names":false,"suffix":""},{"dropping-particle":"","family":"Greenhalgh","given":"Kirsten","non-dropping-particle":"","parse-names":false,"suffix":""}],"container-title":"Public Money and Management","id":"ITEM-1","issue":"3","issued":{"date-parts":[["2013"]]},"page":"225-232","title":"Performance management in fire and rescue services","type":"article-journal","volume":"33"},"uris":["http://www.mendeley.com/documents/?uuid=7fd3a239-aac1-4955-beef-211a7c49f758"]},{"id":"ITEM-2","itemData":{"DOI":"10.1108/IJES-12-2018-0062","ISSN":"20470908","abstract":"Purpose: The organisational and service delivery landscape of the emergency services in the UK has been rapidly changing and is facing further change in the foreseeable future. The purpose of this paper is to examine recent and ongoing organisational changes in the policy development, service delivery and regulatory landscape of the emergency services, in order to capture the overall picture and potential opportunities for improvement or further investigation. Design/methodology/approach: This general review utilises the characteristics of the three domains of a national framework, namely, policy development, service delivery and public assurance, and uses these characteristics as lenses to examine the three main blue light emergency services of police, fire and ambulances. Findings: What emerges in the organisational landscape and conceptual maps for the police and even more so for the Fire and Rescue Service, is the immaturity of many of the organisations in the policy and the public assurance domains while the service delivery organisations have remained relatively stable. In the relatively neglected ambulance services, we find the NHS’s recent Ambulance Response Programme has considerable potential to improve parts of all three domains. Research limitations/implications: The review is limited to the UK and primarily focussed on England. Practical implications: The review identifies opportunities for improvement, potential improvement and further research. Originality/value: Although the National Audit Office has attempted in the past to provide organisational landscape reviews of individual emergency services, this contemporary comparative review of all three services using a common model is unique. It provides considerable new insights for policy makers, service delivers and regulators.","author":[{"dropping-particle":"","family":"Murphy","given":"Peter","non-dropping-particle":"","parse-names":false,"suffix":""},{"dropping-particle":"","family":"Wankhade","given":"Paresh","non-dropping-particle":"","parse-names":false,"suffix":""},{"dropping-particle":"","family":"Lakoma","given":"Katarzyna","non-dropping-particle":"","parse-names":false,"suffix":""}],"container-title":"International Journal of Emergency Services","id":"ITEM-2","issue":"1","issued":{"date-parts":[["2020"]]},"page":"69-88","title":"The strategic and operational landscape of emergency services in the UK","type":"article-journal","volume":"9"},"uris":["http://www.mendeley.com/documents/?uuid=14b4884d-16f3-475f-8e51-231e7a304106"]}],"mendeley":{"formattedCitation":"(Murphy, Wankhade, &amp; Lakoma, 2020; Murphy &amp; Greenhalgh, 2013)","plainTextFormattedCitation":"(Murphy, Wankhade, &amp; Lakoma, 2020; Murphy &amp; Greenhalgh, 2013)","previouslyFormattedCitation":"(Murphy, Wankhade, &amp; Lakoma, 2020; Murphy &amp; Greenhalgh, 2013)"},"properties":{"noteIndex":0},"schema":"https://github.com/citation-style-language/schema/raw/master/csl-citation.json"}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(Murphy, Wankhade, &amp; Lakoma, 2020; Murphy &amp; Greenhalgh, 2013)</w:t>
      </w:r>
      <w:r w:rsidRPr="00AC1B06">
        <w:rPr>
          <w:rFonts w:ascii="Calibri" w:hAnsi="Calibri" w:cs="Calibri"/>
          <w:color w:val="000000"/>
        </w:rPr>
        <w:fldChar w:fldCharType="end"/>
      </w:r>
      <w:r w:rsidRPr="00AC1B06">
        <w:rPr>
          <w:rFonts w:ascii="Calibri" w:hAnsi="Calibri" w:cs="Calibri"/>
          <w:color w:val="000000"/>
        </w:rPr>
        <w:t xml:space="preserve">. This thesis adds to this body of work by examining the internal workings of SYFR and assessing how these changes in statutory obligation and other institutional drivers influence the daily lived experiences of people working within SYFR, and how these pressures in turn influence how SYFR communicate and engage with the citizens of South Yorkshire. </w:t>
      </w:r>
    </w:p>
    <w:p w14:paraId="63D5F070" w14:textId="77777777" w:rsidR="004F6AAA" w:rsidRPr="00AC1B06" w:rsidRDefault="004F6AAA" w:rsidP="00A0151B">
      <w:pPr>
        <w:pStyle w:val="NormalWeb"/>
        <w:spacing w:before="0" w:after="0" w:line="360" w:lineRule="auto"/>
        <w:rPr>
          <w:rFonts w:ascii="Calibri" w:hAnsi="Calibri" w:cs="Calibri"/>
        </w:rPr>
      </w:pPr>
    </w:p>
    <w:p w14:paraId="2A6ECCA9" w14:textId="77777777" w:rsidR="00787F73" w:rsidRPr="00AC1B06" w:rsidRDefault="00742FB7" w:rsidP="00866155">
      <w:pPr>
        <w:rPr>
          <w:rFonts w:cs="Calibri"/>
        </w:rPr>
      </w:pPr>
      <w:r w:rsidRPr="00AC1B06">
        <w:rPr>
          <w:rFonts w:cs="Calibri"/>
        </w:rPr>
        <w:t xml:space="preserve">This chapter provides several contributions to the literature on institutional logics. It marks the first study to examine the institutional drivers </w:t>
      </w:r>
      <w:r w:rsidR="00CA071E" w:rsidRPr="00AC1B06">
        <w:rPr>
          <w:rFonts w:cs="Calibri"/>
        </w:rPr>
        <w:t>behind</w:t>
      </w:r>
      <w:r w:rsidRPr="00AC1B06">
        <w:rPr>
          <w:rFonts w:cs="Calibri"/>
        </w:rPr>
        <w:t xml:space="preserve"> the communication strategies adopted by </w:t>
      </w:r>
      <w:r w:rsidR="00CA071E" w:rsidRPr="00AC1B06">
        <w:rPr>
          <w:rFonts w:cs="Calibri"/>
        </w:rPr>
        <w:t>a F</w:t>
      </w:r>
      <w:r w:rsidRPr="00AC1B06">
        <w:rPr>
          <w:rFonts w:cs="Calibri"/>
        </w:rPr>
        <w:t>RS</w:t>
      </w:r>
      <w:bookmarkEnd w:id="845"/>
      <w:r w:rsidRPr="00AC1B06">
        <w:rPr>
          <w:rFonts w:cs="Calibri"/>
        </w:rPr>
        <w:t>. Examin</w:t>
      </w:r>
      <w:r w:rsidR="00CA071E" w:rsidRPr="00AC1B06">
        <w:rPr>
          <w:rFonts w:cs="Calibri"/>
        </w:rPr>
        <w:t>ing</w:t>
      </w:r>
      <w:r w:rsidRPr="00AC1B06">
        <w:rPr>
          <w:rFonts w:cs="Calibri"/>
        </w:rPr>
        <w:t xml:space="preserve"> the different influences and wider institutional drivers which affect SYFR is not only paramount for the</w:t>
      </w:r>
      <w:r w:rsidRPr="00AC1B06">
        <w:rPr>
          <w:rFonts w:cs="Calibri"/>
          <w:color w:val="000000"/>
        </w:rPr>
        <w:t xml:space="preserve"> purpose of this thesis, but it also has practical contributions to policy. An examination of the institutional logics that impact the running of SYFR (and potentially other FRSs) may help to understand and explain more fully their </w:t>
      </w:r>
      <w:r w:rsidRPr="00AC1B06">
        <w:rPr>
          <w:rFonts w:cs="Calibri"/>
          <w:color w:val="000000"/>
        </w:rPr>
        <w:lastRenderedPageBreak/>
        <w:t>communication strategy, which can be used for future communication planning to help develop strategies using elements of institutional agency.</w:t>
      </w:r>
    </w:p>
    <w:p w14:paraId="77AE2F28" w14:textId="77777777" w:rsidR="00787F73" w:rsidRPr="00AC1B06" w:rsidRDefault="00787F73" w:rsidP="00866155">
      <w:pPr>
        <w:rPr>
          <w:rFonts w:cs="Calibri"/>
          <w:color w:val="000000"/>
        </w:rPr>
      </w:pPr>
    </w:p>
    <w:p w14:paraId="70540179" w14:textId="77777777" w:rsidR="00787F73" w:rsidRDefault="00742FB7" w:rsidP="00866155">
      <w:pPr>
        <w:pStyle w:val="Heading2"/>
      </w:pPr>
      <w:bookmarkStart w:id="858" w:name="_Toc158216647"/>
      <w:bookmarkStart w:id="859" w:name="_Toc153554357"/>
      <w:bookmarkStart w:id="860" w:name="_Toc158046805"/>
      <w:bookmarkStart w:id="861" w:name="_Toc158047138"/>
      <w:bookmarkStart w:id="862" w:name="_Toc158216461"/>
      <w:bookmarkStart w:id="863" w:name="_Toc158047183"/>
      <w:bookmarkStart w:id="864" w:name="_Toc193367242"/>
      <w:r>
        <w:t>5.2: Societal logics</w:t>
      </w:r>
      <w:bookmarkEnd w:id="858"/>
      <w:bookmarkEnd w:id="859"/>
      <w:bookmarkEnd w:id="860"/>
      <w:bookmarkEnd w:id="861"/>
      <w:bookmarkEnd w:id="862"/>
      <w:bookmarkEnd w:id="863"/>
      <w:bookmarkEnd w:id="864"/>
    </w:p>
    <w:p w14:paraId="61C9672E" w14:textId="77777777" w:rsidR="00787F73" w:rsidRDefault="00742FB7" w:rsidP="00866155">
      <w:pPr>
        <w:pStyle w:val="Heading3"/>
      </w:pPr>
      <w:bookmarkStart w:id="865" w:name="_Toc158216462"/>
      <w:bookmarkStart w:id="866" w:name="_Toc158047184"/>
      <w:bookmarkStart w:id="867" w:name="_Toc158216648"/>
      <w:bookmarkStart w:id="868" w:name="_Toc158047139"/>
      <w:bookmarkStart w:id="869" w:name="_Toc193367243"/>
      <w:r>
        <w:t>5.2.1: National Government logic</w:t>
      </w:r>
      <w:bookmarkEnd w:id="865"/>
      <w:bookmarkEnd w:id="866"/>
      <w:bookmarkEnd w:id="867"/>
      <w:bookmarkEnd w:id="868"/>
      <w:bookmarkEnd w:id="869"/>
    </w:p>
    <w:p w14:paraId="06884308" w14:textId="77777777" w:rsidR="00787F73" w:rsidRDefault="00742FB7" w:rsidP="00866155">
      <w:pPr>
        <w:pStyle w:val="NormalWeb"/>
        <w:spacing w:before="240" w:after="240" w:line="360" w:lineRule="auto"/>
        <w:rPr>
          <w:rFonts w:ascii="Calibri" w:hAnsi="Calibri" w:cs="Calibri"/>
          <w:color w:val="000000"/>
        </w:rPr>
      </w:pPr>
      <w:r w:rsidRPr="00AC1B06">
        <w:rPr>
          <w:rFonts w:ascii="Calibri" w:hAnsi="Calibri" w:cs="Calibri"/>
          <w:color w:val="000000"/>
        </w:rPr>
        <w:t xml:space="preserve">There are various ways in which national government influences and encourages SYFR and other FRS’ to operate and behave either via legislation which they must adhere to, such as the FRSA 2004 and the CCA 2004, or via guidance from the Government Communication Service. SYFR is a public organisation and as such, these wider statutory obligations are examined and assessed, including through inspections from His Majesty’s Inspectorate for Constabulary and Fire and Rescue (HMICFRS). These legislative requirements and guidance create institutional logics which influence SYFR’s practices and strategic choices, as well as their values and beliefs </w:t>
      </w:r>
      <w:r w:rsidRPr="00AC1B06">
        <w:rPr>
          <w:rFonts w:ascii="Calibri" w:hAnsi="Calibri" w:cs="Calibri"/>
        </w:rPr>
        <w:fldChar w:fldCharType="begin" w:fldLock="1"/>
      </w:r>
      <w:r w:rsidR="00D177B9">
        <w:rPr>
          <w:rFonts w:ascii="Calibri" w:hAnsi="Calibri" w:cs="Calibri"/>
          <w:color w:val="000000"/>
        </w:rPr>
        <w:instrText>ADDIN CSL_CITATION {"citationItems":[{"id":"ITEM-1","itemData":{"DOI":"10.1108/S0733-558X201600048A001","author":[{"dropping-particle":"","family":"Glaser","given":"Vern L","non-dropping-particle":"","parse-names":false,"suffix":""},{"dropping-particle":"","family":"Fast","given":"Nathanael J","non-dropping-particle":"","parse-names":false,"suffix":""},{"dropping-particle":"","family":"Harmon","given":"Derek J","non-dropping-particle":"","parse-names":false,"suffix":""},{"dropping-particle":"","family":"Green","given":"Sandy E","non-dropping-particle":"","parse-names":false,"suffix":""}],"chapter-number":"2","container-title":"How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-1","issued":{"date-parts":[["2016"]]},"page":"35-70","publisher":"Emerald Group Publishing Limited","title":"Institutional Frame Switching: How Institutional Logics Shape Individual Action","type":"chapter","volume":"48A"},"uris":["http://www.mendeley.com/documents/?uuid=8ac9f37b-5be1-4297-bd70-0abc13a22de3"]},{"id":"ITEM-2","itemData":{"DOI":"10.1177/1476127015625040","author":[{"dropping-particle":"","family":"Ocasio","given":"William","non-dropping-particle":"","parse-names":false,"suffix":""},{"dropping-particle":"","family":"Radoynovska","given":"Nevena","non-dropping-particle":"","parse-names":false,"suffix":""}],"container-title":"Strategic Organization","id":"ITEM-2","issue":"4","issued":{"date-parts":[["2016"]]},"page":"287 - 309","title":"Strategy and commitments to institutional logics : Organizational heterogeneity in business models and governance","type":"article-journal","volume":"14"},"uris":["http://www.mendeley.com/documents/?uuid=eede86b6-3a39-4b52-acc9-94e8cc3fbd5e"]},{"id":"ITEM-3","itemData":{"DOI":"10.1093/acprof","ISBN":"9780199682676","ISSN":"0873626X","PMID":"16683413","abstract":"This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-3","issued":{"date-parts":[["2012"]]},"publisher":"Oxford Acdemic","publisher-place":"Oxford","title":"The Institutional Logics Perspective: A New Approach to Culture, Structure and Process","type":"book"},"uris":["http://www.mendeley.com/documents/?uuid=7afe7588-cd0b-4a95-b78a-3214c1130169"]},{"id":"ITEM-4","itemData":{"DOI":"10.1177/017084069701800204","ISBN":"01708406","ISSN":"0170-8406","PMID":"9707225788","abstract":"The focus of this paper is to examine the responses to institutional isomorph ism in one area of the public sector — universities. As an example, one particu lar organizational practice is examined — performance appraisal — and its implications for one group of professionals — academics. In doing so, some of the sources of variation in responses to institutional pressures are illustrated and the strategies of resistance actors engage in to resist such pressures. It is suggested that the concept of institutional logic is an important element in influencing responses to isomorphism, providing a repertoire of beliefs with which to contest concepts of legitimacy.","author":[{"dropping-particle":"","family":"Townley","given":"Barbara","non-dropping-particle":"","parse-names":false,"suffix":""}],"container-title":"Organization Studies","id":"ITEM-4","issue":"2","issued":{"date-parts":[["1997"]]},"page":"261-285","title":"Logic of Performance Appraisal","type":"article-journal","volume":"18"},"uris":["http://www.mendeley.com/documents/?uuid=3956e178-7c7b-4649-90dd-0750fde9fde0"]}],"mendeley":{"formattedCitation":"(Glaser et al., 2016; Ocasio &amp; Radoynovska, 2016; Thornton, Ocasio, &amp; Lounsbury, 2012; Townley, 1997)","plainTextFormattedCitation":"(Glaser et al., 2016; Ocasio &amp; Radoynovska, 2016; Thornton, Ocasio, &amp; Lounsbury, 2012; Townley, 1997)","previouslyFormattedCitation":"(Glaser et al., 2016; Ocasio &amp; Radoynovska, 2016; Thornton, Ocasio, &amp; Lounsbury, 2012; Townley, 1997)"},"properties":{"noteIndex":0},"schema":"https://github.com/citation-style-language/schema/raw/master/csl-citation.json"}</w:instrText>
      </w:r>
      <w:r w:rsidRPr="00AC1B06">
        <w:rPr>
          <w:rFonts w:ascii="Calibri" w:hAnsi="Calibri" w:cs="Calibri"/>
          <w:color w:val="000000"/>
        </w:rPr>
        <w:fldChar w:fldCharType="separate"/>
      </w:r>
      <w:r w:rsidR="00E37B0E" w:rsidRPr="00E37B0E">
        <w:rPr>
          <w:rFonts w:ascii="Calibri" w:hAnsi="Calibri" w:cs="Calibri"/>
          <w:noProof/>
          <w:color w:val="000000"/>
        </w:rPr>
        <w:t>(Glaser et al., 2016; Ocasio &amp; Radoynovska, 2016; Thornton, Ocasio, &amp; Lounsbury, 2012; Townley, 1997)</w:t>
      </w:r>
      <w:r w:rsidRPr="00AC1B06">
        <w:rPr>
          <w:rFonts w:ascii="Calibri" w:hAnsi="Calibri" w:cs="Calibri"/>
          <w:color w:val="000000"/>
        </w:rPr>
        <w:fldChar w:fldCharType="end"/>
      </w:r>
    </w:p>
    <w:p w14:paraId="1019669A" w14:textId="77777777" w:rsidR="004F6AAA" w:rsidRPr="00AC1B06" w:rsidRDefault="004F6AAA" w:rsidP="00A0151B">
      <w:pPr>
        <w:pStyle w:val="NormalWeb"/>
        <w:spacing w:before="0" w:after="0" w:line="360" w:lineRule="auto"/>
        <w:rPr>
          <w:rFonts w:ascii="Calibri" w:hAnsi="Calibri" w:cs="Calibri"/>
        </w:rPr>
      </w:pPr>
    </w:p>
    <w:p w14:paraId="34802BED" w14:textId="77777777" w:rsidR="00787F73" w:rsidRDefault="00742FB7" w:rsidP="00866155">
      <w:pPr>
        <w:pStyle w:val="Heading4"/>
        <w:spacing w:line="360" w:lineRule="auto"/>
      </w:pPr>
      <w:bookmarkStart w:id="870" w:name="_Toc158216649"/>
      <w:bookmarkStart w:id="871" w:name="_Toc158047140"/>
      <w:r>
        <w:t>Fire and Rescue Services Act logic – prevention and response</w:t>
      </w:r>
      <w:bookmarkEnd w:id="870"/>
      <w:bookmarkEnd w:id="871"/>
    </w:p>
    <w:p w14:paraId="3421E868" w14:textId="77777777" w:rsidR="00787F73" w:rsidRPr="00AC1B06" w:rsidRDefault="00742FB7" w:rsidP="00866155">
      <w:pPr>
        <w:pStyle w:val="NormalWeb"/>
        <w:spacing w:before="0" w:after="0" w:line="360" w:lineRule="auto"/>
        <w:rPr>
          <w:rFonts w:ascii="Calibri" w:hAnsi="Calibri" w:cs="Calibri"/>
        </w:rPr>
      </w:pPr>
      <w:r w:rsidRPr="00AC1B06">
        <w:rPr>
          <w:rFonts w:ascii="Calibri" w:hAnsi="Calibri" w:cs="Calibri"/>
          <w:color w:val="000000"/>
        </w:rPr>
        <w:t xml:space="preserve">The FRSA states that Fire and Rescue Authorities (FRA) have the responsibility to respond and to work towards preventing fires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{"citationItems":[{"id":"ITEM-1","itemData":{"DOI":"10.1108/20470891211239335","ISBN":"0951355061065","ISSN":"2047-0894","abstract":"Purpose – The purpose of this paper is to evaluate the practical implementation of the Integrated Risk Management Planning process through its application within the Fire Cover Review project in Nottinghamshire, in order to identify good practice and recommendations for improving the process and its implementation. Design/methodology/approach – The paper takes the form of an in-depth case study over an 18 month period using participant observation, documents analysis, interviews with key stakeholders and the response to a public consultation exercise. Findings – Recent public expenditure restrictions manifestly influenced and contextualised the attitude and response from the public and all key stakeholders to the project. It was the first consultation undertaken by the Service which was also significantly affected by the internet and social media. The open and transparent approach adopted reduced misinformation and promoted ownership and accountability of the project, from both the Service and the Authority. Originality/value – The paper is the first comprehensive review of the reconfiguration of services undertaken during the current financial crisis and in the context of the new coalition government’s public sector policy.","author":[{"dropping-particle":"","family":"Murphy","given":"Peter","non-dropping-particle":"","parse-names":false,"suffix":""},{"dropping-particle":"","family":"Greenhalgh","given":"Kirsten","non-dropping-particle":"","parse-names":false,"suffix":""},{"dropping-particle":"","family":"Parkin","given":"Craig","non-dropping-particle":"","parse-names":false,"suffix":""}],"container-title":"International Journal of Emergency Services","id":"ITEM-1","issue":"1","issued":{"date-parts":[["2012"]]},"page":"86-94","title":"Fire and rescue service reconfiguration: a case study in Nottinghamshire","type":"article-journal","volume":"1"},"uris":["http://www.mendeley.com/documents/?uuid=044b1c67-b920-4130-902c-df6a8a34dc9a"]}],"mendeley":{"formattedCitation":"(Murphy, Greenhalgh, &amp; Parkin, 2012)","plainTextFormattedCitation":"(Murphy, Greenhalgh, &amp; Parkin, 2012)","previouslyFormattedCitation":"(Murphy, Greenhalgh, &amp; Parkin, 2012)"},"properties":{"noteIndex":0},"schema":"https://github.com/citation-style-language/schema/raw/master/csl-citation.json"}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(Murphy, Greenhalgh, &amp; Parkin, 2012)</w:t>
      </w:r>
      <w:r w:rsidRPr="00AC1B06">
        <w:rPr>
          <w:rFonts w:ascii="Calibri" w:hAnsi="Calibri" w:cs="Calibri"/>
          <w:color w:val="000000"/>
        </w:rPr>
        <w:fldChar w:fldCharType="end"/>
      </w:r>
      <w:r w:rsidRPr="00AC1B06">
        <w:rPr>
          <w:rFonts w:ascii="Calibri" w:hAnsi="Calibri" w:cs="Calibri"/>
          <w:color w:val="000000"/>
        </w:rPr>
        <w:t>. In section 2 of the act, it states that a core function of</w:t>
      </w:r>
      <w:r w:rsidRPr="00AC1B06">
        <w:rPr>
          <w:rFonts w:ascii="Calibri" w:hAnsi="Calibri" w:cs="Calibri"/>
          <w:i/>
          <w:iCs/>
          <w:color w:val="000000"/>
        </w:rPr>
        <w:t xml:space="preserve"> </w:t>
      </w:r>
      <w:r w:rsidRPr="00AC1B06">
        <w:rPr>
          <w:rFonts w:ascii="Calibri" w:hAnsi="Calibri" w:cs="Calibri"/>
          <w:color w:val="000000"/>
        </w:rPr>
        <w:t xml:space="preserve">an FRA is fire safety which includes promoting fire safety in their area, including “the provision of information, publicity and encouragements in respect of the steps to be taken to prevent fires and death or injury by fire” and suggests this is done by giving advice on prevention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{"citationItems":[{"id":"ITEM-1","itemData":{"DOI":"10.1007/978-3-319-62155-5","abstract":"An Act to make provision about fire and rescue authorities and their functions; to make provision about employment by, and powers of employees of, fire and rescue authorities; to make provision about education and training and pension schemes; to make provision about the supply of water; to make provision about false alarms of fire; to provide for the funding of advisory bodies; and for connected purposes. [22nd July 2004] Be it enacted by the Queen’s most Excellent Majesty, by and with the advice and consent of the Lords Spiritual and Temporal, and Commons, in this present Parliament assembled, and by the authority of the same, as follows:—","author":[{"dropping-particle":"","family":"HM Government","given":"","non-dropping-particle":"","parse-names":false,"suffix":""}],"id":"ITEM-1","issued":{"date-parts":[["2004"]]},"page":"1 - 55","publisher-place":"United Kingdom","title":"Fire and Rescue Services Act","type":"legislation"},"uris":["http://www.mendeley.com/documents/?uuid=5f3b6f95-b3e0-4656-bee4-069e0a988017"]}],"mendeley":{"formattedCitation":"(HM Government, 2004)","plainTextFormattedCitation":"(HM Government, 2004)","previouslyFormattedCitation":"(HM Government, 2004)"},"properties":{"noteIndex":0},"schema":"https://github.com/citation-style-language/schema/raw/master/csl-citation.json"}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(HM Government, 2004)</w:t>
      </w:r>
      <w:r w:rsidRPr="00AC1B06">
        <w:rPr>
          <w:rFonts w:ascii="Calibri" w:hAnsi="Calibri" w:cs="Calibri"/>
          <w:color w:val="000000"/>
        </w:rPr>
        <w:fldChar w:fldCharType="end"/>
      </w:r>
      <w:r w:rsidRPr="00AC1B06">
        <w:rPr>
          <w:rFonts w:ascii="Calibri" w:hAnsi="Calibri" w:cs="Calibri"/>
          <w:color w:val="000000"/>
        </w:rPr>
        <w:t xml:space="preserve">. This parliamentary act creates a set of rules and responsibilities which forms a regulative logic, where these responsibilities are absorbed by the organisation and become accepted behaviour and practice, and part of the normative and cultural-cognitive elements of the institutions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{"citationItems":[{"id":"ITEM-1","itemData":{"DOI":"10.1007/s11186-008-9067-z","ISSN":"03042421","abstract":"I summarize seven general trends in the institutional analysis of organizations which I view as constructive and provide evidence of progress in the development of this perspective. I emphasize corrections in early theoretical limitations as well as improvements in the use of empirical indicators and an expansion of the types of organizations included and issues addressed by institutional theorists.","author":[{"dropping-particle":"","family":"Scott","given":"W. Richard","non-dropping-particle":"","parse-names":false,"suffix":""}],"container-title":"Theory and Society","id":"ITEM-1","issued":{"date-parts":[["2008"]]},"page":"427-442","title":"Approaching adulthood: The maturing of institutional theory","type":"article-journal","volume":"37"},"uris":["http://www.mendeley.com/documents/?uuid=c1be5aba-eef5-4103-a9c4-66512b0bd310"]}],"mendeley":{"formattedCitation":"(Scott, 2008a)","plainTextFormattedCitation":"(Scott, 2008a)","previouslyFormattedCitation":"(Scott, 2008a)"},"properties":{"noteIndex":0},"schema":"https://github.com/citation-style-language/schema/raw/master/csl-citation.json"}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(Scott, 2008a)</w:t>
      </w:r>
      <w:r w:rsidRPr="00AC1B06">
        <w:rPr>
          <w:rFonts w:ascii="Calibri" w:hAnsi="Calibri" w:cs="Calibri"/>
          <w:color w:val="000000"/>
        </w:rPr>
        <w:fldChar w:fldCharType="end"/>
      </w:r>
      <w:r w:rsidRPr="00AC1B06">
        <w:rPr>
          <w:rFonts w:ascii="Calibri" w:hAnsi="Calibri" w:cs="Calibri"/>
          <w:color w:val="000000"/>
        </w:rPr>
        <w:t>.</w:t>
      </w:r>
    </w:p>
    <w:p w14:paraId="13DDB84C" w14:textId="77777777" w:rsidR="00787F73" w:rsidRPr="00AC1B06" w:rsidRDefault="00787F73" w:rsidP="00866155">
      <w:pPr>
        <w:rPr>
          <w:rFonts w:cs="Calibri"/>
        </w:rPr>
      </w:pPr>
    </w:p>
    <w:p w14:paraId="3BF3FF45" w14:textId="77777777" w:rsidR="00787F73" w:rsidRPr="00AC1B06" w:rsidRDefault="00742FB7" w:rsidP="00866155">
      <w:pPr>
        <w:pStyle w:val="NormalWeb"/>
        <w:spacing w:before="0" w:after="0" w:line="360" w:lineRule="auto"/>
        <w:rPr>
          <w:rFonts w:ascii="Calibri" w:hAnsi="Calibri" w:cs="Calibri"/>
        </w:rPr>
      </w:pPr>
      <w:r w:rsidRPr="00AC1B06">
        <w:rPr>
          <w:rFonts w:ascii="Calibri" w:hAnsi="Calibri" w:cs="Calibri"/>
          <w:color w:val="000000"/>
        </w:rPr>
        <w:t xml:space="preserve">The influence of the FRSA (2004) was evident in most documents created by SYFR, including </w:t>
      </w:r>
      <w:r w:rsidRPr="00A0151B">
        <w:rPr>
          <w:rFonts w:ascii="Calibri" w:hAnsi="Calibri" w:cs="Calibri"/>
          <w:i/>
          <w:iCs/>
          <w:color w:val="000000"/>
        </w:rPr>
        <w:t>SYFR Our Story</w:t>
      </w:r>
      <w:r w:rsidRPr="00AC1B06">
        <w:rPr>
          <w:rFonts w:ascii="Calibri" w:hAnsi="Calibri" w:cs="Calibri"/>
          <w:color w:val="000000"/>
        </w:rPr>
        <w:t xml:space="preserve">, the SYFR external communication strategy, and in most campaign plans and </w:t>
      </w:r>
      <w:r w:rsidRPr="00AC1B06">
        <w:rPr>
          <w:rFonts w:ascii="Calibri" w:hAnsi="Calibri" w:cs="Calibri"/>
          <w:color w:val="000000"/>
        </w:rPr>
        <w:lastRenderedPageBreak/>
        <w:t>evaluations. This institutional messaging is seen within the mention of responding and preventing, both of which are key elements of the FRSA (2004):</w:t>
      </w:r>
    </w:p>
    <w:p w14:paraId="1A94D4BB" w14:textId="77777777" w:rsidR="00787F73" w:rsidRPr="00AC1B06" w:rsidRDefault="00742FB7" w:rsidP="00866155">
      <w:pPr>
        <w:pStyle w:val="NormalWeb"/>
        <w:spacing w:before="240" w:after="240" w:line="360" w:lineRule="auto"/>
        <w:ind w:left="720" w:right="663"/>
        <w:jc w:val="both"/>
        <w:rPr>
          <w:rFonts w:ascii="Calibri" w:hAnsi="Calibri" w:cs="Calibri"/>
        </w:rPr>
      </w:pPr>
      <w:r w:rsidRPr="00AC1B06">
        <w:rPr>
          <w:rStyle w:val="QuoteChar"/>
          <w:rFonts w:cs="Calibri"/>
        </w:rPr>
        <w:t>“Our first goal will always be to save lives and make people safer. This is what we do every single day, whether it’s responding to 999 calls or carrying out work to prevent emergencies from happening in the first place.”</w:t>
      </w:r>
      <w:r w:rsidRPr="00AC1B06">
        <w:rPr>
          <w:rFonts w:ascii="Calibri" w:hAnsi="Calibri" w:cs="Calibri"/>
          <w:color w:val="000000"/>
        </w:rPr>
        <w:t xml:space="preserve"> (SYFR Our Story)</w:t>
      </w:r>
    </w:p>
    <w:p w14:paraId="5AB1DB87" w14:textId="07B222A6" w:rsidR="00787F73" w:rsidRPr="00AC1B06" w:rsidRDefault="00742FB7" w:rsidP="00866155">
      <w:pPr>
        <w:rPr>
          <w:rFonts w:cs="Calibri"/>
        </w:rPr>
      </w:pPr>
      <w:r w:rsidRPr="00AC1B06">
        <w:rPr>
          <w:rFonts w:cs="Calibri"/>
        </w:rPr>
        <w:t xml:space="preserve">The focus on prevention and response fit within the </w:t>
      </w:r>
      <w:r w:rsidR="0038275C">
        <w:rPr>
          <w:rFonts w:cs="Calibri"/>
        </w:rPr>
        <w:t>Disaster Management Cycle</w:t>
      </w:r>
      <w:r w:rsidRPr="00AC1B06">
        <w:rPr>
          <w:rFonts w:cs="Calibri"/>
        </w:rPr>
        <w:t xml:space="preserve">, with prevention required prior to an event, and response and recovery afterwards. This places a statutory responsibility for SYFR to protect the community and collaborate throughout </w:t>
      </w:r>
      <w:r w:rsidR="0038275C">
        <w:rPr>
          <w:rFonts w:cs="Calibri"/>
        </w:rPr>
        <w:t>Disaster Management Cycle</w:t>
      </w:r>
      <w:r w:rsidRPr="00AC1B06">
        <w:rPr>
          <w:rFonts w:cs="Calibri"/>
        </w:rPr>
        <w:t xml:space="preserve">. However, within the FRSA (2004), there is an institutional focus on preventing fire, not any other emergencies that they are responsible for responding to. Therefore, SYFR have a responsibility for the full </w:t>
      </w:r>
      <w:r w:rsidR="0038275C">
        <w:rPr>
          <w:rFonts w:cs="Calibri"/>
        </w:rPr>
        <w:t xml:space="preserve">Disaster Management Cycle </w:t>
      </w:r>
      <w:r w:rsidRPr="00AC1B06">
        <w:rPr>
          <w:rFonts w:cs="Calibri"/>
        </w:rPr>
        <w:t xml:space="preserve">for fires, but only half of it (response and recovery, see Figure 3 in Chapter 1) for other disasters, such as flooding and COVID-19, which influences their communication strategy (including social media) on each of these topics (discussed further in the CCA section of this chapter).  This creates institutional complexity for SYFR as they have a responsibility to respond and recover from flooding and from other disaster events and to communicate about it, but without the direct obligation to communicate for risk and prevention, which is the role of the Environment Agency </w:t>
      </w:r>
      <w:r w:rsidRPr="00AC1B06">
        <w:rPr>
          <w:rFonts w:cs="Calibri"/>
        </w:rPr>
        <w:fldChar w:fldCharType="begin" w:fldLock="1"/>
      </w:r>
      <w:r w:rsidRPr="00AC1B06">
        <w:rPr>
          <w:rFonts w:cs="Calibri"/>
        </w:rPr>
        <w:instrText>ADDIN CSL_CITATION {"citationItems":[{"id":"ITEM-1","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Hazards","id":"ITEM-1","issued":{"date-parts":[["2018"]]},"page":"1665-1686","publisher":"Springer Netherlands","title":"Rethinking flood risk communication","type":"article-journal","volume":"92"},"uris":["http://www.mendeley.com/documents/?uuid=a75b9d7a-46e6-41f1-a446-75375a9342c5"]}],"mendeley":{"formattedCitation":"(Rollason et al., 2018)","plainTextFormattedCitation":"(Rollason et al., 2018)","previouslyFormattedCitation":"(Rollason et al., 2018)"},"properties":{"noteIndex":0},"schema":"https://github.com/citation-style-language/schema/raw/master/csl-citation.json"}</w:instrText>
      </w:r>
      <w:r w:rsidRPr="00AC1B06">
        <w:rPr>
          <w:rFonts w:cs="Calibri"/>
        </w:rPr>
        <w:fldChar w:fldCharType="separate"/>
      </w:r>
      <w:r w:rsidRPr="00AC1B06">
        <w:rPr>
          <w:rFonts w:cs="Calibri"/>
          <w:noProof/>
        </w:rPr>
        <w:t>(Rollason et al., 2018)</w:t>
      </w:r>
      <w:r w:rsidRPr="00AC1B06">
        <w:rPr>
          <w:rFonts w:cs="Calibri"/>
        </w:rPr>
        <w:fldChar w:fldCharType="end"/>
      </w:r>
      <w:r w:rsidRPr="00AC1B06">
        <w:rPr>
          <w:rFonts w:cs="Calibri"/>
        </w:rPr>
        <w:t xml:space="preserve">. </w:t>
      </w:r>
    </w:p>
    <w:p w14:paraId="743FC2D3" w14:textId="77777777" w:rsidR="00787F73" w:rsidRPr="00AC1B06" w:rsidRDefault="00787F73" w:rsidP="00866155">
      <w:pPr>
        <w:rPr>
          <w:rFonts w:cs="Calibri"/>
        </w:rPr>
      </w:pPr>
    </w:p>
    <w:p w14:paraId="4D22115D" w14:textId="77777777" w:rsidR="00787F73" w:rsidRPr="00AC1B06" w:rsidRDefault="00742FB7" w:rsidP="00866155">
      <w:pPr>
        <w:rPr>
          <w:rFonts w:cs="Calibri"/>
        </w:rPr>
      </w:pPr>
      <w:r w:rsidRPr="00AC1B06">
        <w:rPr>
          <w:rFonts w:cs="Calibri"/>
        </w:rPr>
        <w:t xml:space="preserve">This suggests a disaggregation of the disaster management sector, with individual agencies taking responsibility for different categories of disaster, such as the FRS for fire and the Environment Agency for flooding, and health agencies for COVID-19 and other pandemics. This disaggregation of service is explained by NPM literature, and the aim to increase efficiency and competition between agencies </w:t>
      </w:r>
      <w:r w:rsidRPr="00AC1B06">
        <w:rPr>
          <w:rFonts w:cs="Calibri"/>
        </w:rPr>
        <w:fldChar w:fldCharType="begin" w:fldLock="1"/>
      </w:r>
      <w:r w:rsidR="00974B75" w:rsidRPr="00AC1B06">
        <w:rPr>
          <w:rFonts w:cs="Calibri"/>
        </w:rPr>
        <w:instrText>ADDIN CSL_CITATION {"citationItems":[{"id":"ITEM-1","itemData":{"DOI":"10.1016/0361-3682(93)E0001-W","ISSN":"03613682","abstract":"Changes in public sector accounting in a number of OECD countries over the 1980s were central to the rise of the \"New Public Management\" (NPM) and its associated doctrines of public accountability and organizational best practice. This paper discusses the rise of NPM as an alternative to the tradition of public accountability embodied in progressive-era public administration ideas. It argues that, in spite of allegations of internationalization and the adoption of a new global paradigm in public management, there was considerable variation in the extent to which different OECD countries adopted NPM over the 1980s. It further argues that conventional explanations of the rise of NPM (\"Englishness\", party political incumbency, economic performance record and government size) seem hard to sustain even from a relatively brief inspection of such cross-national data as are available, and that an explanation based on initial endowment may give us a different perspective on those changes. © 1995.","author":[{"dropping-particle":"","family":"Hood","given":"Christopher","non-dropping-particle":"","parse-names":false,"suffix":""}],"container-title":"Accounting, Organizations and Society","id":"ITEM-1","issue":"2/3","issued":{"date-parts":[["1995"]]},"page":"93-109","title":"The \"New Public Management\" in the 1980s: Variations on a theme","type":"article-journal","volume":"20"},"uris":["http://www.mendeley.com/documents/?uuid=7c2fc97b-7560-4c74-9a7c-9a0f44e73949"]},{"id":"ITEM-2","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Journal","id":"ITEM-2","issue":"1/2","issued":{"date-parts":[["2019"]]},"page":"134-151","title":"The impact of new public management through outsourcing on the management of government information: The case of Sweden","type":"article-journal","volume":"29"},"uris":["http://www.mendeley.com/documents/?uuid=4524732a-155c-4c93-922f-cd3a912b45c2"]}],"mendeley":{"formattedCitation":"(Svärd, 2019; Hood, 1995)","plainTextFormattedCitation":"(Svärd, 2019; Hood, 1995)","previouslyFormattedCitation":"(Svärd, 2019; Hood, 1995)"},"properties":{"noteIndex":0},"schema":"https://github.com/citation-style-language/schema/raw/master/csl-citation.json"}</w:instrText>
      </w:r>
      <w:r w:rsidRPr="00AC1B06">
        <w:rPr>
          <w:rFonts w:cs="Calibri"/>
        </w:rPr>
        <w:fldChar w:fldCharType="separate"/>
      </w:r>
      <w:r w:rsidRPr="00AC1B06">
        <w:rPr>
          <w:rFonts w:cs="Calibri"/>
          <w:noProof/>
        </w:rPr>
        <w:t>(Svärd, 2019; Hood, 1995)</w:t>
      </w:r>
      <w:r w:rsidRPr="00AC1B06">
        <w:rPr>
          <w:rFonts w:cs="Calibri"/>
        </w:rPr>
        <w:fldChar w:fldCharType="end"/>
      </w:r>
      <w:r w:rsidRPr="00AC1B06">
        <w:rPr>
          <w:rFonts w:cs="Calibri"/>
        </w:rPr>
        <w:t>. However, as explored later in this section, there is a contradictory relationship between these NPM disaggregation logics and the CCA logic which aims to bring agencies together.</w:t>
      </w:r>
    </w:p>
    <w:p w14:paraId="2F00E83D" w14:textId="77777777" w:rsidR="00787F73" w:rsidRPr="00AC1B06" w:rsidRDefault="00787F73" w:rsidP="00866155">
      <w:pPr>
        <w:rPr>
          <w:rFonts w:cs="Calibri"/>
        </w:rPr>
      </w:pPr>
    </w:p>
    <w:p w14:paraId="50DA42A0" w14:textId="26BA729C" w:rsidR="00787F73" w:rsidRPr="00AC1B06" w:rsidRDefault="00742FB7" w:rsidP="00866155">
      <w:pPr>
        <w:rPr>
          <w:rFonts w:cs="Calibri"/>
        </w:rPr>
      </w:pPr>
      <w:r w:rsidRPr="00AC1B06">
        <w:rPr>
          <w:rFonts w:cs="Calibri"/>
        </w:rPr>
        <w:t>This FRSA logic can be seen to influence the decision making within the Communications team. When discussing the communication strategy with the Strategic Manager, the FRSA (2004) was explicitly mentioned</w:t>
      </w:r>
      <w:r w:rsidR="00BA16C4">
        <w:rPr>
          <w:rFonts w:cs="Calibri"/>
        </w:rPr>
        <w:t>.</w:t>
      </w:r>
      <w:r w:rsidRPr="00AC1B06">
        <w:rPr>
          <w:rFonts w:cs="Calibri"/>
        </w:rPr>
        <w:t xml:space="preserve"> </w:t>
      </w:r>
      <w:r w:rsidR="00DD30D6">
        <w:rPr>
          <w:rFonts w:cs="Calibri"/>
        </w:rPr>
        <w:t>The SM explained</w:t>
      </w:r>
      <w:r w:rsidR="00DD30D6" w:rsidRPr="00AC1B06">
        <w:rPr>
          <w:rFonts w:cs="Calibri"/>
        </w:rPr>
        <w:t xml:space="preserve"> </w:t>
      </w:r>
      <w:r w:rsidRPr="00AC1B06">
        <w:rPr>
          <w:rFonts w:cs="Calibri"/>
        </w:rPr>
        <w:t>that the Operational teams and Community Safety teams work in a community setting towards</w:t>
      </w:r>
      <w:r w:rsidR="0009791A">
        <w:rPr>
          <w:rFonts w:cs="Calibri"/>
        </w:rPr>
        <w:t xml:space="preserve"> prevention and response, </w:t>
      </w:r>
      <w:r w:rsidR="0009791A">
        <w:rPr>
          <w:rFonts w:cs="Calibri"/>
        </w:rPr>
        <w:lastRenderedPageBreak/>
        <w:t xml:space="preserve">through firefighting and home safety visit. This FRSA logic is also supported by the </w:t>
      </w:r>
      <w:r w:rsidR="00A14A72">
        <w:rPr>
          <w:rFonts w:cs="Calibri"/>
        </w:rPr>
        <w:t>C</w:t>
      </w:r>
      <w:r w:rsidR="0009791A">
        <w:rPr>
          <w:rFonts w:cs="Calibri"/>
        </w:rPr>
        <w:t xml:space="preserve">ommunications team, </w:t>
      </w:r>
      <w:r w:rsidRPr="00AC1B06">
        <w:rPr>
          <w:rFonts w:cs="Calibri"/>
        </w:rPr>
        <w:t>specifically their campaigns:</w:t>
      </w:r>
    </w:p>
    <w:p w14:paraId="603AE57D" w14:textId="77777777" w:rsidR="00787F73" w:rsidRPr="00AC1B06" w:rsidRDefault="00787F73" w:rsidP="00866155">
      <w:pPr>
        <w:rPr>
          <w:rFonts w:cs="Calibri"/>
        </w:rPr>
      </w:pPr>
    </w:p>
    <w:p w14:paraId="4E82E5CB" w14:textId="77777777" w:rsidR="00787F73" w:rsidRPr="00AC1B06" w:rsidRDefault="00742FB7" w:rsidP="00866155">
      <w:pPr>
        <w:pStyle w:val="NormalWeb"/>
        <w:spacing w:before="0" w:after="0" w:line="360" w:lineRule="auto"/>
        <w:ind w:left="720" w:right="805"/>
        <w:jc w:val="both"/>
        <w:rPr>
          <w:rFonts w:ascii="Calibri" w:hAnsi="Calibri" w:cs="Calibri"/>
        </w:rPr>
      </w:pPr>
      <w:r w:rsidRPr="00AC1B06">
        <w:rPr>
          <w:rStyle w:val="QuoteChar"/>
          <w:rFonts w:cs="Calibri"/>
        </w:rPr>
        <w:t>“… the Fire and Rescue Services Act 2004 states quite explicitly that we have to (…) raise awareness of fire risks and how to prevent them. (…) our work (…) our campaigns, obviously feeds into that”</w:t>
      </w:r>
      <w:r w:rsidRPr="00AC1B06">
        <w:rPr>
          <w:rFonts w:ascii="Calibri" w:hAnsi="Calibri" w:cs="Calibri"/>
          <w:color w:val="000000"/>
        </w:rPr>
        <w:t xml:space="preserve"> (SM </w:t>
      </w:r>
      <w:r w:rsidR="006A7A2E">
        <w:rPr>
          <w:rFonts w:ascii="Calibri" w:hAnsi="Calibri" w:cs="Calibri"/>
          <w:color w:val="000000"/>
        </w:rPr>
        <w:t xml:space="preserve">interview, </w:t>
      </w:r>
      <w:r w:rsidRPr="00AC1B06">
        <w:rPr>
          <w:rFonts w:ascii="Calibri" w:hAnsi="Calibri" w:cs="Calibri"/>
          <w:color w:val="000000"/>
        </w:rPr>
        <w:t>07.08.19)</w:t>
      </w:r>
    </w:p>
    <w:p w14:paraId="0EB6807B" w14:textId="77777777" w:rsidR="00787F73" w:rsidRPr="00AC1B06" w:rsidRDefault="00742FB7" w:rsidP="00866155">
      <w:pPr>
        <w:pStyle w:val="NormalWeb"/>
        <w:spacing w:before="0" w:after="0" w:line="360" w:lineRule="auto"/>
        <w:rPr>
          <w:rFonts w:ascii="Calibri" w:hAnsi="Calibri" w:cs="Calibri"/>
        </w:rPr>
      </w:pPr>
      <w:r w:rsidRPr="00AC1B06">
        <w:rPr>
          <w:rFonts w:ascii="Calibri" w:hAnsi="Calibri" w:cs="Calibri"/>
          <w:color w:val="000000"/>
        </w:rPr>
        <w:t xml:space="preserve">The Communications team were aware of the requirements of the FRSA, and it therefore impacted on the decision-making and strategy creation within the team. The focus on prevention helps to explain their quantitative approach to their communication on </w:t>
      </w:r>
      <w:r w:rsidR="00AA5C28" w:rsidRPr="00AC1B06">
        <w:rPr>
          <w:rFonts w:ascii="Calibri" w:hAnsi="Calibri" w:cs="Calibri"/>
          <w:color w:val="000000"/>
        </w:rPr>
        <w:t>social media</w:t>
      </w:r>
      <w:r w:rsidRPr="00AC1B06">
        <w:rPr>
          <w:rFonts w:ascii="Calibri" w:hAnsi="Calibri" w:cs="Calibri"/>
          <w:color w:val="000000"/>
        </w:rPr>
        <w:t xml:space="preserve">, with the focus on metrics and incident data as an attempt to prove they had been successful in preventing fires from happening. This use of metrics then implies they have completed their statutory obligation, suggesting institutional pressures for performance management related to NPM logic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Journal","id":"ITEM-1","issue":"1/2","issued":{"date-parts":[["2019"]]},"page":"134-151","title":"The impact of new public management through outsourcing on the management of government information: The case of Sweden","type":"article-journal","volume":"29"},"uris":["http://www.mendeley.com/documents/?uuid=4524732a-155c-4c93-922f-cd3a912b45c2"]},{"id":"ITEM-2","itemData":{"DOI":"10.1016/0361-3682(93)E0001-W","ISSN":"03613682","abstract":"Changes in public sector accounting in a number of OECD countries over the 1980s were central to the rise of the \"New Public Management\" (NPM) and its associated doctrines of public accountability and organizational best practice. This paper discusses the rise of NPM as an alternative to the tradition of public accountability embodied in progressive-era public administration ideas. It argues that, in spite of allegations of internationalization and the adoption of a new global paradigm in public management, there was considerable variation in the extent to which different OECD countries adopted NPM over the 1980s. It further argues that conventional explanations of the rise of NPM (\"Englishness\", party political incumbency, economic performance record and government size) seem hard to sustain even from a relatively brief inspection of such cross-national data as are available, and that an explanation based on initial endowment may give us a different perspective on those changes. © 1995.","author":[{"dropping-particle":"","family":"Hood","given":"Christopher","non-dropping-particle":"","parse-names":false,"suffix":""}],"container-title":"Accounting, Organizations and Society","id":"ITEM-2","issue":"2/3","issued":{"date-parts":[["1995"]]},"page":"93-109","title":"The \"New Public Management\" in the 1980s: Variations on a theme","type":"article-journal","volume":"20"},"uris":["http://www.mendeley.com/documents/?uuid=7c2fc97b-7560-4c74-9a7c-9a0f44e73949"]},{"id":"ITEM-3","itemData":{"DOI":"10.1111/padm.12005","ISSN":"00333298","abstract":"Based on empirical research with two non-profit organizations, this article critiques structural explanations of non-profit service innovation, which portray innovation as a response to institutional contexts and downplay the power and role of human agents. We offer, instead, a conceptualization of non-profit innovation in which human agency - and its interplay with institutional logics - is an integral feature. Specifically, we outline the ways in which non-profit actors draw upon the competing institutional logics available to them to frame and serve their interests. We find that actors' assumptions and beliefs about the organization's role in the institutional field and the practice of normative, discursive work are central tenets of both the maintenance and transformation of institutions. We also find instances of service stability and service innovation ensuing from non-profit actors' agency in infusing organizational practices with interpretations and elaborations of institutional logics. © 2013 John Wiley &amp; Sons Ltd.","author":[{"dropping-particle":"","family":"Coule","given":"Tracey","non-dropping-particle":"","parse-names":false,"suffix":""},{"dropping-particle":"","family":"Patmore","given":"Beth","non-dropping-particle":"","parse-names":false,"suffix":""}],"container-title":"Public Administration","id":"ITEM-3","issue":"4","issued":{"date-parts":[["2013"]]},"page":"980-997","title":"Institutional logics, institutional work, and public service innovation in non-profit organizations","type":"article-journal","volume":"91"},"uris":["http://www.mendeley.com/documents/?uuid=5ee53fde-2479-4fb6-8060-8f41cf289650"]}],"mendeley":{"formattedCitation":"(Svärd, 2019; Coule &amp; Patmore, 2013; Hood, 1995)","plainTextFormattedCitation":"(Svärd, 2019; Coule &amp; Patmore, 2013; Hood, 1995)","previouslyFormattedCitation":"(Svärd, 2019; Coule &amp; Patmore, 2013; Hood, 1995)"},"properties":{"noteIndex":0},"schema":"https://github.com/citation-style-language/schema/raw/master/csl-citation.json"}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rPr>
        <w:t>(Svärd, 2019; Coule &amp; Patmore, 2013; Hood, 1995)</w:t>
      </w:r>
      <w:r w:rsidRPr="00AC1B06">
        <w:rPr>
          <w:rFonts w:ascii="Calibri" w:hAnsi="Calibri" w:cs="Calibri"/>
          <w:color w:val="000000"/>
        </w:rPr>
        <w:fldChar w:fldCharType="end"/>
      </w:r>
      <w:r w:rsidRPr="00AC1B06">
        <w:rPr>
          <w:rFonts w:ascii="Calibri" w:hAnsi="Calibri" w:cs="Calibri"/>
          <w:color w:val="000000"/>
        </w:rPr>
        <w:t>. However, as discussed when responding to RQ1, it would be incredibly challenging, if not impossible, to prove that SYFR’s community engagement, either through home safety visits or communication strategies, had been able to prevent a fire from happening.  </w:t>
      </w:r>
    </w:p>
    <w:p w14:paraId="0A6B9919" w14:textId="77777777" w:rsidR="00787F73" w:rsidRPr="00AC1B06" w:rsidRDefault="00787F73" w:rsidP="00866155">
      <w:pPr>
        <w:rPr>
          <w:rFonts w:cs="Calibri"/>
        </w:rPr>
      </w:pPr>
    </w:p>
    <w:p w14:paraId="5CDD0037" w14:textId="76B51B28" w:rsidR="00787F73" w:rsidRPr="00AC1B06" w:rsidRDefault="00742FB7" w:rsidP="00866155">
      <w:pPr>
        <w:pStyle w:val="NormalWeb"/>
        <w:spacing w:before="0" w:after="0" w:line="360" w:lineRule="auto"/>
        <w:rPr>
          <w:rFonts w:ascii="Calibri" w:hAnsi="Calibri" w:cs="Calibri"/>
        </w:rPr>
      </w:pPr>
      <w:r w:rsidRPr="00AC1B06">
        <w:rPr>
          <w:rFonts w:ascii="Calibri" w:hAnsi="Calibri" w:cs="Calibri"/>
          <w:color w:val="000000"/>
        </w:rPr>
        <w:t xml:space="preserve">Examining SYFR’s approach to communication, as </w:t>
      </w:r>
      <w:r w:rsidR="00AA5C28">
        <w:rPr>
          <w:rFonts w:ascii="Calibri" w:hAnsi="Calibri" w:cs="Calibri"/>
          <w:color w:val="000000"/>
        </w:rPr>
        <w:t>explored</w:t>
      </w:r>
      <w:r w:rsidRPr="00AC1B06">
        <w:rPr>
          <w:rFonts w:ascii="Calibri" w:hAnsi="Calibri" w:cs="Calibri"/>
          <w:color w:val="000000"/>
        </w:rPr>
        <w:t xml:space="preserve"> in RQ1, there is often the implicit use of the </w:t>
      </w:r>
      <w:r w:rsidR="00912954">
        <w:rPr>
          <w:rFonts w:ascii="Calibri" w:hAnsi="Calibri" w:cs="Calibri"/>
          <w:color w:val="000000"/>
        </w:rPr>
        <w:t>D</w:t>
      </w:r>
      <w:r w:rsidR="004F7B90" w:rsidRPr="00AC1B06">
        <w:rPr>
          <w:rFonts w:ascii="Calibri" w:hAnsi="Calibri" w:cs="Calibri"/>
          <w:color w:val="000000"/>
        </w:rPr>
        <w:t xml:space="preserve">eficit </w:t>
      </w:r>
      <w:r w:rsidR="00912954">
        <w:rPr>
          <w:rFonts w:ascii="Calibri" w:hAnsi="Calibri" w:cs="Calibri"/>
          <w:color w:val="000000"/>
        </w:rPr>
        <w:t>M</w:t>
      </w:r>
      <w:r w:rsidR="004F7B90" w:rsidRPr="00AC1B06">
        <w:rPr>
          <w:rFonts w:ascii="Calibri" w:hAnsi="Calibri" w:cs="Calibri"/>
          <w:color w:val="000000"/>
        </w:rPr>
        <w:t xml:space="preserve">odel </w:t>
      </w:r>
      <w:r w:rsidRPr="00AC1B06">
        <w:rPr>
          <w:rFonts w:ascii="Calibri" w:hAnsi="Calibri" w:cs="Calibri"/>
          <w:color w:val="000000"/>
        </w:rPr>
        <w:t xml:space="preserve">of communication. As quoted above, the FRSA notes that they must provide information to encourage people to prevent fires, which suggests that the use of the </w:t>
      </w:r>
      <w:r w:rsidR="00912954">
        <w:rPr>
          <w:rFonts w:ascii="Calibri" w:hAnsi="Calibri" w:cs="Calibri"/>
          <w:color w:val="000000"/>
        </w:rPr>
        <w:t>D</w:t>
      </w:r>
      <w:r w:rsidR="004F7B90" w:rsidRPr="00AC1B06">
        <w:rPr>
          <w:rFonts w:ascii="Calibri" w:hAnsi="Calibri" w:cs="Calibri"/>
          <w:color w:val="000000"/>
        </w:rPr>
        <w:t xml:space="preserve">eficit </w:t>
      </w:r>
      <w:r w:rsidR="00912954">
        <w:rPr>
          <w:rFonts w:ascii="Calibri" w:hAnsi="Calibri" w:cs="Calibri"/>
          <w:color w:val="000000"/>
        </w:rPr>
        <w:t>M</w:t>
      </w:r>
      <w:r w:rsidR="004F7B90" w:rsidRPr="00AC1B06">
        <w:rPr>
          <w:rFonts w:ascii="Calibri" w:hAnsi="Calibri" w:cs="Calibri"/>
          <w:color w:val="000000"/>
        </w:rPr>
        <w:t xml:space="preserve">odel </w:t>
      </w:r>
      <w:r w:rsidRPr="00AC1B06">
        <w:rPr>
          <w:rFonts w:ascii="Calibri" w:hAnsi="Calibri" w:cs="Calibri"/>
          <w:color w:val="000000"/>
        </w:rPr>
        <w:t xml:space="preserve">of communication was initiated within the legislation. The focus is on providing the information, not conducting community engagement to support or understand the behaviour changed needed. The literature suggests that the </w:t>
      </w:r>
      <w:r w:rsidR="00912954">
        <w:rPr>
          <w:rFonts w:ascii="Calibri" w:hAnsi="Calibri" w:cs="Calibri"/>
          <w:color w:val="000000"/>
        </w:rPr>
        <w:t>D</w:t>
      </w:r>
      <w:r w:rsidR="004F7B90" w:rsidRPr="00AC1B06">
        <w:rPr>
          <w:rFonts w:ascii="Calibri" w:hAnsi="Calibri" w:cs="Calibri"/>
          <w:color w:val="000000"/>
        </w:rPr>
        <w:t xml:space="preserve">eficit </w:t>
      </w:r>
      <w:r w:rsidR="00912954">
        <w:rPr>
          <w:rFonts w:ascii="Calibri" w:hAnsi="Calibri" w:cs="Calibri"/>
          <w:color w:val="000000"/>
        </w:rPr>
        <w:t>M</w:t>
      </w:r>
      <w:r w:rsidR="004F7B90" w:rsidRPr="00AC1B06">
        <w:rPr>
          <w:rFonts w:ascii="Calibri" w:hAnsi="Calibri" w:cs="Calibri"/>
          <w:color w:val="000000"/>
        </w:rPr>
        <w:t xml:space="preserve">odel </w:t>
      </w:r>
      <w:r w:rsidRPr="00AC1B06">
        <w:rPr>
          <w:rFonts w:ascii="Calibri" w:hAnsi="Calibri" w:cs="Calibri"/>
          <w:color w:val="000000"/>
        </w:rPr>
        <w:t xml:space="preserve">continues within disaster risk reduction agencies due to the power and authority associated with sharing information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{"citationItems":[{"id":"ITEM-1","itemData":{"DOI":"10.1016/j.gloenvcha.2019.03.001","ISSN":"09593780","abstract":"'Participation with publics' has been embraced in both government and academic literatures as a necessary but currently unrealized means of governing socio-environmental challenges. This near-universal embrace carries global significance. Long-standing efforts in the context of disaster risk reduction (DRR) provide an opportunity to consider how experts have positioned participation such that it can only fail to empower publics. Using interviews with risk managers, we demonstrate that they impose boundaries on participation via application of a deficit model (DM). Despite continuous calls to make governance more participatory, we explore how the boundaries imposed on participation persist because of how experts are expected to do risk management, and how experts understand their occupations. As a result, meaningful publics-experts interactions are bounded into impossibility. Following demonstration of the DM as the essence of how experts conceive experts-publics interactions, using experts' own suggestions for improving risk reduction, we suggest relationship building as a way of reinvigorating participation. We explore how disaster risk reduction grounded in relationships could overcome existing boundaries, offering an easily-applied reconceptualization for differentiating meaningful from superficial participation, as well as a viable alternative to prevailing participatory methods. Given the intransigence of countless socio-environmental challenges and the need for improved interactions amongst experts-publics, the findings offer a novel pathway that may open an avenue to realizing the promise of participation.","author":[{"dropping-particle":"","family":"Cook","given":"Brian R.","non-dropping-particle":"","parse-names":false,"suffix":""},{"dropping-particle":"","family":"Melo Zurita","given":"Maria de Lourdes","non-dropping-particle":"","parse-names":false,"suffix":""}],"container-title":"Global Environmental Change","id":"ITEM-1","issue":"May","issued":{"date-parts":[["2019"]]},"page":"56-65","publisher":"Elsevier Ltd","title":"Fulfilling the promise of participation by not resuscitating the deficit model","type":"article-journal","volume":"56"},"uris":["http://www.mendeley.com/documents/?uuid=de577b06-4442-4293-9291-43a20bc460b6"]}],"mendeley":{"formattedCitation":"(Cook &amp; Melo Zurita, 2019)","plainTextFormattedCitation":"(Cook &amp; Melo Zurita, 2019)","previouslyFormattedCitation":"(Cook &amp; Melo Zurita, 2019)"},"properties":{"noteIndex":0},"schema":"https://github.com/citation-style-language/schema/raw/master/csl-citation.json"}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(Cook &amp; Melo Zurita, 2019)</w:t>
      </w:r>
      <w:r w:rsidRPr="00AC1B06">
        <w:rPr>
          <w:rFonts w:ascii="Calibri" w:hAnsi="Calibri" w:cs="Calibri"/>
          <w:color w:val="000000"/>
        </w:rPr>
        <w:fldChar w:fldCharType="end"/>
      </w:r>
      <w:r w:rsidRPr="00AC1B06">
        <w:rPr>
          <w:rFonts w:ascii="Calibri" w:hAnsi="Calibri" w:cs="Calibri"/>
          <w:color w:val="000000"/>
        </w:rPr>
        <w:t xml:space="preserve">, and perhaps the fear of losing institutional legitimacy if they engage with the community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Phenomena","type":"article-journal","volume":"47"},"uris":["http://www.mendeley.com/documents/?uuid=3561369e-31b0-40ce-940d-739bd34cab24"]},{"id":"ITEM-2","itemData":{"DOI":"10.1108/S0733-558X(2013)0039A&amp;B015","ISSN":"0733558X","abstract":"This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Organizations","id":"ITEM-2","issue":"B","issued":{"date-parts":[["2013"]]},"page":"37-61","publisher":"Emerald Group Publishing Limited","title":"Institutional ambidexterity: Leveraging institutional complexity in practice","type":"article-journal","volume":"39"},"uris":["http://www.mendeley.com/documents/?uuid=ff8dc873-f050-4c05-bdec-08925d6e6ab8"]}],"mendeley":{"formattedCitation":"(Lounsbury et al., 2021; Jarzabkowski et al., 2013)","plainTextFormattedCitation":"(Lounsbury et al., 2021; Jarzabkowski et al., 2013)","previouslyFormattedCitation":"(Lounsbury et al., 2021; Jarzabkowski et al., 2013)"},"properties":{"noteIndex":0},"schema":"https://github.com/citation-style-language/schema/raw/master/csl-citation.json"}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(Lounsbury et al., 2021; Jarzabkowski et al., 2013)</w:t>
      </w:r>
      <w:r w:rsidRPr="00AC1B06">
        <w:rPr>
          <w:rFonts w:ascii="Calibri" w:hAnsi="Calibri" w:cs="Calibri"/>
          <w:color w:val="000000"/>
        </w:rPr>
        <w:fldChar w:fldCharType="end"/>
      </w:r>
      <w:r w:rsidRPr="00AC1B06">
        <w:rPr>
          <w:rFonts w:ascii="Calibri" w:hAnsi="Calibri" w:cs="Calibri"/>
          <w:color w:val="000000"/>
        </w:rPr>
        <w:t>. Within the wider FRS legislation, there is only a statutory obligation to engage with the community surrounding Integrated Risk Management Plans (IRMPs)</w:t>
      </w:r>
      <w:r w:rsidR="00DD30D6">
        <w:rPr>
          <w:rFonts w:ascii="Calibri" w:hAnsi="Calibri" w:cs="Calibri"/>
          <w:color w:val="000000"/>
        </w:rPr>
        <w:t>.</w:t>
      </w:r>
      <w:r w:rsidRPr="00AC1B06">
        <w:rPr>
          <w:rFonts w:ascii="Calibri" w:hAnsi="Calibri" w:cs="Calibri"/>
          <w:color w:val="000000"/>
        </w:rPr>
        <w:t xml:space="preserve"> </w:t>
      </w:r>
      <w:r w:rsidR="00DD30D6">
        <w:rPr>
          <w:rFonts w:ascii="Calibri" w:hAnsi="Calibri" w:cs="Calibri"/>
          <w:color w:val="000000"/>
        </w:rPr>
        <w:t>H</w:t>
      </w:r>
      <w:r w:rsidRPr="00AC1B06">
        <w:rPr>
          <w:rFonts w:ascii="Calibri" w:hAnsi="Calibri" w:cs="Calibri"/>
          <w:color w:val="000000"/>
        </w:rPr>
        <w:t>owever, when discussing the consultations around IRMP</w:t>
      </w:r>
      <w:r w:rsidR="00AA5C28">
        <w:rPr>
          <w:rFonts w:ascii="Calibri" w:hAnsi="Calibri" w:cs="Calibri"/>
          <w:color w:val="000000"/>
        </w:rPr>
        <w:t>s</w:t>
      </w:r>
      <w:r w:rsidR="00DD30D6">
        <w:rPr>
          <w:rFonts w:ascii="Calibri" w:hAnsi="Calibri" w:cs="Calibri"/>
          <w:color w:val="000000"/>
        </w:rPr>
        <w:t>,</w:t>
      </w:r>
      <w:r w:rsidRPr="00AC1B06">
        <w:rPr>
          <w:rFonts w:ascii="Calibri" w:hAnsi="Calibri" w:cs="Calibri"/>
          <w:color w:val="000000"/>
        </w:rPr>
        <w:t xml:space="preserve"> the SM noted that as a service they could increase rates of engagement:  </w:t>
      </w:r>
    </w:p>
    <w:p w14:paraId="255E174C" w14:textId="77777777" w:rsidR="00787F73" w:rsidRPr="00AC1B06" w:rsidRDefault="00742FB7" w:rsidP="00866155">
      <w:pPr>
        <w:pStyle w:val="NormalWeb"/>
        <w:spacing w:before="240" w:after="240" w:line="360" w:lineRule="auto"/>
        <w:ind w:left="720" w:right="663"/>
        <w:jc w:val="both"/>
        <w:rPr>
          <w:rFonts w:ascii="Calibri" w:hAnsi="Calibri" w:cs="Calibri"/>
        </w:rPr>
      </w:pPr>
      <w:r w:rsidRPr="00AC1B06">
        <w:rPr>
          <w:rStyle w:val="QuoteChar"/>
          <w:rFonts w:cs="Calibri"/>
        </w:rPr>
        <w:lastRenderedPageBreak/>
        <w:t xml:space="preserve">“So, from a consultation engagement point of view, we have to, because it’s in statute, consult with the public around something called integrated risk management plans (…) What we don’t do very well is in between publishing those plans, talking to community groups, different parts of the community who may need our service.” </w:t>
      </w:r>
      <w:r w:rsidRPr="00AC1B06">
        <w:rPr>
          <w:rFonts w:ascii="Calibri" w:hAnsi="Calibri" w:cs="Calibri"/>
          <w:color w:val="000000"/>
        </w:rPr>
        <w:t>(SM, SYFR progress meeting 2019)</w:t>
      </w:r>
    </w:p>
    <w:p w14:paraId="25B085DE" w14:textId="519C6EC4" w:rsidR="00787F73" w:rsidRPr="00AC1B06" w:rsidRDefault="00C84401" w:rsidP="00866155">
      <w:pPr>
        <w:rPr>
          <w:rFonts w:cs="Calibri"/>
        </w:rPr>
      </w:pPr>
      <w:r w:rsidRPr="00010F12">
        <w:rPr>
          <w:rFonts w:cs="Calibri"/>
        </w:rPr>
        <w:t>While</w:t>
      </w:r>
      <w:r w:rsidR="00742FB7" w:rsidRPr="00AC1B06">
        <w:rPr>
          <w:rFonts w:cs="Calibri"/>
        </w:rPr>
        <w:t xml:space="preserve"> the SM noted this in 2019, in the time I spent with SYFR I did not see an increase in community engagement in this manner, however, this could have been due to COVID-19 affecting the service the following year, which influenced SYFR’s strategy. SYFR often noted that they would like to do more engagement with the community, however, there appeared to be a lack of resources to do this. </w:t>
      </w:r>
      <w:r w:rsidR="00AA5C28">
        <w:rPr>
          <w:rFonts w:cs="Calibri"/>
        </w:rPr>
        <w:t>W</w:t>
      </w:r>
      <w:r w:rsidR="00742FB7" w:rsidRPr="00AC1B06">
        <w:rPr>
          <w:rFonts w:cs="Calibri"/>
        </w:rPr>
        <w:t xml:space="preserve">hen I discussed the use of Facebook groups for a hyperlocal approach to campaigning with the CM, they noted that they would need to hire a new member of staff to do this on a larger scale. This implies that the resources are confined to their statutory obligations, and that there </w:t>
      </w:r>
      <w:r w:rsidR="00AA5C28" w:rsidRPr="00AC1B06">
        <w:rPr>
          <w:rFonts w:cs="Calibri"/>
        </w:rPr>
        <w:t>were</w:t>
      </w:r>
      <w:r w:rsidR="00742FB7" w:rsidRPr="00AC1B06">
        <w:rPr>
          <w:rFonts w:cs="Calibri"/>
        </w:rPr>
        <w:t xml:space="preserve"> not available resources to develop a strategy beyond the legal obligations. This lack of funding constricts SYFR’s ability to develop institutional agency to create, maintain or disrupt the logics </w:t>
      </w:r>
      <w:r w:rsidR="00742FB7" w:rsidRPr="00AC1B06">
        <w:rPr>
          <w:rFonts w:cs="Calibri"/>
        </w:rPr>
        <w:fldChar w:fldCharType="begin" w:fldLock="1"/>
      </w:r>
      <w:r w:rsidR="00974B75" w:rsidRPr="00AC1B06">
        <w:rPr>
          <w:rFonts w:cs="Calibri"/>
        </w:rPr>
        <w:instrText>ADDIN CSL_CITATION {"citationItems":[{"id":"ITEM-1","itemData":{"DOI":"10.5465/amr.2015.0020","ISBN":"354068297X","ISSN":"03029743","PMID":"127021146","abstract":"In this article I argue that the quest to establish microfoundations for institutional theory is hindered by two assumptions on which it currently rests: that structure simply con-strains and enables action and that agency is mostly associated with reflexivity. I un-pack these two assumptions and propose alternative microfoundations on which (1) structure not only constrains and enables action but also actively orients it toward some possibilities over others, and (2) the pre-reflective dimension of agency is explicitly theorized. It thus becomes possible to bridge long-standing divides within institutional theory, opening up avenues for further developing its microfoundations.","author":[{"dropping-particle":"","family":"Cardinale","given":"Ivano","non-dropping-particle":"","parse-names":false,"suffix":""}],"container-title":"Academy of Management Review","id":"ITEM-1","issue":"1","issued":{"date-parts":[["2018"]]},"page":"132-155","title":"Beyond Constraining and Enabling: Toward New Microfoundations for Institutional Theory","type":"article-journal","volume":"43"},"uris":["http://www.mendeley.com/documents/?uuid=d9c484f7-3075-4731-8304-8986df5d71a1"]},{"id":"ITEM-2","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Practice","id":"ITEM-2","issue":"3","issued":{"date-parts":[["2010"]]},"page":"421-440","title":"Institutional theory and entrepreneurship: Where are we now and where do we need to move in the future?","type":"article-journal","volume":"34"},"uris":["http://www.mendeley.com/documents/?uuid=e36ff41e-f87e-4ac2-ad15-cf1983b501ae"]},{"id":"ITEM-3","itemData":{"DOI":"10.1177/1056492609347564","ISSN":"10564926","abstract":"This essay offers a critical summation of the use of neo-institutionalism to study organizations. While institutionalism has succeeded in becoming the dominant theory to study macro-organizational phenomena, there is a danger that the theory has been stretched far beyond its core purpose-to understand how organizational structures and processes acquire meaning and continuity beyond their technical goals. I discuss some possible reasons for this displacement and identify four nascent threads of research that hold strong potential for bringing institutional theory back to its core assumptions and objectives; categories, language, work, and aesthetics. © The Author(s) 2010.","author":[{"dropping-particle":"","family":"Suddaby","given":"Roy","non-dropping-particle":"","parse-names":false,"suffix":""}],"container-title":"Journal of Management Inquiry","id":"ITEM-3","issue":"1","issued":{"date-parts":[["2010"]]},"page":"14-20","title":"Challenges for institutional theory","type":"article-journal","volume":"19"},"uris":["http://www.mendeley.com/documents/?uuid=48d38a20-6474-4586-8ab9-0cdc9bff1589"]},{"id":"ITEM-4","itemData":{"author":[{"dropping-particle":"","family":"Thornton","given":"Patricia H.","non-dropping-particle":"","parse-names":false,"suffix":""},{"dropping-particle":"","family":"Ocasio","given":"William","non-dropping-particle":"","parse-names":false,"suffix":""}],"chapter-number":"3","container-title":"The Sage Handbook of Organizational Institutionalism","editor":[{"dropping-particle":"","family":"Greenwood","given":"Royston","non-dropping-particle":"","parse-names":false,"suffix":""},{"dropping-particle":"","family":"Oliver","given":"Christine","non-dropping-particle":"","parse-names":false,"suffix":""},{"dropping-particle":"","family":"Sahlin","given":"Kerstin","non-dropping-particle":"","parse-names":false,"suffix":""},{"dropping-particle":"","family":"Suddaby","given":"Roy","non-dropping-particle":"","parse-names":false,"suffix":""}],"id":"ITEM-4","issued":{"date-parts":[["2008"]]},"page":"99 - 129","publisher":"Sage","publisher-place":"London","title":"Institutional Logics","type":"chapter"},"uris":["http://www.mendeley.com/documents/?uuid=681a540b-b207-4191-9969-2e3a3a56108e"]},{"id":"ITEM-5","itemData":{"DOI":"10.1111/j.1467-9299.2012.02105.x","ISBN":"00014273","ISSN":"0170-8406","PMID":"18837629","abstract":"Over recent decades, a number of managerial reform initiatives in continental Europe have aimed at moving away from the traditional Weberian model of public administration. Such shifting bases of legitimacy are brought about by changes in the institutional logics in place, which not only provide frames of reference but also social identities and vocabularies of motive for the actors in the field. In this article, we approach the expanding research on public service motivation (PSM) by employing an institutional prism. Based on an executive survey in a continental European context, we examine the assumption that high PSM is associated with the traditional ethos and social identity in the public sector. What we find is that a Weberian legalistic-bureaucratic logic supports neither a high attraction to policy-making nor a high level of compassion. A managerial orientation, on the other hand, entails significantly higher scores on these two dimensions, as well as on overall PSM.","author":[{"dropping-particle":"","family":"Dacin","given":"M Tina","non-dropping-particle":"","parse-names":false,"suffix":""},{"dropping-particle":"","family":"Goodstein","given":"Jerry","non-dropping-particle":"","parse-names":false,"suffix":""},{"dropping-particle":"","family":"Scott","given":"W Richard","non-dropping-particle":"","parse-names":false,"suffix":""}],"container-title":"The Academy of Management Journal","id":"ITEM-5","issue":"1","issued":{"date-parts":[["2002"]]},"page":"45-56","title":"Institutional Theory and Institutional Change: Introduction to the Special Research Forum","type":"article-journal","volume":"45"},"uris":["http://www.mendeley.com/documents/?uuid=ce784237-38a8-4089-a19f-9157aeaf33bb"]}],"mendeley":{"formattedCitation":"(Cardinale, 2018; Bruton, Ahlstrom, &amp; Li, 2010; Suddaby, 2010; Thornton &amp; Ocasio, 2008; Dacin, Goodstein, &amp; Scott, 2002)","plainTextFormattedCitation":"(Cardinale, 2018; Bruton, Ahlstrom, &amp; Li, 2010; Suddaby, 2010; Thornton &amp; Ocasio, 2008; Dacin, Goodstein, &amp; Scott, 2002)","previouslyFormattedCitation":"(Cardinale, 2018; Bruton, Ahlstrom, &amp; Li, 2010; Suddaby, 2010; Thornton &amp; Ocasio, 2008; Dacin, Goodstein, &amp; Scott, 2002)"},"properties":{"noteIndex":0},"schema":"https://github.com/citation-style-language/schema/raw/master/csl-citation.json"}</w:instrText>
      </w:r>
      <w:r w:rsidR="00742FB7" w:rsidRPr="00AC1B06">
        <w:rPr>
          <w:rFonts w:cs="Calibri"/>
        </w:rPr>
        <w:fldChar w:fldCharType="separate"/>
      </w:r>
      <w:r w:rsidR="00742FB7" w:rsidRPr="00AC1B06">
        <w:rPr>
          <w:rFonts w:cs="Calibri"/>
          <w:noProof/>
        </w:rPr>
        <w:t>(Cardinale, 2018; Bruton, Ahlstrom, &amp; Li, 2010; Suddaby, 2010; Thornton &amp; Ocasio, 2008; Dacin, Goodstein, &amp; Scott, 2002)</w:t>
      </w:r>
      <w:r w:rsidR="00742FB7" w:rsidRPr="00AC1B06">
        <w:rPr>
          <w:rFonts w:cs="Calibri"/>
        </w:rPr>
        <w:fldChar w:fldCharType="end"/>
      </w:r>
      <w:r w:rsidR="00742FB7" w:rsidRPr="00AC1B06">
        <w:rPr>
          <w:rFonts w:cs="Calibri"/>
        </w:rPr>
        <w:t>.</w:t>
      </w:r>
    </w:p>
    <w:p w14:paraId="000C6587" w14:textId="77777777" w:rsidR="00787F73" w:rsidRPr="00AC1B06" w:rsidRDefault="00787F73" w:rsidP="00866155">
      <w:pPr>
        <w:rPr>
          <w:rFonts w:cs="Calibri"/>
        </w:rPr>
      </w:pPr>
    </w:p>
    <w:p w14:paraId="769F9148" w14:textId="79523A5A" w:rsidR="00787F73" w:rsidRPr="00AC1B06" w:rsidRDefault="00742FB7" w:rsidP="00866155">
      <w:pPr>
        <w:rPr>
          <w:rFonts w:cs="Calibri"/>
        </w:rPr>
      </w:pPr>
      <w:r w:rsidRPr="00AC1B06">
        <w:rPr>
          <w:rFonts w:cs="Calibri"/>
        </w:rPr>
        <w:t xml:space="preserve">This indicates that the FRSA is a very dominant logic, and influences the everyday lives of the SYFR Communications team, influencing their strategy, messaging and general approach to communication surrounding preventing and responding to fires. </w:t>
      </w:r>
      <w:r w:rsidR="00C84401" w:rsidRPr="00010F12">
        <w:rPr>
          <w:rFonts w:cs="Calibri"/>
        </w:rPr>
        <w:t>While</w:t>
      </w:r>
      <w:r w:rsidRPr="00AC1B06">
        <w:rPr>
          <w:rFonts w:cs="Calibri"/>
        </w:rPr>
        <w:t xml:space="preserve"> this predominantly focuses on fire, SYFR are also subject to other statutory obligations surrounding response and operational resilience, such as the Civil Contingencies Act (2004).</w:t>
      </w:r>
    </w:p>
    <w:p w14:paraId="62955B8F" w14:textId="77777777" w:rsidR="00787F73" w:rsidRDefault="00787F73" w:rsidP="00866155">
      <w:pPr>
        <w:rPr>
          <w:rFonts w:cs="Calibri"/>
        </w:rPr>
      </w:pPr>
    </w:p>
    <w:p w14:paraId="16E673DD" w14:textId="77777777" w:rsidR="00787F73" w:rsidRDefault="00742FB7" w:rsidP="00866155">
      <w:pPr>
        <w:pStyle w:val="Heading4"/>
        <w:spacing w:line="360" w:lineRule="auto"/>
      </w:pPr>
      <w:bookmarkStart w:id="872" w:name="_Toc158216650"/>
      <w:bookmarkStart w:id="873" w:name="_Toc158047141"/>
      <w:r>
        <w:t>Civil Contingencies Act logic</w:t>
      </w:r>
      <w:bookmarkEnd w:id="872"/>
      <w:bookmarkEnd w:id="873"/>
      <w:r>
        <w:t xml:space="preserve"> </w:t>
      </w:r>
    </w:p>
    <w:p w14:paraId="21F7A2E1" w14:textId="77777777" w:rsidR="00787F73" w:rsidRDefault="00742FB7" w:rsidP="00866155">
      <w:r>
        <w:rPr>
          <w:rFonts w:cs="Calibri"/>
        </w:rPr>
        <w:t xml:space="preserve">The CCA legislation influenced and shaped SYFR’s operations, with a focus on operations surrounding emergencies and major incidents. The CCA (2004) provides an obligation to develop countywide resilience plans and to work in collaboration during the response and recovery phases of major incidents. This includes the attendance of the FRS in LRFs which creates a focus on proactive resilience </w:t>
      </w:r>
      <w:r>
        <w:fldChar w:fldCharType="begin" w:fldLock="1"/>
      </w:r>
      <w:r>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Pr>
          <w:rFonts w:cs="Calibri"/>
        </w:rPr>
        <w:fldChar w:fldCharType="separate"/>
      </w:r>
      <w:r>
        <w:rPr>
          <w:rFonts w:cs="Calibri"/>
          <w:noProof/>
        </w:rPr>
        <w:t>(Carmen et al., 2022)</w:t>
      </w:r>
      <w:r>
        <w:rPr>
          <w:rFonts w:cs="Calibri"/>
        </w:rPr>
        <w:fldChar w:fldCharType="end"/>
      </w:r>
      <w:r>
        <w:rPr>
          <w:rFonts w:cs="Calibri"/>
        </w:rPr>
        <w:t xml:space="preserve">, examining the potential risks associated with an area, and planning for the response to those risks. While the CCA (2004) </w:t>
      </w:r>
      <w:r>
        <w:rPr>
          <w:rFonts w:cs="Calibri"/>
        </w:rPr>
        <w:lastRenderedPageBreak/>
        <w:t xml:space="preserve">includes a focus on preventing emergencies, it is only related to ensuring services which work within prevention have their functioning protected </w:t>
      </w:r>
      <w:r>
        <w:fldChar w:fldCharType="begin" w:fldLock="1"/>
      </w:r>
      <w:r w:rsidR="00974B75">
        <w:rPr>
          <w:rFonts w:cs="Calibri"/>
        </w:rPr>
        <w:instrText>ADDIN CSL_CITATION {"citationItems":[{"id":"ITEM-1","itemData":{"ISBN":"9780105436041","abstract":"Printed in the UK by The Stationery OYce Limited","author":[{"dropping-particle":"","family":"Civil Contingencies Act","given":"","non-dropping-particle":"","parse-names":false,"suffix":""}],"id":"ITEM-1","issued":{"date-parts":[["2004"]]},"page":"1 - 36","publisher-place":"Great Britain","title":"Civil Contingencies Act","type":"legislation"},"uris":["http://www.mendeley.com/documents/?uuid=9d387e41-f43a-40d8-85ce-a5ebdf2cd92f"]}],"mendeley":{"formattedCitation":"(Civil Contingencies Act, 2004)","plainTextFormattedCitation":"(Civil Contingencies Act, 2004)","previouslyFormattedCitation":"(Civil Contingencies Act, 2004)"},"properties":{"noteIndex":0},"schema":"https://github.com/citation-style-language/schema/raw/master/csl-citation.json"}</w:instrText>
      </w:r>
      <w:r>
        <w:rPr>
          <w:rFonts w:cs="Calibri"/>
        </w:rPr>
        <w:fldChar w:fldCharType="separate"/>
      </w:r>
      <w:r>
        <w:rPr>
          <w:rFonts w:cs="Calibri"/>
          <w:noProof/>
        </w:rPr>
        <w:t>(Civil Contingencies Act, 2004)</w:t>
      </w:r>
      <w:r>
        <w:rPr>
          <w:rFonts w:cs="Calibri"/>
        </w:rPr>
        <w:fldChar w:fldCharType="end"/>
      </w:r>
      <w:r>
        <w:rPr>
          <w:rFonts w:cs="Calibri"/>
        </w:rPr>
        <w:t xml:space="preserve">, suggesting that prevention is an indirect aim of the CCA. </w:t>
      </w:r>
    </w:p>
    <w:p w14:paraId="3430510E" w14:textId="77777777" w:rsidR="00787F73" w:rsidRDefault="00787F73" w:rsidP="00866155">
      <w:pPr>
        <w:rPr>
          <w:rFonts w:cs="Calibri"/>
        </w:rPr>
      </w:pPr>
    </w:p>
    <w:p w14:paraId="3CA24C38" w14:textId="77777777" w:rsidR="00787F73" w:rsidRDefault="00742FB7" w:rsidP="00866155">
      <w:r>
        <w:rPr>
          <w:rFonts w:cs="Calibri"/>
        </w:rPr>
        <w:t>Working within the South Yorkshire LRF means that SYFR collaborate and plan for events which they do not have a statutory obligation for under the FRSA (2004); this can create some communication challenges for SYFR:</w:t>
      </w:r>
    </w:p>
    <w:p w14:paraId="3952DAC8" w14:textId="77777777" w:rsidR="00787F73" w:rsidRDefault="00787F73" w:rsidP="00866155">
      <w:pPr>
        <w:rPr>
          <w:rFonts w:cs="Calibri"/>
        </w:rPr>
      </w:pPr>
    </w:p>
    <w:p w14:paraId="3AA00DB6" w14:textId="77777777" w:rsidR="00787F73" w:rsidRDefault="00742FB7" w:rsidP="00866155">
      <w:pPr>
        <w:ind w:left="720" w:right="663"/>
        <w:jc w:val="both"/>
      </w:pPr>
      <w:r>
        <w:rPr>
          <w:rStyle w:val="QuoteChar"/>
          <w:rFonts w:cs="Calibri"/>
        </w:rPr>
        <w:t>“The Fire Service isn’t funded to deal with flooding, but they do. That’s part of the rescue provision. That’s part of the rescue part of Fire and Rescue. We have the LRF (…) that’s where we’ll do tabletop exercises and stuff, where we plan what we’d do in a disaster. But we don’t, particularly, warn the community very well. It’s a gap, really, talking about it”</w:t>
      </w:r>
      <w:r>
        <w:rPr>
          <w:rFonts w:cs="Calibri"/>
        </w:rPr>
        <w:t xml:space="preserve"> (CM </w:t>
      </w:r>
      <w:r w:rsidR="006A7A2E">
        <w:rPr>
          <w:rFonts w:cs="Calibri"/>
        </w:rPr>
        <w:t xml:space="preserve">interview, </w:t>
      </w:r>
      <w:r>
        <w:rPr>
          <w:rFonts w:cs="Calibri"/>
        </w:rPr>
        <w:t>29.11.19)</w:t>
      </w:r>
    </w:p>
    <w:p w14:paraId="293ADDE7" w14:textId="77777777" w:rsidR="00787F73" w:rsidRDefault="00787F73" w:rsidP="00866155">
      <w:pPr>
        <w:rPr>
          <w:rFonts w:cs="Calibri"/>
        </w:rPr>
      </w:pPr>
    </w:p>
    <w:p w14:paraId="525FB824" w14:textId="77777777" w:rsidR="00787F73" w:rsidRDefault="00742FB7" w:rsidP="00866155">
      <w:r>
        <w:rPr>
          <w:rFonts w:cs="Calibri"/>
        </w:rPr>
        <w:t xml:space="preserve">This creates institutional complexity, with SYFR having an obligation to respond to flooding, but without the resources or obligation to prevent it. This implies the institutional complexity is rooted in a contradiction between two logics </w:t>
      </w:r>
      <w:r>
        <w:fldChar w:fldCharType="begin" w:fldLock="1"/>
      </w:r>
      <w:r w:rsidR="00E37B0E">
        <w:rPr>
          <w:rFonts w:cs="Calibri"/>
        </w:rPr>
        <w:instrText>ADDIN CSL_CITATION {"citationItems":[{"id":"ITEM-1","itemData":{"DOI":"10.1177/0007650318789104","ISSN":"15524205","abstract":"Social innovations are urgently needed as we confront complex social problems. As these social problems feature substantial interdependencies among multiple systems and actors, developing and implementing innovative solutions involve the re-negotiating of settled institutions or the building of new ones. In this introductory article, we introduce a stylized three-cycle model highlighting the institutional nature of social innovation efforts. The model conceptualizes social innovation processes as the product of agentic, relational, and situated dynamics in three interrelated cycles that operate at the micro, meso, and macro levels of analysis. The five papers included in this special issue address one or more of these cycles. We draw on these papers and the model to stimulate and offer guidance to future conversations on social innovations from an institutional theory perspective.","author":[{"dropping-particle":"","family":"Wijk","given":"Jakomijn","non-dropping-particle":"van","parse-names":false,"suffix":""},{"dropping-particle":"","family":"Zietsma","given":"Charlene","non-dropping-particle":"","parse-names":false,"suffix":""},{"dropping-particle":"","family":"Dorado","given":"Silvia","non-dropping-particle":"","parse-names":false,"suffix":""},{"dropping-particle":"","family":"Bakker","given":"Frank G.A.","non-dropping-particle":"de","parse-names":false,"suffix":""},{"dropping-particle":"","family":"Martí","given":"Ignasi","non-dropping-particle":"","parse-names":false,"suffix":""}],"container-title":"Business and Society","id":"ITEM-1","issue":"5","issued":{"date-parts":[["2019"]]},"page":"887-918","title":"Social Innovation: Integrating Micro, Meso, and Macro Level Insights From Institutional Theory","type":"article-journal","volume":"58"},"uris":["http://www.mendeley.com/documents/?uuid=e7aea813-38d5-4cfc-809f-0f93b22a795c"]},{"id":"ITEM-2","itemData":{"DOI":"10.1108/S0733-558X201600048A001","author":[{"dropping-particle":"","family":"Glaser","given":"Vern L","non-dropping-particle":"","parse-names":false,"suffix":""},{"dropping-particle":"","family":"Fast","given":"Nathanael J","non-dropping-particle":"","parse-names":false,"suffix":""},{"dropping-particle":"","family":"Harmon","given":"Derek J","non-dropping-particle":"","parse-names":false,"suffix":""},{"dropping-particle":"","family":"Green","given":"Sandy E","non-dropping-particle":"","parse-names":false,"suffix":""}],"chapter-number":"2","container-title":"How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-2","issued":{"date-parts":[["2016"]]},"page":"35-70","publisher":"Emerald Group Publishing Limited","title":"Institutional Frame Switching: How Institutional Logics Shape Individual Action","type":"chapter","volume":"48A"},"uris":["http://www.mendeley.com/documents/?uuid=8ac9f37b-5be1-4297-bd70-0abc13a22de3"]},{"id":"ITEM-3","itemData":{"DOI":"10.1177/1476127015625040","author":[{"dropping-particle":"","family":"Ocasio","given":"William","non-dropping-particle":"","parse-names":false,"suffix":""},{"dropping-particle":"","family":"Radoynovska","given":"Nevena","non-dropping-particle":"","parse-names":false,"suffix":""}],"container-title":"Strategic Organization","id":"ITEM-3","issue":"4","issued":{"date-parts":[["2016"]]},"page":"287 - 309","title":"Strategy and commitments to institutional logics : Organizational heterogeneity in business models and governance","type":"article-journal","volume":"14"},"uris":["http://www.mendeley.com/documents/?uuid=eede86b6-3a39-4b52-acc9-94e8cc3fbd5e"]},{"id":"ITEM-4","itemData":{"DOI":"10.1108/S0733-558X201600048A005","author":[{"dropping-particle":"","family":"Zilber","given":"Tammar B","non-dropping-particle":"","parse-names":false,"suffix":""}],"chapter-number":"5","container-title":"How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-4","issued":{"date-parts":[["2016"]]},"page":"137-155","publisher":"Emerald Group Publishing Limited","title":"How Institutional Logics Matter: A Bottom-Up Exploration","type":"chapter","volume":"48"},"uris":["http://www.mendeley.com/documents/?uuid=e4988de7-6965-4bc8-bedf-8392ba1d8d8c"]},{"id":"ITEM-5","itemData":{"DOI":"10.1093/acprof","ISBN":"9780199682676","ISSN":"0873626X","PMID":"16683413","abstract":"This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-5","issued":{"date-parts":[["2012"]]},"publisher":"Oxford Acdemic","publisher-place":"Oxford","title":"The Institutional Logics Perspective: A New Approach to Culture, Structure and Process","type":"book"},"uris":["http://www.mendeley.com/documents/?uuid=7afe7588-cd0b-4a95-b78a-3214c1130169"]},{"id":"ITEM-6","itemData":{"DOI":"10.1177/017084069701800204","ISBN":"01708406","ISSN":"0170-8406","PMID":"9707225788","abstract":"The focus of this paper is to examine the responses to institutional isomorph ism in one area of the public sector — universities. As an example, one particu lar organizational practice is examined — performance appraisal — and its implications for one group of professionals — academics. In doing so, some of the sources of variation in responses to institutional pressures are illustrated and the strategies of resistance actors engage in to resist such pressures. It is suggested that the concept of institutional logic is an important element in influencing responses to isomorphism, providing a repertoire of beliefs with which to contest concepts of legitimacy.","author":[{"dropping-particle":"","family":"Townley","given":"Barbara","non-dropping-particle":"","parse-names":false,"suffix":""}],"container-title":"Organization Studies","id":"ITEM-6","issue":"2","issued":{"date-parts":[["1997"]]},"page":"261-285","title":"Logic of Performance Appraisal","type":"article-journal","volume":"18"},"uris":["http://www.mendeley.com/documents/?uuid=3956e178-7c7b-4649-90dd-0750fde9fde0"]}],"mendeley":{"formattedCitation":"(van Wijk et al., 2019; Glaser et al., 2016; Ocasio &amp; Radoynovska, 2016; Zilber, 2016; Thornton, Ocasio, &amp; Lounsbury, 2012; Townley, 1997)","plainTextFormattedCitation":"(van Wijk et al., 2019; Glaser et al., 2016; Ocasio &amp; Radoynovska, 2016; Zilber, 2016; Thornton, Ocasio, &amp; Lounsbury, 2012; Townley, 1997)","previouslyFormattedCitation":"(van Wijk et al., 2019; Glaser et al., 2016; Ocasio &amp; Radoynovska, 2016; Zilber, 2016; Thornton, Ocasio, &amp; Lounsbury, 2012; Townley, 1997)"},"properties":{"noteIndex":0},"schema":"https://github.com/citation-style-language/schema/raw/master/csl-citation.json"}</w:instrText>
      </w:r>
      <w:r>
        <w:rPr>
          <w:rFonts w:cs="Calibri"/>
        </w:rPr>
        <w:fldChar w:fldCharType="separate"/>
      </w:r>
      <w:r w:rsidR="007C12EC" w:rsidRPr="007C12EC">
        <w:rPr>
          <w:rFonts w:cs="Calibri"/>
          <w:noProof/>
        </w:rPr>
        <w:t>(van Wijk et al., 2019; Glaser et al., 2016; Ocasio &amp; Radoynovska, 2016; Zilber, 2016; Thornton, Ocasio, &amp; Lounsbury, 2012; Townley, 1997)</w:t>
      </w:r>
      <w:r>
        <w:rPr>
          <w:rFonts w:cs="Calibri"/>
        </w:rPr>
        <w:fldChar w:fldCharType="end"/>
      </w:r>
      <w:r>
        <w:rPr>
          <w:rFonts w:cs="Calibri"/>
        </w:rPr>
        <w:t xml:space="preserve">, with the CCA logic to collaborate and respond, and NPM logics which focus on efficient use of resources and more general parsimony in resource use </w:t>
      </w:r>
      <w:r>
        <w:fldChar w:fldCharType="begin" w:fldLock="1"/>
      </w:r>
      <w:r w:rsidR="00974B75">
        <w:rPr>
          <w:rFonts w:cs="Calibri"/>
        </w:rPr>
        <w:instrText>ADDIN CSL_CITATION {"citationItems":[{"id":"ITEM-1","itemData":{"DOI":"http://dx.doi.org/10.1108/MRR-09-2015-0216","ISBN":"0001253111116","ISSN":"0264-0473","PMID":"42012058","abstract":"Abstract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Journal","id":"ITEM-1","issue":"1/2","issued":{"date-parts":[["2019"]]},"page":"134-151","title":"The impact of new public management through outsourcing on the management of government information: The case of Sweden","type":"article-journal","volume":"29"},"uris":["http://www.mendeley.com/documents/?uuid=4524732a-155c-4c93-922f-cd3a912b45c2"]},{"id":"ITEM-2","itemData":{"DOI":"10.1016/0361-3682(93)E0001-W","ISSN":"03613682","abstract":"Changes in public sector accounting in a number of OECD countries over the 1980s were central to the rise of the \"New Public Management\" (NPM) and its associated doctrines of public accountability and organizational best practice. This paper discusses the rise of NPM as an alternative to the tradition of public accountability embodied in progressive-era public administration ideas. It argues that, in spite of allegations of internationalization and the adoption of a new global paradigm in public management, there was considerable variation in the extent to which different OECD countries adopted NPM over the 1980s. It further argues that conventional explanations of the rise of NPM (\"Englishness\", party political incumbency, economic performance record and government size) seem hard to sustain even from a relatively brief inspection of such cross-national data as are available, and that an explanation based on initial endowment may give us a different perspective on those changes. © 1995.","author":[{"dropping-particle":"","family":"Hood","given":"Christopher","non-dropping-particle":"","parse-names":false,"suffix":""}],"container-title":"Accounting, Organizations and Society","id":"ITEM-2","issue":"2/3","issued":{"date-parts":[["1995"]]},"page":"93-109","title":"The \"New Public Management\" in the 1980s: Variations on a theme","type":"article-journal","volume":"20"},"uris":["http://www.mendeley.com/documents/?uuid=7c2fc97b-7560-4c74-9a7c-9a0f44e73949"]},{"id":"ITEM-3","itemData":{"DOI":"10.1111/padm.12005","ISSN":"00333298","abstract":"Based on empirical research with two non-profit organizations, this article critiques structural explanations of non-profit service innovation, which portray innovation as a response to institutional contexts and downplay the power and role of human agents. We offer, instead, a conceptualization of non-profit innovation in which human agency - and its interplay with institutional logics - is an integral feature. Specifically, we outline the ways in which non-profit actors draw upon the competing institutional logics available to them to frame and serve their interests. We find that actors' assumptions and beliefs about the organization's role in the institutional field and the practice of normative, discursive work are central tenets of both the maintenance and transformation of institutions. We also find instances of service stability and service innovation ensuing from non-profit actors' agency in infusing organizational practices with interpretations and elaborations of institutional logics. © 2013 John Wiley &amp; Sons Ltd.","author":[{"dropping-particle":"","family":"Coule","given":"Tracey","non-dropping-particle":"","parse-names":false,"suffix":""},{"dropping-particle":"","family":"Patmore","given":"Beth","non-dropping-particle":"","parse-names":false,"suffix":""}],"container-title":"Public Administration","id":"ITEM-3","issue":"4","issued":{"date-parts":[["2013"]]},"page":"980-997","title":"Institutional logics, institutional work, and public service innovation in non-profit organizations","type":"article-journal","volume":"91"},"uris":["http://www.mendeley.com/documents/?uuid=5ee53fde-2479-4fb6-8060-8f41cf289650"]},{"id":"ITEM-4","itemData":{"DOI":"10.1080/10286632.2023.2239262","ISSN":"14772833","abstract":"This article examines how cultural policies focused on Democratisation of Culture and Cultural Democracy are affected by different public administration regimes, namely New Public Management (NPM) and New Public Governance (NPG). The NPM era saw a focus on performance measurement and goal setting in the pursuit of democratizing culture, while the NPG expects cultural institutions to take responsibility for widening access through projects involving non-users and NGOs. Cultural Democracy policies experienced an increase in demands for documented impacts under NPM, while the NPG emphasized participatory decision-making, and for cultural institutions to “do good”. The article argues that NPG changes the appearance of instrumentality. In the era of NPG, actors in the field of culture 1) are expected to explore their own potential for innovation, 2) are expected to contribute on equal terms with other public institutions to the solution of society’s pressing problems, and 3) experience a trend where cultural work is framed as doing good or creating change. This situation makes it difficult to identify and criticize instrumentality. The NPG conceals the disadvantages of instrumental cultural policy and makes it difficult to question it. The NPG reframes instrumentality as something that should be taken for granted, something positive, and because it is initiated from below, something that is not even recognizable as instrumental cultural policy.","author":[{"dropping-particle":"","family":"Kann-Rasmussen","given":"Nanna","non-dropping-particle":"","parse-names":false,"suffix":""}],"container-title":"International Journal of Cultural Policy","id":"ITEM-4","issued":{"date-parts":[["2023"]]},"page":"1 - 15","title":"Reframing instrumentality: from New Public Management to New Public Governance","type":"article-journal"},"uris":["http://www.mendeley.com/documents/?uuid=cb85f51b-8f8c-4204-8e8b-f646a5620c4c"]}],"mendeley":{"formattedCitation":"(Kann-Rasmussen, 2023; Svärd, 2019; Coule &amp; Patmore, 2013; Hood, 1995)","plainTextFormattedCitation":"(Kann-Rasmussen, 2023; Svärd, 2019; Coule &amp; Patmore, 2013; Hood, 1995)","previouslyFormattedCitation":"(Kann-Rasmussen, 2023; Svärd, 2019; Coule &amp; Patmore, 2013; Hood, 1995)"},"properties":{"noteIndex":0},"schema":"https://github.com/citation-style-language/schema/raw/master/csl-citation.json"}</w:instrText>
      </w:r>
      <w:r>
        <w:rPr>
          <w:rFonts w:cs="Calibri"/>
        </w:rPr>
        <w:fldChar w:fldCharType="separate"/>
      </w:r>
      <w:r>
        <w:rPr>
          <w:rFonts w:cs="Calibri"/>
          <w:noProof/>
        </w:rPr>
        <w:t>(Kann-Rasmussen, 2023; Svärd, 2019; Coule &amp; Patmore, 2013; Hood, 1995)</w:t>
      </w:r>
      <w:r>
        <w:rPr>
          <w:rFonts w:cs="Calibri"/>
        </w:rPr>
        <w:fldChar w:fldCharType="end"/>
      </w:r>
      <w:r>
        <w:rPr>
          <w:rFonts w:cs="Calibri"/>
        </w:rPr>
        <w:t>.</w:t>
      </w:r>
    </w:p>
    <w:p w14:paraId="3D281305" w14:textId="77777777" w:rsidR="00787F73" w:rsidRDefault="00787F73" w:rsidP="00866155">
      <w:pPr>
        <w:rPr>
          <w:rFonts w:cs="Calibri"/>
        </w:rPr>
      </w:pPr>
    </w:p>
    <w:p w14:paraId="456E8DC5" w14:textId="62959723" w:rsidR="00787F73" w:rsidRDefault="00C84401" w:rsidP="00866155">
      <w:r w:rsidRPr="00010F12">
        <w:rPr>
          <w:rFonts w:cs="Calibri"/>
        </w:rPr>
        <w:t>While</w:t>
      </w:r>
      <w:r w:rsidR="00742FB7">
        <w:rPr>
          <w:rFonts w:cs="Calibri"/>
        </w:rPr>
        <w:t xml:space="preserve"> the LRF conducts proactive resilience for their operations, they do not focus on either proactive or responsive community resilience </w:t>
      </w:r>
      <w:r w:rsidR="00742FB7">
        <w:fldChar w:fldCharType="begin" w:fldLock="1"/>
      </w:r>
      <w:r w:rsidR="00742FB7">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sidR="00742FB7">
        <w:rPr>
          <w:rFonts w:cs="Calibri"/>
        </w:rPr>
        <w:fldChar w:fldCharType="separate"/>
      </w:r>
      <w:r w:rsidR="00742FB7">
        <w:rPr>
          <w:rFonts w:cs="Calibri"/>
          <w:noProof/>
        </w:rPr>
        <w:t>(Carmen et al., 2022)</w:t>
      </w:r>
      <w:r w:rsidR="00742FB7">
        <w:rPr>
          <w:rFonts w:cs="Calibri"/>
        </w:rPr>
        <w:fldChar w:fldCharType="end"/>
      </w:r>
      <w:r w:rsidR="00742FB7">
        <w:rPr>
          <w:rFonts w:cs="Calibri"/>
        </w:rPr>
        <w:t xml:space="preserve"> as they are not statutorily obligated </w:t>
      </w:r>
      <w:r w:rsidR="00742FB7">
        <w:fldChar w:fldCharType="begin" w:fldLock="1"/>
      </w:r>
      <w:r w:rsidR="00742FB7">
        <w:rPr>
          <w:rFonts w:cs="Calibri"/>
        </w:rPr>
        <w:instrText>ADDIN CSL_CITATION {"citationItems":[{"id":"ITEM-1","itemData":{"author":[{"dropping-particle":"","family":"Cabinet Office","given":"","non-dropping-particle":"","parse-names":false,"suffix":""}],"container-title":"Civil Contingencies Secretariat","id":"ITEM-1","issue":"July","issued":{"date-parts":[["2013"]]},"publisher-place":"London","title":"The role of Local Resilience Forums: A reference document","type":"report"},"uris":["http://www.mendeley.com/documents/?uuid=4480dcc1-ac96-41b6-bd7b-fe18f0c56a1b"]}],"mendeley":{"formattedCitation":"(Cabinet Office, 2013)","plainTextFormattedCitation":"(Cabinet Office, 2013)","previouslyFormattedCitation":"(Cabinet Office, 2013)"},"properties":{"noteIndex":0},"schema":"https://github.com/citation-style-language/schema/raw/master/csl-citation.json"}</w:instrText>
      </w:r>
      <w:r w:rsidR="00742FB7">
        <w:rPr>
          <w:rFonts w:cs="Calibri"/>
        </w:rPr>
        <w:fldChar w:fldCharType="separate"/>
      </w:r>
      <w:r w:rsidR="00742FB7">
        <w:rPr>
          <w:rFonts w:cs="Calibri"/>
          <w:noProof/>
        </w:rPr>
        <w:t>(Cabinet Office, 2013)</w:t>
      </w:r>
      <w:r w:rsidR="00742FB7">
        <w:rPr>
          <w:rFonts w:cs="Calibri"/>
        </w:rPr>
        <w:fldChar w:fldCharType="end"/>
      </w:r>
      <w:r w:rsidR="00742FB7">
        <w:rPr>
          <w:rFonts w:cs="Calibri"/>
        </w:rPr>
        <w:t>, indicating that as it is not a regulative institutional driver, and therefore not a logic within the LRF or partnering agencies. As there is not a focus on the community, the CCA does not set out how to communicate during emergencies and major incidents, which means there is ambiguity for services, with SYFR communicating outside of their statutory obligation.</w:t>
      </w:r>
    </w:p>
    <w:p w14:paraId="3D418812" w14:textId="77777777" w:rsidR="00787F73" w:rsidRDefault="00787F73" w:rsidP="00866155">
      <w:pPr>
        <w:rPr>
          <w:rFonts w:cs="Calibri"/>
        </w:rPr>
      </w:pPr>
    </w:p>
    <w:p w14:paraId="160DFBA6" w14:textId="77777777" w:rsidR="00787F73" w:rsidRDefault="00742FB7" w:rsidP="00866155">
      <w:pPr>
        <w:pStyle w:val="Heading5"/>
        <w:spacing w:line="360" w:lineRule="auto"/>
      </w:pPr>
      <w:bookmarkStart w:id="874" w:name="_Toc158047142"/>
      <w:bookmarkStart w:id="875" w:name="_Toc158216651"/>
      <w:r>
        <w:lastRenderedPageBreak/>
        <w:t>Communicating outside of statutory obligations</w:t>
      </w:r>
      <w:bookmarkEnd w:id="874"/>
      <w:bookmarkEnd w:id="875"/>
    </w:p>
    <w:p w14:paraId="317BD25E" w14:textId="77777777" w:rsidR="00787F73" w:rsidRDefault="00742FB7" w:rsidP="00866155">
      <w:r>
        <w:rPr>
          <w:rFonts w:cs="Calibri"/>
        </w:rPr>
        <w:t xml:space="preserve">The FRSA logic states an obligation for FRS to communicate surrounding fire risk and prevention, which means that the SYFR Communications team have the inherent logic to message about prevention </w:t>
      </w:r>
      <w:r w:rsidR="005076EF">
        <w:rPr>
          <w:rFonts w:cs="Calibri"/>
        </w:rPr>
        <w:t>and</w:t>
      </w:r>
      <w:r>
        <w:rPr>
          <w:rFonts w:cs="Calibri"/>
        </w:rPr>
        <w:t xml:space="preserve"> risk, albeit a risk of fire. However, where they have the obligation to communicate surrounding fire prevention, they do not have this obligation for other risks, such as flooding. </w:t>
      </w:r>
    </w:p>
    <w:p w14:paraId="7642296D" w14:textId="77777777" w:rsidR="00787F73" w:rsidRDefault="00787F73" w:rsidP="00866155">
      <w:pPr>
        <w:rPr>
          <w:rFonts w:cs="Calibri"/>
        </w:rPr>
      </w:pPr>
    </w:p>
    <w:p w14:paraId="633C2D29" w14:textId="77777777" w:rsidR="00787F73" w:rsidRDefault="00742FB7" w:rsidP="00866155">
      <w:r>
        <w:rPr>
          <w:rFonts w:cs="Calibri"/>
        </w:rPr>
        <w:t xml:space="preserve">In November 2019, there was a large flooding event across South Yorkshire, which highlighted to the team that they did not know how to best communicate during these events. </w:t>
      </w:r>
      <w:r w:rsidRPr="00F84689">
        <w:t xml:space="preserve">In </w:t>
      </w:r>
      <w:r w:rsidRPr="00F84689">
        <w:rPr>
          <w:rFonts w:cs="Calibri"/>
        </w:rPr>
        <w:t xml:space="preserve">my </w:t>
      </w:r>
      <w:r w:rsidRPr="00F84689">
        <w:t>discussions</w:t>
      </w:r>
      <w:r>
        <w:rPr>
          <w:rFonts w:cs="Calibri"/>
        </w:rPr>
        <w:t xml:space="preserve"> with the SYFR team, they had mentioned how they do not have a statutory obligation to prevent flooding, like they do with fires. The CM explained that they do not create proactive messages surrounding flooding, but then later says that this means they would put out more ad hoc messages:</w:t>
      </w:r>
    </w:p>
    <w:p w14:paraId="169D73C2" w14:textId="77777777" w:rsidR="00787F73" w:rsidRDefault="00787F73" w:rsidP="00866155">
      <w:pPr>
        <w:rPr>
          <w:rFonts w:cs="Calibri"/>
        </w:rPr>
      </w:pPr>
    </w:p>
    <w:p w14:paraId="316EA89A" w14:textId="77777777" w:rsidR="00787F73" w:rsidRDefault="00742FB7" w:rsidP="00866155">
      <w:pPr>
        <w:ind w:left="720" w:right="663"/>
        <w:jc w:val="both"/>
      </w:pPr>
      <w:r>
        <w:rPr>
          <w:rStyle w:val="QuoteChar"/>
          <w:rFonts w:cs="Calibri"/>
        </w:rPr>
        <w:t>“We don’t say, if this happens, this is what you should do. We only do that when it happens. Or, let’s say, someone comes up to us and says, tomorrow we’re expecting more flooding (…) we’ll put some stuff out around what to do if flooding comes your way. (…) I’ve been in service four or five years, never done everything proactively to, say, prevent or what you can do in case of a flood.”</w:t>
      </w:r>
      <w:r>
        <w:rPr>
          <w:rFonts w:cs="Calibri"/>
        </w:rPr>
        <w:t xml:space="preserve"> (CM </w:t>
      </w:r>
      <w:r w:rsidR="006A7A2E">
        <w:rPr>
          <w:rFonts w:cs="Calibri"/>
        </w:rPr>
        <w:t xml:space="preserve">interview, </w:t>
      </w:r>
      <w:r>
        <w:rPr>
          <w:rFonts w:cs="Calibri"/>
        </w:rPr>
        <w:t>29.11.19)</w:t>
      </w:r>
    </w:p>
    <w:p w14:paraId="7D46EE96" w14:textId="77777777" w:rsidR="00787F73" w:rsidRDefault="00787F73" w:rsidP="00866155">
      <w:pPr>
        <w:rPr>
          <w:rFonts w:cs="Calibri"/>
        </w:rPr>
      </w:pPr>
    </w:p>
    <w:p w14:paraId="253BFE1C" w14:textId="05155D44" w:rsidR="00787F73" w:rsidRDefault="00742FB7" w:rsidP="00866155">
      <w:r>
        <w:rPr>
          <w:rFonts w:cs="Calibri"/>
        </w:rPr>
        <w:t xml:space="preserve">This complexity suggests a level of institutional agency within their communication with them interpreting and implementing different logics in their own way </w:t>
      </w:r>
      <w:r>
        <w:fldChar w:fldCharType="begin" w:fldLock="1"/>
      </w:r>
      <w:r w:rsidR="00974B75">
        <w:rPr>
          <w:rFonts w:cs="Calibri"/>
        </w:rPr>
        <w:instrText>ADDIN CSL_CITATION {"citationItems":[{"id":"ITEM-1","itemData":{"DOI":"10.1177/1476127015625040","author":[{"dropping-particle":"","family":"Ocasio","given":"William","non-dropping-particle":"","parse-names":false,"suffix":""},{"dropping-particle":"","family":"Radoynovska","given":"Nevena","non-dropping-particle":"","parse-names":false,"suffix":""}],"container-title":"Strategic Organization","id":"ITEM-1","issue":"4","issued":{"date-parts":[["2016"]]},"page":"287 - 309","title":"Strategy and commitments to institutional logics : Organizational heterogeneity in business models and governance","type":"article-journal","volume":"14"},"uris":["http://www.mendeley.com/documents/?uuid=eede86b6-3a39-4b52-acc9-94e8cc3fbd5e"]},{"id":"ITEM-2","itemData":{"DOI":"10.1108/S0733-558X(2013)0039A&amp;B015","ISSN":"0733558X","abstract":"This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Organizations","id":"ITEM-2","issue":"B","issued":{"date-parts":[["2013"]]},"page":"37-61","publisher":"Emerald Group Publishing Limited","title":"Institutional ambidexterity: Leveraging institutional complexity in practice","type":"article-journal","volume":"39"},"uris":["http://www.mendeley.com/documents/?uuid=ff8dc873-f050-4c05-bdec-08925d6e6ab8"]}],"mendeley":{"formattedCitation":"(Ocasio &amp; Radoynovska, 2016; Jarzabkowski et al., 2013)","plainTextFormattedCitation":"(Ocasio &amp; Radoynovska, 2016; Jarzabkowski et al., 2013)","previouslyFormattedCitation":"(Ocasio &amp; Radoynovska, 2016; Jarzabkowski et al., 2013)"},"properties":{"noteIndex":0},"schema":"https://github.com/citation-style-language/schema/raw/master/csl-citation.json"}</w:instrText>
      </w:r>
      <w:r>
        <w:rPr>
          <w:rFonts w:cs="Calibri"/>
        </w:rPr>
        <w:fldChar w:fldCharType="separate"/>
      </w:r>
      <w:r>
        <w:rPr>
          <w:rFonts w:cs="Calibri"/>
          <w:noProof/>
        </w:rPr>
        <w:t>(Ocasio &amp; Radoynovska, 2016; Jarzabkowski et al., 2013)</w:t>
      </w:r>
      <w:r>
        <w:rPr>
          <w:rFonts w:cs="Calibri"/>
        </w:rPr>
        <w:fldChar w:fldCharType="end"/>
      </w:r>
      <w:r w:rsidR="001378A2">
        <w:rPr>
          <w:rFonts w:cs="Calibri"/>
        </w:rPr>
        <w:t>.</w:t>
      </w:r>
      <w:r>
        <w:rPr>
          <w:rFonts w:cs="Calibri"/>
        </w:rPr>
        <w:t xml:space="preserve"> </w:t>
      </w:r>
      <w:r w:rsidR="001378A2">
        <w:rPr>
          <w:rFonts w:cs="Calibri"/>
        </w:rPr>
        <w:t>I</w:t>
      </w:r>
      <w:r>
        <w:rPr>
          <w:rFonts w:cs="Calibri"/>
        </w:rPr>
        <w:t xml:space="preserve">n this case, </w:t>
      </w:r>
      <w:r w:rsidR="00C84401">
        <w:rPr>
          <w:rFonts w:cs="Calibri"/>
        </w:rPr>
        <w:t>while</w:t>
      </w:r>
      <w:r>
        <w:rPr>
          <w:rFonts w:cs="Calibri"/>
        </w:rPr>
        <w:t xml:space="preserve"> they did not have the obligation or the resources to communicate prior to a flooding event, they still had an internal logic to prevent and protect the community via risk communication.</w:t>
      </w:r>
    </w:p>
    <w:p w14:paraId="09903757" w14:textId="77777777" w:rsidR="00787F73" w:rsidRDefault="00787F73" w:rsidP="00866155">
      <w:pPr>
        <w:rPr>
          <w:rFonts w:cs="Calibri"/>
        </w:rPr>
      </w:pPr>
    </w:p>
    <w:p w14:paraId="7CA7BCCC" w14:textId="0157B09B" w:rsidR="00787F73" w:rsidRDefault="00742FB7" w:rsidP="00866155">
      <w:r>
        <w:rPr>
          <w:rFonts w:cs="Calibri"/>
        </w:rPr>
        <w:t xml:space="preserve">This suggests that the FRSA logic of prevention is prioritised within their work and approach to communication. This indicates that the statutory obligation enables a form of ownership over the communications for fires, which was not present for other risks such as flooding or COVID-19. One may argue that the FRS cannot communicate all issues within society, such as terrorism and other issues that the police lead on, however, flooding is different. The FRS </w:t>
      </w:r>
      <w:r>
        <w:rPr>
          <w:rFonts w:cs="Calibri"/>
        </w:rPr>
        <w:lastRenderedPageBreak/>
        <w:t xml:space="preserve">are heavily involved within the response and recovery phases of the </w:t>
      </w:r>
      <w:r w:rsidR="0038275C">
        <w:rPr>
          <w:rFonts w:cs="Calibri"/>
        </w:rPr>
        <w:t>Disaster Management Cycle</w:t>
      </w:r>
      <w:r w:rsidR="00921B36">
        <w:rPr>
          <w:rFonts w:cs="Calibri"/>
        </w:rPr>
        <w:t xml:space="preserve"> </w:t>
      </w:r>
      <w:r>
        <w:rPr>
          <w:rFonts w:cs="Calibri"/>
        </w:rPr>
        <w:t xml:space="preserve">with flooding; however, this is where their role in the flooding disaster life cycle stops. The Civil Contingencies Act aimed to ensure that agencies work together, but this appears to only be viewed within an operational environment with long term risk communication not being included within the legislation. </w:t>
      </w:r>
      <w:r w:rsidR="00C84401" w:rsidRPr="00010F12">
        <w:rPr>
          <w:rFonts w:cs="Calibri"/>
        </w:rPr>
        <w:t>While</w:t>
      </w:r>
      <w:r>
        <w:rPr>
          <w:rFonts w:cs="Calibri"/>
        </w:rPr>
        <w:t xml:space="preserve"> this was the case for most other incidents, this was not the case for COVID-19, with the LRF stepping in to manage the flow of communication from public sector agencies.</w:t>
      </w:r>
    </w:p>
    <w:p w14:paraId="4A02E727" w14:textId="77777777" w:rsidR="00787F73" w:rsidRDefault="00787F73" w:rsidP="00866155">
      <w:pPr>
        <w:rPr>
          <w:rFonts w:cs="Calibri"/>
        </w:rPr>
      </w:pPr>
    </w:p>
    <w:p w14:paraId="6C6AA58C" w14:textId="77777777" w:rsidR="00787F73" w:rsidRDefault="00742FB7" w:rsidP="00866155">
      <w:pPr>
        <w:pStyle w:val="Heading5"/>
        <w:spacing w:line="360" w:lineRule="auto"/>
      </w:pPr>
      <w:bookmarkStart w:id="876" w:name="_Toc158216652"/>
      <w:bookmarkStart w:id="877" w:name="_Toc158047143"/>
      <w:r>
        <w:t>The influence of the CCA on COVID-19 communications.</w:t>
      </w:r>
      <w:bookmarkEnd w:id="876"/>
      <w:bookmarkEnd w:id="877"/>
    </w:p>
    <w:p w14:paraId="525DD8A8" w14:textId="77777777" w:rsidR="00787F73" w:rsidRDefault="00742FB7" w:rsidP="00866155">
      <w:r>
        <w:rPr>
          <w:rFonts w:cs="Calibri"/>
        </w:rPr>
        <w:t>In the initial outbreak of COVID-19, the LRFs brought the public services together to help coordinate, plan, and manage the disaster, including the creation of a specific communication cell, made up of communications professionals from each of the category 1 responders. This communication cell controlled the messaging from these agencies to ensure that public messaging was consistent and cohesive across the public sector.</w:t>
      </w:r>
    </w:p>
    <w:p w14:paraId="754D74FA" w14:textId="77777777" w:rsidR="00787F73" w:rsidRDefault="00787F73" w:rsidP="00866155">
      <w:pPr>
        <w:rPr>
          <w:rFonts w:cs="Calibri"/>
        </w:rPr>
      </w:pPr>
    </w:p>
    <w:p w14:paraId="378D93C1" w14:textId="77777777" w:rsidR="00787F73" w:rsidRDefault="00742FB7" w:rsidP="00866155">
      <w:r>
        <w:rPr>
          <w:rFonts w:cs="Calibri"/>
        </w:rPr>
        <w:t>This impacted their usual fire safety messaging, and their wider communication, with an aim to support other agencies and create a cohesive approach across the public agency sector, as seen in the two quotes below:</w:t>
      </w:r>
    </w:p>
    <w:p w14:paraId="4D6A338C" w14:textId="77777777" w:rsidR="00787F73" w:rsidRDefault="00787F73" w:rsidP="00866155">
      <w:pPr>
        <w:rPr>
          <w:rFonts w:cs="Calibri"/>
        </w:rPr>
      </w:pPr>
    </w:p>
    <w:p w14:paraId="7E4852EE" w14:textId="77777777" w:rsidR="00787F73" w:rsidRDefault="00742FB7" w:rsidP="00866155">
      <w:pPr>
        <w:ind w:left="720" w:right="663"/>
        <w:jc w:val="both"/>
      </w:pPr>
      <w:r>
        <w:rPr>
          <w:rStyle w:val="QuoteChar"/>
          <w:rFonts w:cs="Calibri"/>
        </w:rPr>
        <w:t>“… with the local resilience forum this morning (…) we’d been asked basically to give a slightly tailored fire safety campaign which will be basically geared towards demand reduction on us as a service basically. Obviously, people hopefully having less incidents and therefore using us less. Which will become more important in the next few weeks as our emergency response service becomes compromised.”</w:t>
      </w:r>
      <w:r>
        <w:rPr>
          <w:rFonts w:cs="Calibri"/>
        </w:rPr>
        <w:t xml:space="preserve"> (SM</w:t>
      </w:r>
      <w:r w:rsidR="006A7A2E">
        <w:rPr>
          <w:rFonts w:cs="Calibri"/>
        </w:rPr>
        <w:t xml:space="preserve"> interview,</w:t>
      </w:r>
      <w:r>
        <w:rPr>
          <w:rFonts w:cs="Calibri"/>
        </w:rPr>
        <w:t xml:space="preserve"> 20.3.20)</w:t>
      </w:r>
    </w:p>
    <w:p w14:paraId="37A262D5" w14:textId="77777777" w:rsidR="00787F73" w:rsidRDefault="00787F73" w:rsidP="00866155">
      <w:pPr>
        <w:ind w:left="720" w:right="663"/>
        <w:jc w:val="both"/>
        <w:rPr>
          <w:rFonts w:cs="Calibri"/>
        </w:rPr>
      </w:pPr>
    </w:p>
    <w:p w14:paraId="6BB64E48" w14:textId="77777777" w:rsidR="00787F73" w:rsidRDefault="00742FB7" w:rsidP="00866155">
      <w:pPr>
        <w:ind w:left="720" w:right="663"/>
        <w:jc w:val="both"/>
      </w:pPr>
      <w:r>
        <w:rPr>
          <w:rStyle w:val="QuoteChar"/>
          <w:rFonts w:cs="Calibri"/>
        </w:rPr>
        <w:t>“Our number one priority is reinforcing the national messaging. Number two priority is keeping our staff informed. And then number three priority is just making the public aware that we are still here, and we are still available. An element of reassurance really.”</w:t>
      </w:r>
      <w:r>
        <w:rPr>
          <w:rFonts w:cs="Calibri"/>
        </w:rPr>
        <w:t xml:space="preserve"> (SM</w:t>
      </w:r>
      <w:r w:rsidR="006A7A2E">
        <w:rPr>
          <w:rFonts w:cs="Calibri"/>
        </w:rPr>
        <w:t xml:space="preserve"> interview,</w:t>
      </w:r>
      <w:r>
        <w:rPr>
          <w:rFonts w:cs="Calibri"/>
        </w:rPr>
        <w:t xml:space="preserve"> 20.3.20)</w:t>
      </w:r>
    </w:p>
    <w:p w14:paraId="4BE6163E" w14:textId="77777777" w:rsidR="00787F73" w:rsidRDefault="00787F73" w:rsidP="00866155">
      <w:pPr>
        <w:rPr>
          <w:rFonts w:cs="Calibri"/>
        </w:rPr>
      </w:pPr>
    </w:p>
    <w:p w14:paraId="54F02C8D" w14:textId="77777777" w:rsidR="00787F73" w:rsidRDefault="00742FB7" w:rsidP="00866155">
      <w:r>
        <w:rPr>
          <w:rFonts w:cs="Calibri"/>
        </w:rPr>
        <w:lastRenderedPageBreak/>
        <w:t>The interview that these quotes came from was conducted three days before the first national lockdown was announced by the Prime Minister. These quotes detail how the SYFR Communications team had to change how they communicated, and who they reported to about their communication choices. This shows a level of institutional complexity with SYFR being influenced by multiple institutional logics</w:t>
      </w:r>
      <w:r w:rsidR="005076EF">
        <w:rPr>
          <w:rFonts w:cs="Calibri"/>
        </w:rPr>
        <w:t>. I</w:t>
      </w:r>
      <w:r>
        <w:rPr>
          <w:rFonts w:cs="Calibri"/>
        </w:rPr>
        <w:t xml:space="preserve">n the context of COVID-19, the CCA (2004) logic and the FRSA logic </w:t>
      </w:r>
      <w:r w:rsidR="005076EF">
        <w:rPr>
          <w:rFonts w:cs="Calibri"/>
        </w:rPr>
        <w:t>were</w:t>
      </w:r>
      <w:r>
        <w:rPr>
          <w:rFonts w:cs="Calibri"/>
        </w:rPr>
        <w:t xml:space="preserve"> compatible as both were focusing on the ability of SYFR to respond to disasters </w:t>
      </w:r>
      <w:r>
        <w:fldChar w:fldCharType="begin" w:fldLock="1"/>
      </w:r>
      <w:r w:rsidR="00C541CC">
        <w:rPr>
          <w:rFonts w:cs="Calibri"/>
        </w:rPr>
        <w:instrText>ADDIN CSL_CITATION {"citationItems":[{"id":"ITEM-1","itemData":{"author":[{"dropping-particle":"","family":"Besharov","given":"Marya L.","non-dropping-particle":"","parse-names":false,"suffix":""},{"dropping-particle":"","family":"Smith","given":"Wendy K.","non-dropping-particle":"","parse-names":false,"suffix":""}],"container-title":"The Academy of Management Review","id":"ITEM-1","issue":"3","issued":{"date-parts":[["2014"]]},"page":"364-381","title":"Multiple Institutional Logics In Organizations: Explaining Their Varied Nature And Implications","type":"article-journal","volume":"39"},"uris":["http://www.mendeley.com/documents/?uuid=57cbbf37-05be-48a2-ad9d-1095a2aeb8e5"]}],"mendeley":{"formattedCitation":"(Besharov &amp; Smith, 2014)","plainTextFormattedCitation":"(Besharov &amp; Smith, 2014)","previouslyFormattedCitation":"(Besharov &amp; Smith, 2014)"},"properties":{"noteIndex":0},"schema":"https://github.com/citation-style-language/schema/raw/master/csl-citation.json"}</w:instrText>
      </w:r>
      <w:r>
        <w:rPr>
          <w:rFonts w:cs="Calibri"/>
        </w:rPr>
        <w:fldChar w:fldCharType="separate"/>
      </w:r>
      <w:r w:rsidR="00C541CC" w:rsidRPr="00C541CC">
        <w:rPr>
          <w:rFonts w:cs="Calibri"/>
          <w:noProof/>
        </w:rPr>
        <w:t>(Besharov &amp; Smith, 2014)</w:t>
      </w:r>
      <w:r>
        <w:rPr>
          <w:rFonts w:cs="Calibri"/>
        </w:rPr>
        <w:fldChar w:fldCharType="end"/>
      </w:r>
      <w:r>
        <w:rPr>
          <w:rFonts w:cs="Calibri"/>
        </w:rPr>
        <w:t xml:space="preserve">. I also interpreted a difference in attitude and confidence in their messaging and approaches. When discussing the flooding messaging, there was a sense of ambivalence about how they message, and that they seemed unsure of how and when they should communicate. However, with COVID-19, there was a sense of purpose about their communication approach, perhaps as it combined their logics of prevention, but also, they were given institutional legitimacy </w:t>
      </w:r>
      <w:r>
        <w:fldChar w:fldCharType="begin" w:fldLock="1"/>
      </w:r>
      <w:r>
        <w:rPr>
          <w:rFonts w:cs="Calibri"/>
        </w:rPr>
        <w:instrText>ADDIN CSL_CITATION {"citationItems":[{"id":"ITEM-1","itemData":{"ISBN":"1526415054","author":[{"dropping-particle":"","family":"Greenwood","given":"Royston","non-dropping-particle":"","parse-names":false,"suffix":""},{"dropping-particle":"","family":"Oliver","given":"Christine","non-dropping-particle":"","parse-names":false,"suffix":""},{"dropping-particle":"","family":"Sahlin","given":"Kerstin","non-dropping-particle":"","parse-names":false,"suffix":""},{"dropping-particle":"","family":"Suddaby","given":"Roy","non-dropping-particle":"","parse-names":false,"suffix":""}],"chapter-number":"1","container-title":"The Sage handbook of Organizational Institutionalism","editor":[{"dropping-particle":"","family":"Greenwood","given":"Royston","non-dropping-particle":"","parse-names":false,"suffix":""},{"dropping-particle":"","family":"Oliver","given":"Christine","non-dropping-particle":"","parse-names":false,"suffix":""},{"dropping-particle":"","family":"Lawrence","given":"Thomas B","non-dropping-particle":"","parse-names":false,"suffix":""},{"dropping-particle":"","family":"Meyer","given":"Renate E","non-dropping-particle":"","parse-names":false,"suffix":""}],"id":"ITEM-1","issued":{"date-parts":[["2008"]]},"page":"1 -34","publisher":"Sage","publisher-place":"London","title":"Introduction","type":"chapter"},"uris":["http://www.mendeley.com/documents/?uuid=3fed7a46-7a1f-43ad-aae4-af5880dadba6"]},{"id":"ITEM-2","itemData":{"abstract":"To compare and contrast institutional theories used in or- ganizational analysis, the theoretical frameworks and ar- guments of leading contributors to institutional theory are reviewed and recent empirical studies using institutional arguments are examined. Both approaches reveal consid- erable variation in the types of concepts and arguments employed, and it is argued that further improvement and growth in institutional theory is dependent upon analysts dealing more explicitly with these differences. In addition, the relation between institutions and interests is explored to show that institutional features of organizational envi- ronments shape both the goals and means of actors. At- tention is called to the two primary types of actors shaping institutional environments in modern societies- the state and professional bodies-and to the way in which their interests and mode of action shape institu- tional patterns and mechanisms.","author":[{"dropping-particle":"","family":"Scott","given":"W Richard","non-dropping-particle":"","parse-names":false,"suffix":""}],"container-title":"Administrative Science Quarterly","id":"ITEM-2","issue":"4","issued":{"date-parts":[["1987"]]},"page":"493-511","title":"The Adolescence of Institutional Theory","type":"article-journal","volume":"32"},"uris":["http://www.mendeley.com/documents/?uuid=37d3c9ed-07b7-411f-adb3-1b1804691329"]}],"mendeley":{"formattedCitation":"(Greenwood et al., 2008; Scott, 1987)","plainTextFormattedCitation":"(Greenwood et al., 2008; Scott, 1987)","previouslyFormattedCitation":"(Greenwood et al., 2008; Scott, 1987)"},"properties":{"noteIndex":0},"schema":"https://github.com/citation-style-language/schema/raw/master/csl-citation.json"}</w:instrText>
      </w:r>
      <w:r>
        <w:rPr>
          <w:rFonts w:cs="Calibri"/>
        </w:rPr>
        <w:fldChar w:fldCharType="separate"/>
      </w:r>
      <w:r>
        <w:rPr>
          <w:rFonts w:eastAsia="Arial" w:cs="Calibri"/>
          <w:noProof/>
          <w:color w:val="000000"/>
        </w:rPr>
        <w:t>(Greenwood et al., 2008; Scott, 1987)</w:t>
      </w:r>
      <w:r>
        <w:rPr>
          <w:rFonts w:cs="Calibri"/>
        </w:rPr>
        <w:fldChar w:fldCharType="end"/>
      </w:r>
      <w:r>
        <w:rPr>
          <w:rFonts w:cs="Calibri"/>
        </w:rPr>
        <w:t xml:space="preserve"> to adapt their messaging due to their membership within the LRF communications cell.</w:t>
      </w:r>
    </w:p>
    <w:p w14:paraId="1CEA09DF" w14:textId="77777777" w:rsidR="00787F73" w:rsidRDefault="00787F73" w:rsidP="00866155">
      <w:pPr>
        <w:rPr>
          <w:rFonts w:cs="Calibri"/>
        </w:rPr>
      </w:pPr>
    </w:p>
    <w:p w14:paraId="59897206" w14:textId="601AA3F3" w:rsidR="00787F73" w:rsidRDefault="00742FB7" w:rsidP="00866155">
      <w:r>
        <w:rPr>
          <w:rFonts w:cs="Calibri"/>
        </w:rPr>
        <w:t>This showed a temporality in dominant logics, with the FRSA logic usually taking precedence over other logics, but in the case of COVID-19, the CCA (2004) became the dominant logic</w:t>
      </w:r>
      <w:r w:rsidR="001378A2">
        <w:rPr>
          <w:rFonts w:cs="Calibri"/>
        </w:rPr>
        <w:t>.</w:t>
      </w:r>
      <w:r>
        <w:rPr>
          <w:rFonts w:cs="Calibri"/>
        </w:rPr>
        <w:t xml:space="preserve"> </w:t>
      </w:r>
      <w:r w:rsidR="001378A2">
        <w:rPr>
          <w:rFonts w:cs="Calibri"/>
        </w:rPr>
        <w:t xml:space="preserve">This suggests </w:t>
      </w:r>
      <w:r>
        <w:rPr>
          <w:rFonts w:cs="Calibri"/>
        </w:rPr>
        <w:t xml:space="preserve">that logics have situational constraints </w:t>
      </w:r>
      <w:r>
        <w:fldChar w:fldCharType="begin" w:fldLock="1"/>
      </w:r>
      <w:r w:rsidR="00974B75">
        <w:rPr>
          <w:rFonts w:cs="Calibri"/>
        </w:rPr>
        <w:instrText>ADDIN CSL_CITATION {"citationItems":[{"id":"ITEM-1","itemData":{"DOI":"10.1007/s10551-017-3775-0","ISBN":"1055101737750","ISSN":"15730697","abstract":"This study examines how institutional logics interplay in a cross-sector social partnership that manages refugee integration in a rural district in Germany. In an inductive 15-month case study that drew on interviews and observations, we observe the dynamic materialization of institutional logics in day-to-day practices and an increasing contradiction and even rivalry between community- and market-based institutional logics over time. As a result, we delineate a model explaining the interplay of institutional logics along two dimensions: the dominance of one salient logic and whether conflicts arise among logics. Our analysis also addresses the unifying properties of community as an institutional logic, especially in the context of urgency conditions. In addition, we show the influence of exogenous events and their media coverage on the interplay and conflicts of institutional logics. By unfolding the complexity of refugee integration—one of the global grand challenges of the present—we deepen the current understanding of the specific challenges addressed by cross-sector social partnerships.","author":[{"dropping-particle":"","family":"Hesse","given":"Andreas","non-dropping-particle":"","parse-names":false,"suffix":""},{"dropping-particle":"","family":"Kreutzer","given":"Karin","non-dropping-particle":"","parse-names":false,"suffix":""},{"dropping-particle":"","family":"Diehl","given":"Marjo Riitta","non-dropping-particle":"","parse-names":false,"suffix":""}],"container-title":"Journal of Business Ethics","id":"ITEM-1","issued":{"date-parts":[["2019"]]},"page":"679-704","title":"Dynamics of Institutional Logics in a Cross-Sector Social Partnership: The Case of Refugee Integration in Germany","type":"article-journal","volume":"159"},"uris":["http://www.mendeley.com/documents/?uuid=72ea7223-f32f-42e0-8843-5be6e7e0fe2e"]},{"id":"ITEM-2","itemData":{"DOI":"10.1177/0170840615604503","ISSN":"17413044","abstract":"Our study examines how interdependent actors in a professionalized context interpret the co-occurrence of a professional logic and a policy-driven logic. The empirical setting comprises two hospitals in the English National Health Service. Two issues stand out. First, our study shows that any logic is variegated and ambiguous, so policymakers and organizational managers cannot assume that they are easily blended. Second, it shows how nurse consultants exhibit agency in blending these two logics in pursuit of positional gain in professional and managerial organization. They can do so because of their ambiguous status level: in comparison to doctors, their status as nurses is low; within the nursing profession their status is high. Theoretically, by focusing upon interpretation of multiple institutional logics at the micro level, our study renders visible the agency of interpreting actors, interdependency of actors, their interpretation of institutional logics, situational context, and the effect of, and upon, social position of actors.","author":[{"dropping-particle":"","family":"Currie","given":"Graeme","non-dropping-particle":"","parse-names":false,"suffix":""},{"dropping-particle":"","family":"Spyridonidis","given":"Dimitrios","non-dropping-particle":"","parse-names":false,"suffix":""}],"container-title":"Organization Studies","id":"ITEM-2","issue":"1","issued":{"date-parts":[["2016"]]},"page":"77-97","title":"Interpretation of Multiple Institutional Logics on the Ground: Actors’ Position, their Agency and Situational Constraints in Professionalized Contexts","type":"article-journal","volume":"37"},"uris":["http://www.mendeley.com/documents/?uuid=be657142-d26b-4dc5-bf61-aff1e8d069fa"]}],"mendeley":{"formattedCitation":"(Hesse, Kreutzer, &amp; Diehl, 2019; Currie &amp; Spyridonidis, 2016)","plainTextFormattedCitation":"(Hesse, Kreutzer, &amp; Diehl, 2019; Currie &amp; Spyridonidis, 2016)","previouslyFormattedCitation":"(Hesse, Kreutzer, &amp; Diehl, 2019; Currie &amp; Spyridonidis, 2016)"},"properties":{"noteIndex":0},"schema":"https://github.com/citation-style-language/schema/raw/master/csl-citation.json"}</w:instrText>
      </w:r>
      <w:r>
        <w:rPr>
          <w:rFonts w:cs="Calibri"/>
        </w:rPr>
        <w:fldChar w:fldCharType="separate"/>
      </w:r>
      <w:r>
        <w:rPr>
          <w:rFonts w:cs="Calibri"/>
          <w:noProof/>
        </w:rPr>
        <w:t>(Hesse, Kreutzer, &amp; Diehl, 2019; Currie &amp; Spyridonidis, 2016)</w:t>
      </w:r>
      <w:r>
        <w:rPr>
          <w:rFonts w:cs="Calibri"/>
        </w:rPr>
        <w:fldChar w:fldCharType="end"/>
      </w:r>
      <w:r>
        <w:rPr>
          <w:rFonts w:cs="Calibri"/>
        </w:rPr>
        <w:t>. This temporal shift in their communications ended when COVID-19 eased, with SYFR returning to their usual communication campaigns. This highlights an understanding that these collaborative risk communication plans are important during disasters</w:t>
      </w:r>
      <w:r w:rsidR="0009791A">
        <w:rPr>
          <w:rFonts w:cs="Calibri"/>
        </w:rPr>
        <w:t>. They</w:t>
      </w:r>
      <w:r>
        <w:rPr>
          <w:rFonts w:cs="Calibri"/>
        </w:rPr>
        <w:t xml:space="preserve"> provid</w:t>
      </w:r>
      <w:r w:rsidR="0009791A">
        <w:rPr>
          <w:rFonts w:cs="Calibri"/>
        </w:rPr>
        <w:t>e</w:t>
      </w:r>
      <w:r>
        <w:rPr>
          <w:rFonts w:cs="Calibri"/>
        </w:rPr>
        <w:t xml:space="preserve"> the community with a cohesive voice across the public sector agencies</w:t>
      </w:r>
      <w:r w:rsidR="0009791A">
        <w:rPr>
          <w:rFonts w:cs="Calibri"/>
        </w:rPr>
        <w:t>.</w:t>
      </w:r>
      <w:r>
        <w:rPr>
          <w:rFonts w:cs="Calibri"/>
        </w:rPr>
        <w:t xml:space="preserve"> </w:t>
      </w:r>
      <w:r w:rsidR="0009791A">
        <w:rPr>
          <w:rFonts w:cs="Calibri"/>
        </w:rPr>
        <w:t>H</w:t>
      </w:r>
      <w:r>
        <w:rPr>
          <w:rFonts w:cs="Calibri"/>
        </w:rPr>
        <w:t xml:space="preserve">owever, this focus was predominantly on the post-disaster phase, rather than working collaboratively towards developing proactive resilience </w:t>
      </w:r>
      <w:r>
        <w:fldChar w:fldCharType="begin" w:fldLock="1"/>
      </w:r>
      <w:r>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Pr>
          <w:rFonts w:cs="Calibri"/>
        </w:rPr>
        <w:fldChar w:fldCharType="separate"/>
      </w:r>
      <w:r>
        <w:rPr>
          <w:rFonts w:cs="Calibri"/>
          <w:noProof/>
        </w:rPr>
        <w:t>(Carmen et al., 2022)</w:t>
      </w:r>
      <w:r>
        <w:rPr>
          <w:rFonts w:cs="Calibri"/>
        </w:rPr>
        <w:fldChar w:fldCharType="end"/>
      </w:r>
      <w:r>
        <w:rPr>
          <w:rFonts w:cs="Calibri"/>
        </w:rPr>
        <w:t xml:space="preserve"> within the community. If the LRFs included this collaborative communication approach working towards community resilience, they would be able to not only build linking social capital between the agencies, but also the communities, supporting the development of community resilience </w:t>
      </w:r>
      <w:r>
        <w:fldChar w:fldCharType="begin" w:fldLock="1"/>
      </w:r>
      <w:r>
        <w:rPr>
          <w:rFonts w:cs="Calibri"/>
        </w:rPr>
        <w:instrText>ADDIN CSL_CITATION {"citationItems":[{"id":"ITEM-1","itemData":{"author":[{"dropping-particle":"","family":"Ludin","given":"Salizar M.","non-dropping-particle":"","parse-names":false,"suffix":""},{"dropping-particle":"","family":"Rohaizat","given":"Munirah","non-dropping-particle":"","parse-names":false,"suffix":""},{"dropping-particle":"","family":"Arbon","given":"Paul","non-dropping-particle":"","parse-names":false,"suffix":""}],"container-title":"Health and Social Care in the Community","id":"ITEM-1","issue":"3","issued":{"date-parts":[["2019"]]},"page":"621 - 631","title":"The association between social cohesion and community disaster resilience: A cross‐sectional study","type":"article-journal","volume":"27"},"uris":["http://www.mendeley.com/documents/?uuid=818d7348-40a6-4380-acb5-bd2c514990f2"]},{"id":"ITEM-2","itemData":{"author":[{"dropping-particle":"","family":"Sanyal","given":"Saswata","non-dropping-particle":"","parse-names":false,"suffix":""},{"dropping-particle":"","family":"Routray","given":"Jayant K.","non-dropping-particle":"","parse-names":false,"suffix":""}],"container-title":"International Journal of Disaster Risk Reduction","id":"ITEM-2","issued":{"date-parts":[["2016"]]},"page":"101-111","title":"Social capital for disaster risk reduction and management with empirical evidences from Sundarbans of India","type":"article-journal","volume":"19"},"uris":["http://www.mendeley.com/documents/?uuid=d8bcf27c-1efc-4c15-8204-cd8b37719dd2"]}],"mendeley":{"formattedCitation":"(Ludin, Rohaizat, &amp; Arbon, 2019; Sanyal &amp; Routray, 2016)","plainTextFormattedCitation":"(Ludin, Rohaizat, &amp; Arbon, 2019; Sanyal &amp; Routray, 2016)","previouslyFormattedCitation":"(Ludin, Rohaizat, &amp; Arbon, 2019; Sanyal &amp; Routray, 2016)"},"properties":{"noteIndex":0},"schema":"https://github.com/citation-style-language/schema/raw/master/csl-citation.json"}</w:instrText>
      </w:r>
      <w:r>
        <w:rPr>
          <w:rFonts w:cs="Calibri"/>
        </w:rPr>
        <w:fldChar w:fldCharType="separate"/>
      </w:r>
      <w:r>
        <w:rPr>
          <w:rFonts w:cs="Calibri"/>
          <w:noProof/>
        </w:rPr>
        <w:t>(Ludin, Rohaizat, &amp; Arbon, 2019; Sanyal &amp; Routray, 2016)</w:t>
      </w:r>
      <w:r>
        <w:rPr>
          <w:rFonts w:cs="Calibri"/>
        </w:rPr>
        <w:fldChar w:fldCharType="end"/>
      </w:r>
      <w:r>
        <w:rPr>
          <w:rFonts w:cs="Calibri"/>
        </w:rPr>
        <w:t>.</w:t>
      </w:r>
    </w:p>
    <w:p w14:paraId="08E82AFF" w14:textId="77777777" w:rsidR="00787F73" w:rsidRDefault="00787F73" w:rsidP="00866155">
      <w:pPr>
        <w:rPr>
          <w:rFonts w:cs="Calibri"/>
        </w:rPr>
      </w:pPr>
    </w:p>
    <w:p w14:paraId="4DC631CE" w14:textId="7910847B" w:rsidR="00787F73" w:rsidRDefault="00742FB7" w:rsidP="00866155">
      <w:pPr>
        <w:rPr>
          <w:rFonts w:cs="Calibri"/>
        </w:rPr>
      </w:pPr>
      <w:r>
        <w:rPr>
          <w:rFonts w:cs="Calibri"/>
        </w:rPr>
        <w:t xml:space="preserve">The state logics created from these two pieces of legislation strongly influenced SYFR’s operations by creating strict rules for operation, which are monitored by government agencies, such as His Majesty's Inspectorate of Constabulary and Fire &amp; Rescue Services </w:t>
      </w:r>
      <w:r>
        <w:rPr>
          <w:rFonts w:cs="Calibri"/>
        </w:rPr>
        <w:lastRenderedPageBreak/>
        <w:t xml:space="preserve">(HMICFRS). </w:t>
      </w:r>
      <w:r w:rsidR="00C84401" w:rsidRPr="00010F12">
        <w:rPr>
          <w:rFonts w:cs="Calibri"/>
        </w:rPr>
        <w:t>While</w:t>
      </w:r>
      <w:r>
        <w:rPr>
          <w:rFonts w:cs="Calibri"/>
        </w:rPr>
        <w:t xml:space="preserve"> there is some room for institutional agency within these state logics, they are constrained by available resources. This indicates that while the state logics from the FRSA and CCA control what they do and how they operate, the growing political focus of NPM constrain</w:t>
      </w:r>
      <w:r w:rsidR="005076EF">
        <w:rPr>
          <w:rFonts w:cs="Calibri"/>
        </w:rPr>
        <w:t>s</w:t>
      </w:r>
      <w:r>
        <w:rPr>
          <w:rFonts w:cs="Calibri"/>
        </w:rPr>
        <w:t xml:space="preserve"> their agency.</w:t>
      </w:r>
    </w:p>
    <w:p w14:paraId="47719C61" w14:textId="77777777" w:rsidR="005076EF" w:rsidRDefault="005076EF" w:rsidP="00866155"/>
    <w:p w14:paraId="6C890855" w14:textId="77777777" w:rsidR="00787F73" w:rsidRDefault="00742FB7" w:rsidP="00866155">
      <w:pPr>
        <w:pStyle w:val="Heading3"/>
      </w:pPr>
      <w:bookmarkStart w:id="878" w:name="_Toc149250340"/>
      <w:bookmarkStart w:id="879" w:name="_Toc158216463"/>
      <w:bookmarkStart w:id="880" w:name="_Toc152088986"/>
      <w:bookmarkStart w:id="881" w:name="_Toc98148463"/>
      <w:bookmarkStart w:id="882" w:name="_Toc152262917"/>
      <w:bookmarkStart w:id="883" w:name="_Toc158047144"/>
      <w:bookmarkStart w:id="884" w:name="_Toc149250227"/>
      <w:bookmarkStart w:id="885" w:name="_Toc149057681"/>
      <w:bookmarkStart w:id="886" w:name="_Toc158216653"/>
      <w:bookmarkStart w:id="887" w:name="_Toc158047185"/>
      <w:bookmarkStart w:id="888" w:name="_Toc193367244"/>
      <w:r>
        <w:t>5.2.2: Community Logic</w:t>
      </w:r>
      <w:bookmarkEnd w:id="878"/>
      <w:bookmarkEnd w:id="879"/>
      <w:bookmarkEnd w:id="880"/>
      <w:bookmarkEnd w:id="881"/>
      <w:bookmarkEnd w:id="882"/>
      <w:bookmarkEnd w:id="883"/>
      <w:bookmarkEnd w:id="884"/>
      <w:bookmarkEnd w:id="885"/>
      <w:bookmarkEnd w:id="886"/>
      <w:bookmarkEnd w:id="887"/>
      <w:bookmarkEnd w:id="888"/>
    </w:p>
    <w:p w14:paraId="60118F93" w14:textId="77777777" w:rsidR="00787F73" w:rsidRDefault="00742FB7" w:rsidP="00866155">
      <w:pPr>
        <w:rPr>
          <w:rFonts w:cs="Calibri"/>
        </w:rPr>
      </w:pPr>
      <w:r>
        <w:rPr>
          <w:rFonts w:cs="Calibri"/>
        </w:rPr>
        <w:t xml:space="preserve">As discussed in Chapter 2, </w:t>
      </w:r>
      <w:r>
        <w:rPr>
          <w:rFonts w:cs="Calibri"/>
          <w:i/>
        </w:rPr>
        <w:t>community</w:t>
      </w:r>
      <w:r>
        <w:rPr>
          <w:rFonts w:cs="Calibri"/>
        </w:rPr>
        <w:t xml:space="preserve"> can be a misleading term, indicating a </w:t>
      </w:r>
      <w:r w:rsidR="0040407A" w:rsidRPr="0040407A">
        <w:rPr>
          <w:rFonts w:cs="Calibri"/>
        </w:rPr>
        <w:t>homogeneous</w:t>
      </w:r>
      <w:r>
        <w:rPr>
          <w:rFonts w:cs="Calibri"/>
        </w:rPr>
        <w:t xml:space="preserve"> group of people </w:t>
      </w:r>
      <w:r>
        <w:fldChar w:fldCharType="begin" w:fldLock="1"/>
      </w:r>
      <w:r>
        <w:rPr>
          <w:rFonts w:cs="Calibri"/>
        </w:rPr>
        <w:instrText>ADDIN CSL_CITATION {"citationItems":[{"id":"ITEM-1","itemData":{"DOI":"10.3390/soc8030071","ISSN":"2075-4698","abstract":"In all areas of academic or practical work related to disaster risk, climate change and development more generally, community and its adjunct community-based have become the default terminology when referring to the local level or working ‘with the people’. The terms are applied extensively to highlight what is believed to be a people-centred, participatory, or grassroot-level approach. Today, despite, or because of, its inherent ambiguity, ‘community’ tends to be used almost inflationarily. This paper aims to analyse the way the concept of ‘community’ has come into fashion, and to critically reflect on the problems that come with it. We are raising significant doubts about the usefulness of ‘community’ in development- and disaster-related work. Our approach is to first consider how ‘community’ has become popular in research and with humanitarian agencies and other organisations based on what can be considered a ‘moral licence’ that supposedly guarantees that the actions being taken are genuinely people-centred and ethically justified. We then explore several theoretical approaches to ‘community’, highlight the vast scope of different (and contested) views on what ‘community’ entails, and explain how ‘community’ is framing practical attempts to mitigate vulnerability and inequity. We demonstrate how these attempts are usually futile, and sometimes harmful, due to the blurriness of ‘community’ concepts and their inherent failure to address the root causes of vulnerability. From two antagonistic positions, we finally advocate more meaningful ways to acknowledge vulnerable people’s views and needs appropriately.","author":[{"dropping-particle":"","family":"Titz","given":"Alexandra","non-dropping-particle":"","parse-names":false,"suffix":""},{"dropping-particle":"","family":"Cannon","given":"Terry","non-dropping-particle":"","parse-names":false,"suffix":""},{"dropping-particle":"","family":"Krüger","given":"Fred","non-dropping-particle":"","parse-names":false,"suffix":""}],"container-title":"Societies","id":"ITEM-1","issue":"3","issued":{"date-parts":[["2018"]]},"page":"1 - 28","title":"Uncovering ‘Community’: Challenging an Elusive Concept in Development and Disaster Related Work","type":"article-journal","volume":"8"},"uris":["http://www.mendeley.com/documents/?uuid=f9599f8d-2339-4d46-9072-6514bdefdc30"]}],"mendeley":{"formattedCitation":"(Titz, Cannon, &amp; Krüger, 2018)","plainTextFormattedCitation":"(Titz, Cannon, &amp; Krüger, 2018)","previouslyFormattedCitation":"(Titz, Cannon, &amp; Krüger, 2018)"},"properties":{"noteIndex":0},"schema":"https://github.com/citation-style-language/schema/raw/master/csl-citation.json"}</w:instrText>
      </w:r>
      <w:r>
        <w:rPr>
          <w:rFonts w:cs="Calibri"/>
        </w:rPr>
        <w:fldChar w:fldCharType="separate"/>
      </w:r>
      <w:r>
        <w:rPr>
          <w:rFonts w:cs="Calibri"/>
          <w:noProof/>
        </w:rPr>
        <w:t>(Titz, Cannon, &amp; Krüger, 2018)</w:t>
      </w:r>
      <w:r>
        <w:rPr>
          <w:rFonts w:cs="Calibri"/>
        </w:rPr>
        <w:fldChar w:fldCharType="end"/>
      </w:r>
      <w:r>
        <w:rPr>
          <w:rFonts w:cs="Calibri"/>
        </w:rPr>
        <w:t xml:space="preserve">. However, there are certain identities and cultures which can be linked to certain geographic areas, one of which is the Yorkshire disposition and the idea that people within South Yorkshire are </w:t>
      </w:r>
      <w:r>
        <w:rPr>
          <w:rFonts w:cs="Calibri"/>
          <w:i/>
        </w:rPr>
        <w:t>straight talkers</w:t>
      </w:r>
      <w:r>
        <w:rPr>
          <w:rFonts w:cs="Calibri"/>
          <w:iCs/>
        </w:rPr>
        <w:t>, namely that they are direct in their communication style</w:t>
      </w:r>
      <w:r>
        <w:rPr>
          <w:rFonts w:cs="Calibri"/>
        </w:rPr>
        <w:t>. This approach to communication can be viewed as part of the community logic, as logics influence an individual’s practices and values (Glaser et al., 2016; Ocasio &amp; Radoynovska, 2016; Thornton, Ocasio, &amp; Lounsbury, 2006; Townley, 1997), which can describe their approach to communication.  The CM noted this directness in their risk communication when discussing a company’s marketing campaign to sell Union Jack sky lanterns with the aim for people to light the lanterns on the same day to show support for the NHS in the early days of the COVID-19 pandemic:</w:t>
      </w:r>
    </w:p>
    <w:p w14:paraId="728A9908" w14:textId="77777777" w:rsidR="004F6AAA" w:rsidRDefault="004F6AAA" w:rsidP="00866155"/>
    <w:p w14:paraId="1CBDED6B" w14:textId="77777777" w:rsidR="00787F73" w:rsidRDefault="00742FB7" w:rsidP="00866155">
      <w:pPr>
        <w:widowControl w:val="0"/>
        <w:spacing w:before="120" w:after="120"/>
        <w:ind w:left="720" w:right="663"/>
        <w:rPr>
          <w:rFonts w:eastAsia="Arial" w:cs="Calibri"/>
          <w:color w:val="000000"/>
        </w:rPr>
      </w:pPr>
      <w:r>
        <w:rPr>
          <w:rStyle w:val="QuoteChar"/>
          <w:rFonts w:eastAsia="Arial" w:cs="Calibri"/>
        </w:rPr>
        <w:t>“I saw a lot of other fire services and the messaging was a bit loose, it wasn’t hard hitting enough for this kind of thing. So, I thought, in typical South Yorkshire fashion, we’ll just tell them how it is. I think I put in capitals, please do not do this. And the post that we put on Facebook (…) I think it reached over a million people. I think since I’ve started that we’ve never had a post in our history that went down as popular as that one. I’m sure if I check now it will have got more than that probably 1.5 million which will be huge numbers really”</w:t>
      </w:r>
      <w:r>
        <w:rPr>
          <w:rFonts w:eastAsia="Arial" w:cs="Calibri"/>
          <w:color w:val="000000"/>
        </w:rPr>
        <w:t xml:space="preserve"> (CM </w:t>
      </w:r>
      <w:r w:rsidR="006A7A2E">
        <w:rPr>
          <w:rFonts w:eastAsia="Arial" w:cs="Calibri"/>
          <w:color w:val="000000"/>
        </w:rPr>
        <w:t xml:space="preserve">interview, </w:t>
      </w:r>
      <w:r>
        <w:rPr>
          <w:rFonts w:eastAsia="Arial" w:cs="Calibri"/>
          <w:color w:val="000000"/>
        </w:rPr>
        <w:t>21.04.20)</w:t>
      </w:r>
    </w:p>
    <w:p w14:paraId="7ED139D7" w14:textId="77777777" w:rsidR="004F6AAA" w:rsidRDefault="004F6AAA" w:rsidP="00A0151B">
      <w:pPr>
        <w:widowControl w:val="0"/>
        <w:ind w:left="720" w:right="663"/>
      </w:pPr>
    </w:p>
    <w:p w14:paraId="3D49F4BE" w14:textId="77777777" w:rsidR="00787F73" w:rsidRDefault="00742FB7" w:rsidP="008661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eastAsia="Arial" w:cs="Calibri"/>
          <w:color w:val="000000"/>
        </w:rPr>
      </w:pPr>
      <w:r>
        <w:rPr>
          <w:rFonts w:eastAsia="Arial" w:cs="Calibri"/>
          <w:color w:val="000000"/>
        </w:rPr>
        <w:t xml:space="preserve">As highlighted in the discussion of RQ1, this focus on quantification of engagement is misleading, especially with the focus on the social media metrics of </w:t>
      </w:r>
      <w:r>
        <w:rPr>
          <w:rFonts w:eastAsia="Arial" w:cs="Calibri"/>
          <w:i/>
          <w:iCs/>
          <w:color w:val="000000"/>
        </w:rPr>
        <w:t xml:space="preserve">reach. </w:t>
      </w:r>
      <w:r>
        <w:rPr>
          <w:rFonts w:eastAsia="Arial" w:cs="Calibri"/>
          <w:color w:val="000000"/>
        </w:rPr>
        <w:t xml:space="preserve">However, in the case of this post, we can see that the post was interacted with at a higher rate than their other posts. This could indicate that by using a community logic of </w:t>
      </w:r>
      <w:r>
        <w:rPr>
          <w:rFonts w:eastAsia="Arial" w:cs="Calibri"/>
          <w:i/>
          <w:iCs/>
          <w:color w:val="000000"/>
        </w:rPr>
        <w:t>directness</w:t>
      </w:r>
      <w:r>
        <w:rPr>
          <w:rFonts w:eastAsia="Arial" w:cs="Calibri"/>
          <w:color w:val="000000"/>
        </w:rPr>
        <w:t xml:space="preserve">, they signalled </w:t>
      </w:r>
      <w:r>
        <w:rPr>
          <w:rFonts w:eastAsia="Arial" w:cs="Calibri"/>
          <w:color w:val="000000"/>
        </w:rPr>
        <w:lastRenderedPageBreak/>
        <w:t xml:space="preserve">their institutional legitimacy </w:t>
      </w:r>
      <w:r>
        <w:fldChar w:fldCharType="begin" w:fldLock="1"/>
      </w:r>
      <w:r>
        <w:rPr>
          <w:rFonts w:eastAsia="Arial" w:cs="Calibri"/>
          <w:color w:val="000000"/>
        </w:rPr>
        <w:instrText>ADDIN CSL_CITATION {"citationItems":[{"id":"ITEM-1","itemData":{"ISBN":"1526415054","author":[{"dropping-particle":"","family":"Greenwood","given":"Royston","non-dropping-particle":"","parse-names":false,"suffix":""},{"dropping-particle":"","family":"Oliver","given":"Christine","non-dropping-particle":"","parse-names":false,"suffix":""},{"dropping-particle":"","family":"Sahlin","given":"Kerstin","non-dropping-particle":"","parse-names":false,"suffix":""},{"dropping-particle":"","family":"Suddaby","given":"Roy","non-dropping-particle":"","parse-names":false,"suffix":""}],"chapter-number":"1","container-title":"The Sage handbook of Organizational Institutionalism","editor":[{"dropping-particle":"","family":"Greenwood","given":"Royston","non-dropping-particle":"","parse-names":false,"suffix":""},{"dropping-particle":"","family":"Oliver","given":"Christine","non-dropping-particle":"","parse-names":false,"suffix":""},{"dropping-particle":"","family":"Lawrence","given":"Thomas B","non-dropping-particle":"","parse-names":false,"suffix":""},{"dropping-particle":"","family":"Meyer","given":"Renate E","non-dropping-particle":"","parse-names":false,"suffix":""}],"id":"ITEM-1","issued":{"date-parts":[["2008"]]},"page":"1 -34","publisher":"Sage","publisher-place":"London","title":"Introduction","type":"chapter"},"uris":["http://www.mendeley.com/documents/?uuid=3fed7a46-7a1f-43ad-aae4-af5880dadba6"]},{"id":"ITEM-2","itemData":{"abstract":"To compare and contrast institutional theories used in or- ganizational analysis, the theoretical frameworks and ar- guments of leading contributors to institutional theory are reviewed and recent empirical studies using institutional arguments are examined. Both approaches reveal consid- erable variation in the types of concepts and arguments employed, and it is argued that further improvement and growth in institutional theory is dependent upon analysts dealing more explicitly with these differences. In addition, the relation between institutions and interests is explored to show that institutional features of organizational envi- ronments shape both the goals and means of actors. At- tention is called to the two primary types of actors shaping institutional environments in modern societies- the state and professional bodies-and to the way in which their interests and mode of action shape institu- tional patterns and mechanisms.","author":[{"dropping-particle":"","family":"Scott","given":"W Richard","non-dropping-particle":"","parse-names":false,"suffix":""}],"container-title":"Administrative Science Quarterly","id":"ITEM-2","issue":"4","issued":{"date-parts":[["1987"]]},"page":"493-511","title":"The Adolescence of Institutional Theory","type":"article-journal","volume":"32"},"uris":["http://www.mendeley.com/documents/?uuid=37d3c9ed-07b7-411f-adb3-1b1804691329"]}],"mendeley":{"formattedCitation":"(Greenwood et al., 2008; Scott, 1987)","plainTextFormattedCitation":"(Greenwood et al., 2008; Scott, 1987)","previouslyFormattedCitation":"(Greenwood et al., 2008; Scott, 1987)"},"properties":{"noteIndex":0},"schema":"https://github.com/citation-style-language/schema/raw/master/csl-citation.json"}</w:instrText>
      </w:r>
      <w:r>
        <w:rPr>
          <w:rFonts w:eastAsia="Arial" w:cs="Calibri"/>
          <w:color w:val="000000"/>
        </w:rPr>
        <w:fldChar w:fldCharType="separate"/>
      </w:r>
      <w:r>
        <w:rPr>
          <w:rFonts w:eastAsia="Arial" w:cs="Calibri"/>
          <w:noProof/>
          <w:color w:val="000000"/>
        </w:rPr>
        <w:t>(Greenwood et al., 2008; Scott, 1987)</w:t>
      </w:r>
      <w:r>
        <w:rPr>
          <w:rFonts w:eastAsia="Arial" w:cs="Calibri"/>
          <w:color w:val="000000"/>
        </w:rPr>
        <w:fldChar w:fldCharType="end"/>
      </w:r>
      <w:r>
        <w:rPr>
          <w:rFonts w:eastAsia="Arial" w:cs="Calibri"/>
          <w:color w:val="000000"/>
        </w:rPr>
        <w:t xml:space="preserve"> within the South Yorkshire community. Directness is also a trait that is often associated with the operational side of the FRS as there is a need for direct communication in emergency situations, so the increase in engagement on this post could have been from multiple communities of followers within the social media network. To ascertain who was engaging with that post, a greater level of analysis would have to be conducted on that specific post; chapter 6 provides a wider analysis of SYFR</w:t>
      </w:r>
      <w:r w:rsidR="0009791A">
        <w:rPr>
          <w:rFonts w:eastAsia="Arial" w:cs="Calibri"/>
          <w:color w:val="000000"/>
        </w:rPr>
        <w:t>’</w:t>
      </w:r>
      <w:r>
        <w:rPr>
          <w:rFonts w:eastAsia="Arial" w:cs="Calibri"/>
          <w:color w:val="000000"/>
        </w:rPr>
        <w:t xml:space="preserve">s social media network. </w:t>
      </w:r>
    </w:p>
    <w:p w14:paraId="56D8FD25" w14:textId="77777777" w:rsidR="004F6AAA" w:rsidRDefault="004F6AAA" w:rsidP="00A015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93EF2D1" w14:textId="05E17736" w:rsidR="00787F73" w:rsidRDefault="00742FB7" w:rsidP="008661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Calibri"/>
        </w:rPr>
      </w:pPr>
      <w:r>
        <w:rPr>
          <w:rFonts w:eastAsia="Arial" w:cs="Calibri"/>
          <w:color w:val="000000"/>
        </w:rPr>
        <w:t xml:space="preserve">Examining the risk communication literature, there is an acceptance that in order for risk communication to be successful, it needs to create awareness to risk, contain actionable information, and be timely </w:t>
      </w:r>
      <w:r>
        <w:fldChar w:fldCharType="begin" w:fldLock="1"/>
      </w:r>
      <w:r w:rsidR="00974B75">
        <w:rPr>
          <w:rFonts w:eastAsia="Arial" w:cs="Calibri"/>
          <w:color w:val="000000"/>
        </w:rPr>
        <w:instrText>ADDIN CSL_CITATION {"citationItems":[{"id":"ITEM-1","itemData":{"DOI":"10.1016/j.ijdrr.2017.04.015","ISSN":"22124209","abstract":"The medium of film is well established for education and communication about hazardous phenomena as it provides engaging ways to directly view hazards and their impacts. Empirical analysis can help to understand films’ effectiveness in informing populations at risk and catalysing action to reduce risk. Using volcanic eruptions as a focus, an evidence-based methodology was devised to create, use, and track the outcomes of digital film tools designed to raise hazard and risk awareness, and develop preparedness efforts. Experiences from two contrasting eruptions were documented, with the secondary purpose of fostering social and cultural memories of eruptions, developed in response to demand from at-risk communities during field-based research. The films were created as a partnership with local volcano monitoring scientists and at-risk populations who, consequently, became the leading focus of the films, thus offering a substantial contrast to other types of hazard communication. The films were analysed by sharing them with at-risk communities and evaluating the immediate influence on learning and affect. Results indicated that the use of local content and actors to share experiences and teach valuable lessons were inspirational. Recognizable faces and spaces helped to convey disaster risk reduction messages. They also motivated audiences to consider ownership of risk and potential actions to reduce risk and strengthen resilience. This study demonstrated the effectiveness of co-production in the design and execution of intervention strategies for volcanic risk reduction. Co-production of films with local agencies resulted in products that were contextually appropriate, meaningful for audiences, and useful risk communication tools.","author":[{"dropping-particle":"","family":"Hicks","given":"Anna","non-dropping-particle":"","parse-names":false,"suffix":""},{"dropping-particle":"","family":"Armijos","given":"Maria Teresa","non-dropping-particle":"","parse-names":false,"suffix":""},{"dropping-particle":"","family":"Barclay","given":"Jenni","non-dropping-particle":"","parse-names":false,"suffix":""},{"dropping-particle":"","family":"Stone","given":"Jonathan","non-dropping-particle":"","parse-names":false,"suffix":""},{"dropping-particle":"","family":"Robertson","given":"Richard","non-dropping-particle":"","parse-names":false,"suffix":""},{"dropping-particle":"","family":"Cortés","given":"Gloria Patricia","non-dropping-particle":"","parse-names":false,"suffix":""}],"container-title":"International Journal of Disaster Risk Reduction","id":"ITEM-1","issued":{"date-parts":[["2017"]]},"page":"138-151","publisher":"Elsevier Ltd","title":"Risk communication films: Process, product and potential for improving preparedness and behaviour change","type":"article-journal","volume":"23"},"uris":["http://www.mendeley.com/documents/?uuid=0f5f1ccc-9589-4eed-a1d9-c3f921c1cc41"]},{"id":"ITEM-2","itemData":{"DOI":"10.1016/j.proeng.2018.01.032","ISSN":"18777058","abstract":"The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Engineering","id":"ITEM-2","issued":{"date-parts":[["2018"]]},"page":"246-253","publisher":"Elsevier B.V.","title":"Conceptual Framework for Motivating Actions towards Disaster Preparedness Through Risk Communication","type":"article-journal","volume":"212"},"uris":["http://www.mendeley.com/documents/?uuid=01e245d0-867b-47cd-8164-80d2bc1d7862"]},{"id":"ITEM-3","itemData":{"DOI":"10.1016/j.jhydrol.2018.11.007","ISSN":"00221694","abstract":"Flood risk management is gradually shifting from a risk-based approach to an integrated one that, among other elements, considers risk communication (RC) as a means of boosting resilience. Regardless of the above, few scientists have tackled up to now the integration of RC into flood risk management. In this connection, this particular study seeks to check out the potential of a risk dialogue approach (based on an ad hoc RC strategy) to change attitudes and behaviours in relation to flash flood risk. Via a pre-post survey design, we evaluated risk perception and awareness regarding a Civil Protection Plan (CPP) implemented locally (i.e., in the municipality of Navaluenga, central Spain). For this particular objective, a questionnaire survey was created, and 201 adults (representing more than 10% of the population census) were interviewed twice in a one-year period. Before the second survey, an RC strategy was created. The RC strategy comprised briefings, quiz answers, storytelling, a contest of videos and photographs about past floods, and an intergenerational workshop. A t-test for paired sample analyses and a general linear model (GLM) repeated measures ANOVA were applied to identify changes in risk perception and awareness. Our results indicate that the RC strategy did increase flood risk perception in Navaluenga in the long term (lifetime). Also, it increased the level of awareness of the various features that comprise the CPP, enabling people to be more competent in facing a flash flood. Some cognitive biases detected in the perceptual process of human beings may shed some light on the results obtained. The implementation of well-thought-out RC strategies can play a role in improving resilience, particularly in geographic areas such as the Iberian Peninsula, in which climate change scenarios indicate a likely increase in the severity and frequency of flooding.","author":[{"dropping-particle":"","family":"Bodoque","given":"J. M.","non-dropping-particle":"","parse-names":false,"suffix":""},{"dropping-particle":"","family":"Díez-Herrero","given":"A.","non-dropping-particle":"","parse-names":false,"suffix":""},{"dropping-particle":"","family":"Amerigo","given":"M.","non-dropping-particle":"","parse-names":false,"suffix":""},{"dropping-particle":"","family":"García","given":"J. A.","non-dropping-particle":"","parse-names":false,"suffix":""},{"dropping-particle":"","family":"Olcina","given":"J.","non-dropping-particle":"","parse-names":false,"suffix":""}],"container-title":"Journal of Hydrology","id":"ITEM-3","issued":{"date-parts":[["2019"]]},"page":"769-779","publisher":"Elsevier","title":"Enhancing flash flood risk perception and awareness of mitigation actions through risk communication: A pre-post survey design","type":"article-journal","volume":"568"},"uris":["http://www.mendeley.com/documents/?uuid=035f4ef7-201a-47c7-8e7a-0cc5c28eb0f7"]},{"id":"ITEM-4","itemData":{"DOI":"10.1016/j.ijdrr.2022.102808","ISSN":"22124209","abstract":"The main objective of this study is to examine the role of risk communication during the COVID-19 crisis, which is often neglected in studies investigating the outbreak of the pandemic. The study is based on survey data from a group of international (non-Japanese) students in Japan and the theoretical foundation of fear appeal theory. The results, which are based on the panel data structure, show that individually, (1) the act of seeking out others to discuss risks in depth in the current pandemic context or (2) the observed adoption of advocated precautionary health behaviours is not necessarily a good indicator of mental management, but (3) the combined effect of (1) and (2) unexpectedly suggests a conciliatory effect on the fear of disasters. Moreover, this evidence-based finding (3) suggests that a reciprocal relationship exists between threat and efficacy in terms of mediating fear under the framework and theory of fear appeals, indirectly challenging the fear control response proposition of the extended parallel process model. Our empirical findings emphasize the role of risk discourse and information sharing combined with preventive health behaviours adopted within a community in the context of global health crises.","author":[{"dropping-particle":"","family":"Dao","given":"Minh Tuan","non-dropping-particle":"","parse-names":false,"suffix":""},{"dropping-particle":"","family":"Lim","given":"Seunghoo","non-dropping-particle":"","parse-names":false,"suffix":""}],"container-title":"International Journal of Disaster Risk Reduction","id":"ITEM-4","issued":{"date-parts":[["2022"]]},"page":"1 - 12","title":"Fear of disasters within the risk communication network of foreign students in Japan amid the COVID-19 pandemic crisis: A cohort design","type":"article-journal","volume":"71"},"uris":["http://www.mendeley.com/documents/?uuid=4e8897e0-d91f-4155-89aa-75260c35275c"]},{"id":"ITEM-5","itemData":{"DOI":"10.1016/j.ijdrr.2022.102903","ISSN":"22124209","abstract":"In today's information age, both excess and lack of information can cause a disaster. COVID-19 pandemic not only highlighted the significance of risk communication but also pointed out several unintended and distressing consequences due to information gaps and miscommunications. Despite facing a common threat, the local communities suffered differential impacts during the pandemic. This paper classifies the nature of risk communications experienced across different countries into three categories, namely: inadequate, ideal, and infodemic risk communication that influenced the local perceptions and responses. It further argues that inadequately planned risk communications tend to create new risks and compromise the efforts towards managing a disaster. As global risks are responded locally, there is a need for more inclusive and engaging risk communication that involves communities as responsible stakeholders who understand, plan, and respond to risks to increase their propensity for resilience during disasters and crisis situations.","author":[{"dropping-particle":"","family":"Khan","given":"Shabana","non-dropping-particle":"","parse-names":false,"suffix":""},{"dropping-particle":"","family":"Mishra","given":"Jyoti","non-dropping-particle":"","parse-names":false,"suffix":""},{"dropping-particle":"","family":"Ahmed","given":"Nova","non-dropping-particle":"","parse-names":false,"suffix":""},{"dropping-particle":"","family":"Onyige","given":"Chioma Daisy","non-dropping-particle":"","parse-names":false,"suffix":""},{"dropping-particle":"","family":"Lin","given":"Kuanhui Elaine","non-dropping-particle":"","parse-names":false,"suffix":""},{"dropping-particle":"","family":"Siew","given":"Renard","non-dropping-particle":"","parse-names":false,"suffix":""},{"dropping-particle":"","family":"Lim","given":"Boon Han","non-dropping-particle":"","parse-names":false,"suffix":""}],"container-title":"International Journal of Disaster Risk Reduction","id":"ITEM-5","issued":{"date-parts":[["2022"]]},"page":"1-13","title":"Risk communication and community engagement during COVID-19","type":"article-journal","volume":"74"},"uris":["http://www.mendeley.com/documents/?uuid=849f61bc-f758-47e1-97be-298ae2c6fa66"]},{"id":"ITEM-6","itemData":{"DOI":"10.1111/risa.13828","ISSN":"15396924","PMID":"34569091","abstract":"During public health emergencies, government practitioners must rapidly make sense of the risk to human health and the emergency risk communication (ERC) options available. These practitioners determine what, how, and when information is communicated to the public. Recurring criticism of ERC indicates that the communication is not meeting the needs of the community. To improve ERC practice, it is therefore critical to understand practitioners’ sensemaking in these complex and time-critical settings. This article unpacks the realities and complexities of sensemaking, the process by which practitioners create meaning from the information they receive about an emergency as it unfolds. Qualitative interviews gathered practitioners’ lived experiences of public health emergencies, namely, smoke events (e.g., wildfires and industrial facility fires), and thematic analysis drew on sensemaking literature. The evidence shows that sensemaking is challenging, as practitioners experience pressure from the emergency context and organizational, political, and social expectations. Sensemaking for ERC comes with an underlying imperative to accurately make sense of the situation, in a timely manner and in a way that leads to the best health outcomes. Practitioners must balance creating plausible meaning (sensemaking) with the accuracy expected by stakeholders. The analysis also highlights how sensemaking scope is delimited by professional expert identities and roles within the emergency management system; that is, practitioners’ understanding of their expertise and role, and that of other practitioners. Past lived experiences are viewed as key facilitators of both individual and collective sensemaking, and the history of similar public health events shapes sensemaking in this context.","author":[{"dropping-particle":"","family":"Thomas","given":"Madeleine","non-dropping-particle":"","parse-names":false,"suffix":""},{"dropping-particle":"","family":"Klemm","given":"Celine","non-dropping-particle":"","parse-names":false,"suffix":""},{"dropping-particle":"","family":"Hutchins","given":"Brett","non-dropping-particle":"","parse-names":false,"suffix":""},{"dropping-particle":"","family":"Kaufman","given":"Stefan","non-dropping-particle":"","parse-names":false,"suffix":""}],"container-title":"Risk Analysis","id":"ITEM-6","issue":"11","issued":{"date-parts":[["2022"]]},"page":"2536-2549","title":"Unpacking the Realities and Complexities of Sensemaking: Government Practitioners’ Experiences of Emergency Risk Communication","type":"article-journal","volume":"42"},"uris":["http://www.mendeley.com/documents/?uuid=727bc174-52fa-41c4-9eb1-898bb6178901"]},{"id":"ITEM-7","itemData":{"DOI":"10.1017/dmp.2020.347","ISSN":"1938744X","PMID":"32907685","abstract":"ObjectiveThe purpose of this study was to demonstrate the use of social network analysis to understand public discourse on Twitter around the novel coronavirus pandemic (COVID-19). We examined different network properties that might affect the successful dissemination by and adoption of public health messages from public health officials and health agencies.MethodsWe focused on conversations on Twitter during three key communication events from late January to early June of 2020. We used Netlytic, a free web-based software that collects publicly available data from social media sites such as Twitter.ResultsWe found that the network of conversations around COVID-19 is highly decentralized, fragmented, and loosely connected; these characteristics can hinder the successful dissemination of public health messages in a network. Competing conversations and misinformation can hamper risk communication efforts in a way that imperil public health.ConclusionLooking at basic metrics might create a misleading picture of the effectiveness of risk communication efforts on social media if not analyzed within the context of the larger network. Social network analysis of conversations on social media should be an integral part of how public health officials and agencies plan, monitor, and evaluate risk communication efforts.","author":[{"dropping-particle":"","family":"Pascual-Ferrá","given":"Paola","non-dropping-particle":"","parse-names":false,"suffix":""},{"dropping-particle":"","family":"Alperstein","given":"Neil","non-dropping-particle":"","parse-names":false,"suffix":""},{"dropping-particle":"","family":"Barnett","given":"Daniel J.","non-dropping-particle":"","parse-names":false,"suffix":""}],"container-title":"Disaster Medicine and Public Health Preparedness","id":"ITEM-7","issue":"2","issued":{"date-parts":[["2022"]]},"page":"561-569","title":"Social Network Analysis of COVID-19 Public Discourse on Twitter: Implications for Risk Communication","type":"article-journal","volume":"16"},"uris":["http://www.mendeley.com/documents/?uuid=158b85ff-955e-4d7f-bfb1-e3b2dc838613"]},{"id":"ITEM-8","itemData":{"DOI":"10.1108/ITP-05-2021-0363","ISSN":"09593845","abstract":"Purpose: Despite the huge potential of social media, its functionality and impact for enhanced risk communication remain unclear. Drawing on dialogic theory by integrating both “speak from power” and “speak to power” measurements, the article aims to propose a systematic framework to address this issue. Design/methodology/approach: The impact of social media on risk communication is measured by the correlation between “speak from power” and “speak to power” levels, where the former primarily spoke to two facets of the risk communication process – rapidness and attentiveness, and the latter was benchmarked against popularity and commitment. The framework was empirically validated with data relating to coronavirus disease (COVID-19) risk communication in 25,024 selected posts on 17 official provincial Weibo accounts in China. Findings: The analysis results suggest the relationship between the “speak from power” and “speak to power” is mixed rather than causality, which confirms that neither the outcome-centric nor the process-centric method alone can render a full picture of government–public interconnectivity. Besides, the proposed interconnectivity matrix reveals that two provinces have evidenced the formation of government–public mutuality, which provides empirical evidence that dialogic relationships could exist in social media during risk communication. Originality/value: The authors' study proposed a prototype framework that underlines the need that the impact of social media on risk communication should and must be assessed through a combination of process and outcome or interconnectivity. The authors further divide the impact of social media on risk communication into dialogue enabler, “speak from power” booster, “speak to power” channel and mass media alternative.","author":[{"dropping-particle":"","family":"Zhu","given":"Ruilin","non-dropping-particle":"","parse-names":false,"suffix":""},{"dropping-particle":"","family":"Song","given":"Yanqing","non-dropping-particle":"","parse-names":false,"suffix":""},{"dropping-particle":"","family":"He","given":"Shuang","non-dropping-particle":"","parse-names":false,"suffix":""},{"dropping-particle":"","family":"Hu","given":"Xuan","non-dropping-particle":"","parse-names":false,"suffix":""},{"dropping-particle":"","family":"Hu","given":"Wangsu","non-dropping-particle":"","parse-names":false,"suffix":""},{"dropping-particle":"","family":"Liu","given":"Bingsheng","non-dropping-particle":"","parse-names":false,"suffix":""}],"container-title":"Information Technology and People","id":"ITEM-8","issue":"7","issued":{"date-parts":[["2022"]]},"page":"2518-2540","title":"Toward dialogue through a holistic measuring framework – the impact of social media on risk communication in the COVID-19","type":"article-journal","volume":"35"},"uris":["http://www.mendeley.com/documents/?uuid=0a67c08d-e86f-4697-a72d-997e6e8a75ba"]}],"mendeley":{"formattedCitation":"(Dao &amp; Lim, 2022; Khan et al., 2022; Pascual-Ferrá, Alperstein, &amp; Barnett, 2022; Thomas et al., 2022; Zhu et al., 2022; Bodoque et al., 2019; Abunyewah, Gajendran, &amp; Maund, 2018; Hicks et al., 2017)","plainTextFormattedCitation":"(Dao &amp; Lim, 2022; Khan et al., 2022; Pascual-Ferrá, Alperstein, &amp; Barnett, 2022; Thomas et al., 2022; Zhu et al., 2022; Bodoque et al., 2019; Abunyewah, Gajendran, &amp; Maund, 2018; Hicks et al., 2017)","previouslyFormattedCitation":"(Dao &amp; Lim, 2022; Khan et al., 2022; Pascual-Ferrá, Alperstein, &amp; Barnett, 2022; Thomas et al., 2022; Zhu et al., 2022; Bodoque et al., 2019; Abunyewah, Gajendran, &amp; Maund, 2018; Hicks et al., 2017)"},"properties":{"noteIndex":0},"schema":"https://github.com/citation-style-language/schema/raw/master/csl-citation.json"}</w:instrText>
      </w:r>
      <w:r>
        <w:rPr>
          <w:rFonts w:eastAsia="Arial" w:cs="Calibri"/>
          <w:color w:val="000000"/>
        </w:rPr>
        <w:fldChar w:fldCharType="separate"/>
      </w:r>
      <w:r>
        <w:rPr>
          <w:rFonts w:cs="Calibri"/>
          <w:noProof/>
        </w:rPr>
        <w:t>(Dao &amp; Lim, 2022; Khan et al., 2022; Pascual-Ferrá, Alperstein, &amp; Barnett, 2022; Thomas et al., 2022; Zhu et al., 2022; Bodoque et al., 2019; Abunyewah, Gajendran, &amp; Maund, 2018; Hicks et al., 2017)</w:t>
      </w:r>
      <w:r>
        <w:rPr>
          <w:rFonts w:eastAsia="Arial" w:cs="Calibri"/>
          <w:color w:val="000000"/>
        </w:rPr>
        <w:fldChar w:fldCharType="end"/>
      </w:r>
      <w:r>
        <w:rPr>
          <w:rFonts w:cs="Calibri"/>
        </w:rPr>
        <w:t>. This post fits within these parameters, especially with a focus on actionable information and</w:t>
      </w:r>
      <w:r w:rsidR="0009791A">
        <w:rPr>
          <w:rFonts w:cs="Calibri"/>
        </w:rPr>
        <w:t xml:space="preserve"> being</w:t>
      </w:r>
      <w:r>
        <w:rPr>
          <w:rFonts w:cs="Calibri"/>
        </w:rPr>
        <w:t xml:space="preserve"> timely</w:t>
      </w:r>
      <w:r w:rsidR="0009791A">
        <w:rPr>
          <w:rFonts w:cs="Calibri"/>
        </w:rPr>
        <w:t>.</w:t>
      </w:r>
      <w:r>
        <w:rPr>
          <w:rFonts w:cs="Calibri"/>
        </w:rPr>
        <w:t xml:space="preserve"> </w:t>
      </w:r>
      <w:r w:rsidR="0009791A">
        <w:rPr>
          <w:rFonts w:cs="Calibri"/>
        </w:rPr>
        <w:t>H</w:t>
      </w:r>
      <w:r>
        <w:rPr>
          <w:rFonts w:cs="Calibri"/>
        </w:rPr>
        <w:t xml:space="preserve">owever, simply stating </w:t>
      </w:r>
      <w:r>
        <w:rPr>
          <w:rFonts w:cs="Calibri"/>
          <w:i/>
          <w:iCs/>
        </w:rPr>
        <w:t>not to do it</w:t>
      </w:r>
      <w:r>
        <w:rPr>
          <w:rFonts w:cs="Calibri"/>
        </w:rPr>
        <w:t xml:space="preserve"> does not explain the risk to the community, and therefore may not be able to engage threat appraisal for the viewers </w:t>
      </w:r>
      <w:r>
        <w:fldChar w:fldCharType="begin" w:fldLock="1"/>
      </w:r>
      <w:r w:rsidR="00974B75">
        <w:rPr>
          <w:rFonts w:cs="Calibri"/>
        </w:rPr>
        <w:instrText>ADDIN CSL_CITATION {"citationItems":[{"id":"ITEM-1","itemData":{"DOI":"10.1007/s11069-017-3111-0","ISSN":"15730840","abstract":"Communicating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Hazards","id":"ITEM-1","issued":{"date-parts":[["2018"]]},"page":"1461-1483","title":"How does information affect fire risk reduction behaviors? Mediating effects of cognitive processes and subjective knowledge","type":"article-journal","volume":"90"},"uris":["http://www.mendeley.com/documents/?uuid=b253cc58-5f59-4b2e-9c77-76be2b2788b4"]},{"id":"ITEM-2","itemData":{"DOI":"10.1061/(asce)nh.1527-6996.0000294","ISBN":"0000000167","ISSN":"1527-6988","abstract":"©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Review","id":"ITEM-2","issue":"3","issued":{"date-parts":[["2018"]]},"page":"1 - 21","title":"Flood Risk Assessment, Future Trend Modeling, and Risk Communication: A Review of Ongoing Research","type":"article-journal","volume":"19"},"uris":["http://www.mendeley.com/documents/?uuid=72f77961-1216-4228-ab43-b36cf7f2e2d4"]},{"id":"ITEM-3","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Hazards","id":"ITEM-3","issued":{"date-parts":[["2018"]]},"page":"1665-1686","publisher":"Springer Netherlands","title":"Rethinking flood risk communication","type":"article-journal","volume":"92"},"uris":["http://www.mendeley.com/documents/?uuid=a75b9d7a-46e6-41f1-a446-75375a9342c5"]},{"id":"ITEM-4","itemData":{"DOI":"10.1080/19371918.2021.2018082","ISSN":"1937190X","PMID":"34962187","abstract":"COVID-19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Health","id":"ITEM-4","issue":"5","issued":{"date-parts":[["2022"]]},"page":"419-434","title":"An Integrated Approach to COVID-19 Preventive Behaviour Intentions: Protection Motivation Theory, Information Acquisition, and Trust","type":"article-journal","volume":"37"},"uris":["http://www.mendeley.com/documents/?uuid=8abd72eb-8ae4-4af7-9da1-be357bf94394"]},{"id":"ITEM-5","itemData":{"DOI":"10.1016/j.ijdrr.2021.102759","ISSN":"22124209","abstract":"The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Reduction","id":"ITEM-5","issued":{"date-parts":[["2022"]]},"page":"1 - 16","title":"Determination of factors affecting the response efficacy of Filipinos under Typhoon Conson 2021 (Jolina): An extended protection motivation theory approach","type":"article-journal","volume":"70"},"uris":["http://www.mendeley.com/documents/?uuid=df8c524a-2262-493d-9e98-6620d59903d4"]}],"mendeley":{"formattedCitation":"(Acar &amp; Kıcali, 2022; Gumasing et al., 2022; Liu &amp; Jiao, 2018; Rollason et al., 2018; Salman &amp; Li, 2018)","plainTextFormattedCitation":"(Acar &amp; Kıcali, 2022; Gumasing et al., 2022; Liu &amp; Jiao, 2018; Rollason et al., 2018; Salman &amp; Li, 2018)","previouslyFormattedCitation":"(Acar &amp; Kıcali, 2022; Gumasing et al., 2022; Liu &amp; Jiao, 2018; Rollason et al., 2018; Salman &amp; Li, 2018)"},"properties":{"noteIndex":0},"schema":"https://github.com/citation-style-language/schema/raw/master/csl-citation.json"}</w:instrText>
      </w:r>
      <w:r>
        <w:rPr>
          <w:rFonts w:cs="Calibri"/>
        </w:rPr>
        <w:fldChar w:fldCharType="separate"/>
      </w:r>
      <w:r>
        <w:rPr>
          <w:rFonts w:cs="Calibri"/>
          <w:noProof/>
        </w:rPr>
        <w:t>(Acar &amp; Kıcali, 2022; Gumasing et al., 2022; Liu &amp; Jiao, 2018; Rollason et al., 2018; Salman &amp; Li, 2018)</w:t>
      </w:r>
      <w:r>
        <w:rPr>
          <w:rFonts w:cs="Calibri"/>
        </w:rPr>
        <w:fldChar w:fldCharType="end"/>
      </w:r>
      <w:r>
        <w:rPr>
          <w:rFonts w:cs="Calibri"/>
        </w:rPr>
        <w:t xml:space="preserve"> and indicates the use of the </w:t>
      </w:r>
      <w:r w:rsidR="00912954">
        <w:rPr>
          <w:rFonts w:cs="Calibri"/>
        </w:rPr>
        <w:t>D</w:t>
      </w:r>
      <w:r w:rsidR="004F7B90">
        <w:rPr>
          <w:rFonts w:cs="Calibri"/>
        </w:rPr>
        <w:t xml:space="preserve">eficit </w:t>
      </w:r>
      <w:r w:rsidR="00912954">
        <w:rPr>
          <w:rFonts w:cs="Calibri"/>
        </w:rPr>
        <w:t>M</w:t>
      </w:r>
      <w:r w:rsidR="004F7B90">
        <w:rPr>
          <w:rFonts w:cs="Calibri"/>
        </w:rPr>
        <w:t xml:space="preserve">odel </w:t>
      </w:r>
      <w:r>
        <w:fldChar w:fldCharType="begin" w:fldLock="1"/>
      </w:r>
      <w:r w:rsidR="00974B75">
        <w:rPr>
          <w:rFonts w:cs="Calibri"/>
        </w:rPr>
        <w:instrText>ADDIN CSL_CITATION {"citationItems":[{"id":"ITEM-1","itemData":{"DOI":"10.1016/j.proeng.2018.01.032","ISSN":"18777058","abstract":"The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Engineering","id":"ITEM-1","issued":{"date-parts":[["2018"]]},"page":"246-253","publisher":"Elsevier B.V.","title":"Conceptual Framework for Motivating Actions towards Disaster Preparedness Through Risk Communication","type":"article-journal","volume":"212"},"uris":["http://www.mendeley.com/documents/?uuid=01e245d0-867b-47cd-8164-80d2bc1d7862"]},{"id":"ITEM-2","itemData":{"DOI":"10.1016/j.gloenvcha.2019.03.001","ISSN":"09593780","abstract":"'Participation with publics' has been embraced in both government and academic literatures as a necessary but currently unrealized means of governing socio-environmental challenges. This near-universal embrace carries global significance. Long-standing efforts in the context of disaster risk reduction (DRR) provide an opportunity to consider how experts have positioned participation such that it can only fail to empower publics. Using interviews with risk managers, we demonstrate that they impose boundaries on participation via application of a deficit model (DM). Despite continuous calls to make governance more participatory, we explore how the boundaries imposed on participation persist because of how experts are expected to do risk management, and how experts understand their occupations. As a result, meaningful publics-experts interactions are bounded into impossibility. Following demonstration of the DM as the essence of how experts conceive experts-publics interactions, using experts' own suggestions for improving risk reduction, we suggest relationship building as a way of reinvigorating participation. We explore how disaster risk reduction grounded in relationships could overcome existing boundaries, offering an easily-applied reconceptualization for differentiating meaningful from superficial participation, as well as a viable alternative to prevailing participatory methods. Given the intransigence of countless socio-environmental challenges and the need for improved interactions amongst experts-publics, the findings offer a novel pathway that may open an avenue to realizing the promise of participation.","author":[{"dropping-particle":"","family":"Cook","given":"Brian R.","non-dropping-particle":"","parse-names":false,"suffix":""},{"dropping-particle":"","family":"Melo Zurita","given":"Maria de Lourdes","non-dropping-particle":"","parse-names":false,"suffix":""}],"container-title":"Global Environmental Change","id":"ITEM-2","issue":"May","issued":{"date-parts":[["2019"]]},"page":"56-65","publisher":"Elsevier Ltd","title":"Fulfilling the promise of participation by not resuscitating the deficit model","type":"article-journal","volume":"56"},"uris":["http://www.mendeley.com/documents/?uuid=de577b06-4442-4293-9291-43a20bc460b6"]},{"id":"ITEM-3","itemData":{"DOI":"10.1080/13669877.2020.1756385","ISSN":"14664461","abstract":"The emergence of the 2019 novel coronavirus has led to more than a pandemic—indeed, COVID-19 is spawning myriad other concerns as it rapidly marches around the globe. One of these concerns is a surge of misinformation, which we argue should be viewed as a risk in its own right, and to which insights from decades of risk communication research must be applied. Further, when the subject of misinformation is itself a risk, as in the case of COVID-19, we argue for the utility of viewing the problem as a multi-layered risk communication problem. In such circumstances, misinformation functions as a meta-risk that interacts with and complicates publics’ perceptions of the original risk. Therefore, as the COVID-19 “misinfodemic” intensifies, risk communication research should inform the efforts of key risk communicators. To this end, we discuss the implications of risk research for efforts to fact-check COVID-19 misinformation and offer practical recommendations.","author":[{"dropping-particle":"","family":"Krause","given":"Nicole M.","non-dropping-particle":"","parse-names":false,"suffix":""},{"dropping-particle":"","family":"Freiling","given":"Isabelle","non-dropping-particle":"","parse-names":false,"suffix":""},{"dropping-particle":"","family":"Beets","given":"Becca","non-dropping-particle":"","parse-names":false,"suffix":""},{"dropping-particle":"","family":"Brossard","given":"Dominique","non-dropping-particle":"","parse-names":false,"suffix":""}],"container-title":"Journal of Risk Research","id":"ITEM-3","issue":"7-8","issued":{"date-parts":[["2020"]]},"page":"1052-1059","publisher":"Routledge","title":"Fact-checking as risk communication: the multi-layered risk of misinformation in times of COVID-19","type":"article-journal","volume":"23"},"uris":["http://www.mendeley.com/documents/?uuid=26d3c928-b5da-4496-be25-28ce98d4ef48"]}],"mendeley":{"formattedCitation":"(Krause et al., 2020; Cook &amp; Melo Zurita, 2019; Abunyewah, Gajendran, &amp; Maund, 2018)","plainTextFormattedCitation":"(Krause et al., 2020; Cook &amp; Melo Zurita, 2019; Abunyewah, Gajendran, &amp; Maund, 2018)","previouslyFormattedCitation":"(Krause et al., 2020; Cook &amp; Melo Zurita, 2019; Abunyewah, Gajendran, &amp; Maund, 2018)"},"properties":{"noteIndex":0},"schema":"https://github.com/citation-style-language/schema/raw/master/csl-citation.json"}</w:instrText>
      </w:r>
      <w:r>
        <w:rPr>
          <w:rFonts w:cs="Calibri"/>
        </w:rPr>
        <w:fldChar w:fldCharType="separate"/>
      </w:r>
      <w:r>
        <w:rPr>
          <w:rFonts w:cs="Calibri"/>
          <w:noProof/>
        </w:rPr>
        <w:t>(Krause et al., 2020; Cook &amp; Melo Zurita, 2019; Abunyewah, Gajendran, &amp; Maund, 2018)</w:t>
      </w:r>
      <w:r>
        <w:rPr>
          <w:rFonts w:cs="Calibri"/>
        </w:rPr>
        <w:fldChar w:fldCharType="end"/>
      </w:r>
      <w:r>
        <w:rPr>
          <w:rFonts w:cs="Calibri"/>
        </w:rPr>
        <w:t>.</w:t>
      </w:r>
    </w:p>
    <w:p w14:paraId="4F637109" w14:textId="77777777" w:rsidR="004F6AAA" w:rsidRDefault="004F6AAA" w:rsidP="008661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p w14:paraId="5EF614F0" w14:textId="77777777" w:rsidR="00787F73" w:rsidRDefault="00742FB7" w:rsidP="008661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Pr>
          <w:rFonts w:eastAsia="Arial" w:cs="Calibri"/>
          <w:color w:val="000000"/>
        </w:rPr>
        <w:t>Community logics are a societal logic, which means that they can be experienced at different scales, including national and local. The South Yorkshire directness suggests a local community logic, however, wider community logics of social cohesion and support can be viewed from a national logic lens, as seen when discussing the Garden Fires campaign with the CM:</w:t>
      </w:r>
    </w:p>
    <w:p w14:paraId="218E334D" w14:textId="77777777" w:rsidR="00787F73" w:rsidRDefault="00742FB7" w:rsidP="00866155">
      <w:pPr>
        <w:pStyle w:val="Quote"/>
        <w:spacing w:line="360" w:lineRule="auto"/>
        <w:ind w:left="862" w:right="663"/>
        <w:jc w:val="left"/>
      </w:pPr>
      <w:r>
        <w:rPr>
          <w:rFonts w:cs="Calibri"/>
        </w:rPr>
        <w:t xml:space="preserve">“I saw some quite nasty debates on a couple of Facebook groups (…) people were coming in, being really sarcastic and stuff like that. So, we had a chat about how best we’d approach it, and we just thought, sod it, we’re going to go in quite hard and say, we want people not to have them, and wait until the recycling centre is open (…) we got a little bit of stick for that. But, again, </w:t>
      </w:r>
      <w:r>
        <w:rPr>
          <w:rFonts w:cs="Calibri"/>
        </w:rPr>
        <w:lastRenderedPageBreak/>
        <w:t xml:space="preserve">we try to play on the community coming together line. We’re in a bit of a mess. Let’s all work together. (…) we created a page on our website, where people could go and fill out a very short form to pledge that they wouldn’t have a garden fire during lockdown, which was a bit cheesy.” (CM </w:t>
      </w:r>
      <w:r w:rsidR="006A7A2E">
        <w:rPr>
          <w:rFonts w:cs="Calibri"/>
        </w:rPr>
        <w:t xml:space="preserve">interview, </w:t>
      </w:r>
      <w:r>
        <w:rPr>
          <w:rFonts w:cs="Calibri"/>
        </w:rPr>
        <w:t>29.06.20)</w:t>
      </w:r>
      <w:r>
        <w:rPr>
          <w:rFonts w:cs="Calibri"/>
        </w:rPr>
        <w:br/>
      </w:r>
    </w:p>
    <w:p w14:paraId="6752CAF7" w14:textId="4928772D" w:rsidR="00787F73" w:rsidRDefault="00C84401" w:rsidP="00866155">
      <w:pPr>
        <w:rPr>
          <w:rFonts w:cs="Calibri"/>
        </w:rPr>
      </w:pPr>
      <w:r w:rsidRPr="00010F12">
        <w:rPr>
          <w:rFonts w:cs="Calibri"/>
        </w:rPr>
        <w:t>While</w:t>
      </w:r>
      <w:r w:rsidR="00742FB7">
        <w:rPr>
          <w:rFonts w:cs="Calibri"/>
        </w:rPr>
        <w:t xml:space="preserve"> the direct approach was viewed positively in the previous quote discussing sky lanterns, it was not as well received on the topic of garden fires with the CM noting they got some </w:t>
      </w:r>
      <w:r w:rsidR="00742FB7">
        <w:rPr>
          <w:rFonts w:cs="Calibri"/>
          <w:i/>
          <w:iCs/>
        </w:rPr>
        <w:t>stick</w:t>
      </w:r>
      <w:r w:rsidR="00742FB7">
        <w:rPr>
          <w:rFonts w:cs="Calibri"/>
        </w:rPr>
        <w:t xml:space="preserve">. This is perhaps due to the dates of these social media posts. The sky lantern post was in the early days of the first COVID-19 lockdown, and the Garden Fires post was three months into strict COVID-19 measures. As explored in the logic’s literature, there can be an element of temporality, with community logics changing and adapting over time with situational constrained temporalities </w:t>
      </w:r>
      <w:r w:rsidR="00742FB7">
        <w:fldChar w:fldCharType="begin" w:fldLock="1"/>
      </w:r>
      <w:r w:rsidR="00974B75">
        <w:rPr>
          <w:rFonts w:cs="Calibri"/>
        </w:rPr>
        <w:instrText>ADDIN CSL_CITATION {"citationItems":[{"id":"ITEM-1","itemData":{"DOI":"10.1177/0170840615604503","ISSN":"17413044","abstract":"Our study examines how interdependent actors in a professionalized context interpret the co-occurrence of a professional logic and a policy-driven logic. The empirical setting comprises two hospitals in the English National Health Service. Two issues stand out. First, our study shows that any logic is variegated and ambiguous, so policymakers and organizational managers cannot assume that they are easily blended. Second, it shows how nurse consultants exhibit agency in blending these two logics in pursuit of positional gain in professional and managerial organization. They can do so because of their ambiguous status level: in comparison to doctors, their status as nurses is low; within the nursing profession their status is high. Theoretically, by focusing upon interpretation of multiple institutional logics at the micro level, our study renders visible the agency of interpreting actors, interdependency of actors, their interpretation of institutional logics, situational context, and the effect of, and upon, social position of actors.","author":[{"dropping-particle":"","family":"Currie","given":"Graeme","non-dropping-particle":"","parse-names":false,"suffix":""},{"dropping-particle":"","family":"Spyridonidis","given":"Dimitrios","non-dropping-particle":"","parse-names":false,"suffix":""}],"container-title":"Organization Studies","id":"ITEM-1","issue":"1","issued":{"date-parts":[["2016"]]},"page":"77-97","title":"Interpretation of Multiple Institutional Logics on the Ground: Actors’ Position, their Agency and Situational Constraints in Professionalized Contexts","type":"article-journal","volume":"37"},"uris":["http://www.mendeley.com/documents/?uuid=be657142-d26b-4dc5-bf61-aff1e8d069fa"]},{"id":"ITEM-2","itemData":{"DOI":"10.1007/s10551-017-3775-0","ISBN":"1055101737750","ISSN":"15730697","abstract":"This study examines how institutional logics interplay in a cross-sector social partnership that manages refugee integration in a rural district in Germany. In an inductive 15-month case study that drew on interviews and observations, we observe the dynamic materialization of institutional logics in day-to-day practices and an increasing contradiction and even rivalry between community- and market-based institutional logics over time. As a result, we delineate a model explaining the interplay of institutional logics along two dimensions: the dominance of one salient logic and whether conflicts arise among logics. Our analysis also addresses the unifying properties of community as an institutional logic, especially in the context of urgency conditions. In addition, we show the influence of exogenous events and their media coverage on the interplay and conflicts of institutional logics. By unfolding the complexity of refugee integration—one of the global grand challenges of the present—we deepen the current understanding of the specific challenges addressed by cross-sector social partnerships.","author":[{"dropping-particle":"","family":"Hesse","given":"Andreas","non-dropping-particle":"","parse-names":false,"suffix":""},{"dropping-particle":"","family":"Kreutzer","given":"Karin","non-dropping-particle":"","parse-names":false,"suffix":""},{"dropping-particle":"","family":"Diehl","given":"Marjo Riitta","non-dropping-particle":"","parse-names":false,"suffix":""}],"container-title":"Journal of Business Ethics","id":"ITEM-2","issued":{"date-parts":[["2019"]]},"page":"679-704","title":"Dynamics of Institutional Logics in a Cross-Sector Social Partnership: The Case of Refugee Integration in Germany","type":"article-journal","volume":"159"},"uris":["http://www.mendeley.com/documents/?uuid=72ea7223-f32f-42e0-8843-5be6e7e0fe2e"]}],"mendeley":{"formattedCitation":"(Hesse, Kreutzer, &amp; Diehl, 2019; Currie &amp; Spyridonidis, 2016)","plainTextFormattedCitation":"(Hesse, Kreutzer, &amp; Diehl, 2019; Currie &amp; Spyridonidis, 2016)","previouslyFormattedCitation":"(Hesse, Kreutzer, &amp; Diehl, 2019; Currie &amp; Spyridonidis, 2016)"},"properties":{"noteIndex":0},"schema":"https://github.com/citation-style-language/schema/raw/master/csl-citation.json"}</w:instrText>
      </w:r>
      <w:r w:rsidR="00742FB7">
        <w:rPr>
          <w:rFonts w:cs="Calibri"/>
        </w:rPr>
        <w:fldChar w:fldCharType="separate"/>
      </w:r>
      <w:r w:rsidR="00742FB7">
        <w:rPr>
          <w:rFonts w:cs="Calibri"/>
          <w:noProof/>
        </w:rPr>
        <w:t>(Hesse, Kreutzer, &amp; Diehl, 2019; Currie &amp; Spyridonidis, 2016)</w:t>
      </w:r>
      <w:r w:rsidR="00742FB7">
        <w:rPr>
          <w:rFonts w:cs="Calibri"/>
        </w:rPr>
        <w:fldChar w:fldCharType="end"/>
      </w:r>
      <w:r w:rsidR="00742FB7">
        <w:rPr>
          <w:rFonts w:cs="Calibri"/>
        </w:rPr>
        <w:t xml:space="preserve"> highlighting the importance of context. </w:t>
      </w:r>
      <w:r w:rsidR="0009791A">
        <w:rPr>
          <w:rFonts w:cs="Calibri"/>
        </w:rPr>
        <w:t>The</w:t>
      </w:r>
      <w:r w:rsidR="00742FB7">
        <w:rPr>
          <w:rFonts w:cs="Calibri"/>
        </w:rPr>
        <w:t xml:space="preserve"> sky lanterns and garden fires</w:t>
      </w:r>
      <w:r w:rsidR="0009791A">
        <w:rPr>
          <w:rFonts w:cs="Calibri"/>
        </w:rPr>
        <w:t xml:space="preserve"> campaigns</w:t>
      </w:r>
      <w:r w:rsidR="00742FB7">
        <w:rPr>
          <w:rFonts w:cs="Calibri"/>
        </w:rPr>
        <w:t xml:space="preserve"> perhaps </w:t>
      </w:r>
      <w:r w:rsidR="0009791A">
        <w:rPr>
          <w:rFonts w:cs="Calibri"/>
        </w:rPr>
        <w:t>indicate</w:t>
      </w:r>
      <w:r w:rsidR="00A14A72">
        <w:rPr>
          <w:rFonts w:cs="Calibri"/>
        </w:rPr>
        <w:t xml:space="preserve"> </w:t>
      </w:r>
      <w:r w:rsidR="00742FB7">
        <w:rPr>
          <w:rFonts w:cs="Calibri"/>
        </w:rPr>
        <w:t xml:space="preserve">a sign of fatigue from direct messages from public agencies during a time when individuals were being placed under very strict social distancing laws. </w:t>
      </w:r>
    </w:p>
    <w:p w14:paraId="6E415632" w14:textId="77777777" w:rsidR="0009791A" w:rsidRDefault="0009791A" w:rsidP="00866155"/>
    <w:p w14:paraId="5B94AEA7" w14:textId="71829FB4" w:rsidR="00787F73" w:rsidRDefault="00742FB7" w:rsidP="00866155">
      <w:r>
        <w:t xml:space="preserve">This quote (CM 29.06.20) also notes another indicator of a community logic, of </w:t>
      </w:r>
      <w:r>
        <w:rPr>
          <w:i/>
        </w:rPr>
        <w:t>coming together</w:t>
      </w:r>
      <w:r>
        <w:t xml:space="preserve">, which can be viewed as a more traditional identity of community </w:t>
      </w:r>
      <w:r>
        <w:fldChar w:fldCharType="begin" w:fldLock="1"/>
      </w:r>
      <w:r w:rsidR="00974B75">
        <w:instrText>ADDIN CSL_CITATION {"citationItems":[{"id":"ITEM-1","itemData":{"DOI":"10.1177/26317877231153189","ISSN":"26317877","abstract":"More than a decade ago, Thornton and colleagues added community to the inter-institutional system and argued that the community logic shapes individual and organizational behavior, determines organizing principles, and influences community–organization relationships. In justifying this addition and defining the ideal type, they drew mostly upon the literature on local communities and organizations. However, the increasing relevance of other types of communities to organization studies necessitates a re-examination and further specification of this framework. This article starts with a review of 172 papers from highly ranked organization and management journals over the last 30 years and summarizes insights on four types of communities for which discussion has flourished: communities of place, of practice, of users, and of firms. This is followed by pattern matching to explore whether these four types follow the initial description of the community logic. We find four variants of the community logic, one for each type of community. We show that all the reviewed types organize around a common boundary, which yields a new definition of the community logic. This commonality also offers scope for comparative research and reconceptualization of community–organization relationships. Furthermore, by specifying the organizing principles that vary, we extend previous research and explicate the main underpinnings of community organizing. The paper ends by suggesting avenues for future research that further embrace an institutional logics perspective on communities.","author":[{"dropping-particle":"","family":"Georgiou","given":"Andreas","non-dropping-particle":"","parse-names":false,"suffix":""},{"dropping-particle":"","family":"Arenas","given":"Daniel","non-dropping-particle":"","parse-names":false,"suffix":""}],"container-title":"Organization Theory","id":"ITEM-1","issue":"1","issued":{"date-parts":[["2023"]]},"page":"1 - 22","title":"Community in Organizational Research: A Review and an Institutional Logics Perspective","type":"article-journal","volume":"4"},"uris":["http://www.mendeley.com/documents/?uuid=274159f8-f7d3-48e3-b741-3084622498f1"]}],"mendeley":{"formattedCitation":"(Georgiou &amp; Arenas, 2023)","plainTextFormattedCitation":"(Georgiou &amp; Arenas, 2023)","previouslyFormattedCitation":"(Georgiou &amp; Arenas, 2023)"},"properties":{"noteIndex":0},"schema":"https://github.com/citation-style-language/schema/raw/master/csl-citation.json"}</w:instrText>
      </w:r>
      <w:r>
        <w:fldChar w:fldCharType="separate"/>
      </w:r>
      <w:r>
        <w:rPr>
          <w:noProof/>
        </w:rPr>
        <w:t>(Georgiou &amp; Arenas, 2023)</w:t>
      </w:r>
      <w:r>
        <w:fldChar w:fldCharType="end"/>
      </w:r>
      <w:r>
        <w:t>. This was seen to increase during the initial COVID-19 lockdowns, with the creation of mutual aid groups, which aimed for local people to support each other in their times of need. This suggests that there was a new community COVID-19 logic of supporting one another, which SYFR acknowledged and was able to adopt into their communication style to help influence behaviour change</w:t>
      </w:r>
      <w:r w:rsidR="00DE1B04">
        <w:t>.</w:t>
      </w:r>
      <w:r>
        <w:t xml:space="preserve"> </w:t>
      </w:r>
      <w:r w:rsidR="00DE1B04">
        <w:t>This implies that</w:t>
      </w:r>
      <w:r>
        <w:t xml:space="preserve"> SYFR used the community logics of the area to shape their communication style and approach, effectively combining multiple logics within an institutional pluralistic environment. </w:t>
      </w:r>
      <w:r>
        <w:br/>
      </w:r>
    </w:p>
    <w:p w14:paraId="71FD2B7C" w14:textId="77777777" w:rsidR="00787F73" w:rsidRDefault="00742FB7" w:rsidP="00866155">
      <w:r>
        <w:rPr>
          <w:rFonts w:cs="Calibri"/>
        </w:rPr>
        <w:t>This demonstrates that the societal logic of community is an institutional driver of SYFR’s communication style</w:t>
      </w:r>
      <w:r w:rsidR="00B207A5">
        <w:rPr>
          <w:rFonts w:cs="Calibri"/>
        </w:rPr>
        <w:t>,</w:t>
      </w:r>
      <w:r>
        <w:rPr>
          <w:rFonts w:cs="Calibri"/>
        </w:rPr>
        <w:t xml:space="preserve"> and influences how and what they discuss online. Communities are socially </w:t>
      </w:r>
      <w:r>
        <w:t xml:space="preserve">constructed and therefore can be flexible and dynamic, suggesting that the community logics can shift and adapt under changing context, such as COVID-19. Within the </w:t>
      </w:r>
      <w:r>
        <w:lastRenderedPageBreak/>
        <w:t xml:space="preserve">context of COVID-19 there was </w:t>
      </w:r>
      <w:r>
        <w:rPr>
          <w:rFonts w:cs="Calibri"/>
        </w:rPr>
        <w:t xml:space="preserve">a shifting and adapting of a variety of institutional logics, from the national government with social distancing laws, to the community and the fluctuating community dynamics (discussed in section 5.4). </w:t>
      </w:r>
    </w:p>
    <w:p w14:paraId="187A26B1" w14:textId="77777777" w:rsidR="00787F73" w:rsidRDefault="00787F73" w:rsidP="00866155">
      <w:pPr>
        <w:rPr>
          <w:rFonts w:cs="Calibri"/>
        </w:rPr>
      </w:pPr>
    </w:p>
    <w:p w14:paraId="212B047B" w14:textId="3B35B9D2" w:rsidR="00787F73" w:rsidRDefault="00742FB7" w:rsidP="00866155">
      <w:r>
        <w:rPr>
          <w:rFonts w:cs="Calibri"/>
        </w:rPr>
        <w:t xml:space="preserve">The societal logics of the state and community influence SYFR’s communication strategy, and their wider approach to communication. The state logics influence the types of topics that they discuss and communicate, such as prevention for fires which is a statutory obligation from the FRSA (2004), or response and recovery from flooding and COVID-19 which is an obligation from the CCA (2004). These state logics are then combined with the community logics of South Yorkshire, which influences how SYFR communicate the prevention, or response and recovery messages that ensure institutional legitimacy within these institutions. </w:t>
      </w:r>
      <w:r w:rsidR="00C84401" w:rsidRPr="00010F12">
        <w:rPr>
          <w:rFonts w:cs="Calibri"/>
        </w:rPr>
        <w:t>While</w:t>
      </w:r>
      <w:r>
        <w:rPr>
          <w:rFonts w:cs="Calibri"/>
        </w:rPr>
        <w:t xml:space="preserve"> the state logics are more central to SYFR’s functioning , the community logics influence how those messages are communicated and therefore these two macro sets of logics (community and state) in these circumstances are compatible </w:t>
      </w:r>
      <w:r>
        <w:fldChar w:fldCharType="begin" w:fldLock="1"/>
      </w:r>
      <w:r w:rsidR="00C541CC">
        <w:rPr>
          <w:rFonts w:cs="Calibri"/>
        </w:rPr>
        <w:instrText>ADDIN CSL_CITATION {"citationItems":[{"id":"ITEM-1","itemData":{"author":[{"dropping-particle":"","family":"Besharov","given":"Marya L.","non-dropping-particle":"","parse-names":false,"suffix":""},{"dropping-particle":"","family":"Smith","given":"Wendy K.","non-dropping-particle":"","parse-names":false,"suffix":""}],"container-title":"The Academy of Management Review","id":"ITEM-1","issue":"3","issued":{"date-parts":[["2014"]]},"page":"364-381","title":"Multiple Institutional Logics In Organizations: Explaining Their Varied Nature And Implications","type":"article-journal","volume":"39"},"uris":["http://www.mendeley.com/documents/?uuid=57cbbf37-05be-48a2-ad9d-1095a2aeb8e5"]}],"mendeley":{"formattedCitation":"(Besharov &amp; Smith, 2014)","plainTextFormattedCitation":"(Besharov &amp; Smith, 2014)","previouslyFormattedCitation":"(Besharov &amp; Smith, 2014)"},"properties":{"noteIndex":0},"schema":"https://github.com/citation-style-language/schema/raw/master/csl-citation.json"}</w:instrText>
      </w:r>
      <w:r>
        <w:rPr>
          <w:rFonts w:cs="Calibri"/>
        </w:rPr>
        <w:fldChar w:fldCharType="separate"/>
      </w:r>
      <w:r w:rsidR="00C541CC" w:rsidRPr="00C541CC">
        <w:rPr>
          <w:rFonts w:cs="Calibri"/>
          <w:noProof/>
        </w:rPr>
        <w:t>(Besharov &amp; Smith, 2014)</w:t>
      </w:r>
      <w:r>
        <w:rPr>
          <w:rFonts w:cs="Calibri"/>
        </w:rPr>
        <w:fldChar w:fldCharType="end"/>
      </w:r>
      <w:r>
        <w:rPr>
          <w:rFonts w:cs="Calibri"/>
        </w:rPr>
        <w:t xml:space="preserve">. SYFR are not only influenced by the macro societal logics, but also smaller field-level logics including their professional training and backgrounds.  </w:t>
      </w:r>
    </w:p>
    <w:p w14:paraId="0A57B4A9" w14:textId="77777777" w:rsidR="00787F73" w:rsidRDefault="00787F73" w:rsidP="00866155">
      <w:pPr>
        <w:rPr>
          <w:rFonts w:cs="Calibri"/>
        </w:rPr>
      </w:pPr>
    </w:p>
    <w:p w14:paraId="61BA5FEE" w14:textId="77777777" w:rsidR="00787F73" w:rsidRDefault="00742FB7" w:rsidP="00866155">
      <w:pPr>
        <w:pStyle w:val="Heading2"/>
      </w:pPr>
      <w:bookmarkStart w:id="889" w:name="_Toc158047145"/>
      <w:bookmarkStart w:id="890" w:name="_Toc158047186"/>
      <w:bookmarkStart w:id="891" w:name="_Toc158046806"/>
      <w:bookmarkStart w:id="892" w:name="_Toc152262919"/>
      <w:bookmarkStart w:id="893" w:name="_Toc153554358"/>
      <w:bookmarkStart w:id="894" w:name="_Toc158216464"/>
      <w:bookmarkStart w:id="895" w:name="_Toc158216654"/>
      <w:bookmarkStart w:id="896" w:name="_Toc193367245"/>
      <w:r>
        <w:t>5.3: Field-level logics</w:t>
      </w:r>
      <w:bookmarkEnd w:id="889"/>
      <w:bookmarkEnd w:id="890"/>
      <w:bookmarkEnd w:id="891"/>
      <w:bookmarkEnd w:id="892"/>
      <w:bookmarkEnd w:id="893"/>
      <w:bookmarkEnd w:id="894"/>
      <w:bookmarkEnd w:id="895"/>
      <w:bookmarkEnd w:id="896"/>
    </w:p>
    <w:p w14:paraId="45FF1191" w14:textId="77777777" w:rsidR="00787F73" w:rsidRDefault="00742FB7" w:rsidP="00866155">
      <w:pPr>
        <w:pStyle w:val="Heading3"/>
      </w:pPr>
      <w:bookmarkStart w:id="897" w:name="_Toc158047146"/>
      <w:bookmarkStart w:id="898" w:name="_Toc149057686"/>
      <w:bookmarkStart w:id="899" w:name="_Toc158047187"/>
      <w:bookmarkStart w:id="900" w:name="_Toc158216655"/>
      <w:bookmarkStart w:id="901" w:name="_Toc152262920"/>
      <w:bookmarkStart w:id="902" w:name="_Toc158216465"/>
      <w:bookmarkStart w:id="903" w:name="_Toc149250345"/>
      <w:bookmarkStart w:id="904" w:name="_Toc152088988"/>
      <w:bookmarkStart w:id="905" w:name="_Toc149250232"/>
      <w:bookmarkStart w:id="906" w:name="_Toc98148468"/>
      <w:bookmarkStart w:id="907" w:name="_Toc193367246"/>
      <w:r>
        <w:t>5.3.1: Communication profession logic</w:t>
      </w:r>
      <w:bookmarkEnd w:id="897"/>
      <w:bookmarkEnd w:id="898"/>
      <w:bookmarkEnd w:id="899"/>
      <w:bookmarkEnd w:id="900"/>
      <w:bookmarkEnd w:id="901"/>
      <w:bookmarkEnd w:id="902"/>
      <w:bookmarkEnd w:id="903"/>
      <w:bookmarkEnd w:id="904"/>
      <w:bookmarkEnd w:id="905"/>
      <w:bookmarkEnd w:id="906"/>
      <w:bookmarkEnd w:id="907"/>
    </w:p>
    <w:p w14:paraId="6551B4ED" w14:textId="466DEE8B" w:rsidR="00787F73" w:rsidRDefault="00742FB7" w:rsidP="00866155">
      <w:r>
        <w:rPr>
          <w:rFonts w:cs="Calibri"/>
        </w:rPr>
        <w:t xml:space="preserve">The SYFR Communications team work within the public sector communication profession, and as such there are practices, assumptions, values and beliefs </w:t>
      </w:r>
      <w:r>
        <w:fldChar w:fldCharType="begin" w:fldLock="1"/>
      </w:r>
      <w:r w:rsidR="00D177B9">
        <w:rPr>
          <w:rFonts w:cs="Calibri"/>
        </w:rPr>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Process","type":"book"},"uris":["http://www.mendeley.com/documents/?uuid=7afe7588-cd0b-4a95-b78a-3214c1130169"]},{"id":"ITEM-2","itemData":{"DOI":"10.1177/017084069701800204","ISBN":"01708406","ISSN":"0170-8406","PMID":"9707225788","abstract":"The focus of this paper is to examine the responses to institutional isomorph ism in one area of the public sector — universities. As an example, one particu lar organizational practice is examined — performance appraisal — and its implications for one group of professionals — academics. In doing so, some of the sources of variation in responses to institutional pressures are illustrated and the strategies of resistance actors engage in to resist such pressures. It is suggested that the concept of institutional logic is an important element in influencing responses to isomorphism, providing a repertoire of beliefs with which to contest concepts of legitimacy.","author":[{"dropping-particle":"","family":"Townley","given":"Barbara","non-dropping-particle":"","parse-names":false,"suffix":""}],"container-title":"Organization Studies","id":"ITEM-2","issue":"2","issued":{"date-parts":[["1997"]]},"page":"261-285","title":"Logic of Performance Appraisal","type":"article-journal","volume":"18"},"uris":["http://www.mendeley.com/documents/?uuid=3956e178-7c7b-4649-90dd-0750fde9fde0"]},{"id":"ITEM-3","itemData":{"DOI":"10.1108/S0733-558X201600048A001","author":[{"dropping-particle":"","family":"Glaser","given":"Vern L","non-dropping-particle":"","parse-names":false,"suffix":""},{"dropping-particle":"","family":"Fast","given":"Nathanael J","non-dropping-particle":"","parse-names":false,"suffix":""},{"dropping-particle":"","family":"Harmon","given":"Derek J","non-dropping-particle":"","parse-names":false,"suffix":""},{"dropping-particle":"","family":"Green","given":"Sandy E","non-dropping-particle":"","parse-names":false,"suffix":""}],"chapter-number":"2","container-title":"How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-3","issued":{"date-parts":[["2016"]]},"page":"35-70","publisher":"Emerald Group Publishing Limited","title":"Institutional Frame Switching: How Institutional Logics Shape Individual Action","type":"chapter","volume":"48A"},"uris":["http://www.mendeley.com/documents/?uuid=8ac9f37b-5be1-4297-bd70-0abc13a22de3"]},{"id":"ITEM-4","itemData":{"DOI":"10.1177/1476127015625040","author":[{"dropping-particle":"","family":"Ocasio","given":"William","non-dropping-particle":"","parse-names":false,"suffix":""},{"dropping-particle":"","family":"Radoynovska","given":"Nevena","non-dropping-particle":"","parse-names":false,"suffix":""}],"container-title":"Strategic Organization","id":"ITEM-4","issue":"4","issued":{"date-parts":[["2016"]]},"page":"287 - 309","title":"Strategy and commitments to institutional logics : Organizational heterogeneity in business models and governance","type":"article-journal","volume":"14"},"uris":["http://www.mendeley.com/documents/?uuid=eede86b6-3a39-4b52-acc9-94e8cc3fbd5e"]}],"mendeley":{"formattedCitation":"(Glaser et al., 2016; Ocasio &amp; Radoynovska, 2016; Thornton, Ocasio, &amp; Lounsbury, 2012; Townley, 1997)","plainTextFormattedCitation":"(Glaser et al., 2016; Ocasio &amp; Radoynovska, 2016; Thornton, Ocasio, &amp; Lounsbury, 2012; Townley, 1997)","previouslyFormattedCitation":"(Glaser et al., 2016; Ocasio &amp; Radoynovska, 2016; Thornton, Ocasio, &amp; Lounsbury, 2012; Townley, 1997)"},"properties":{"noteIndex":0},"schema":"https://github.com/citation-style-language/schema/raw/master/csl-citation.json"}</w:instrText>
      </w:r>
      <w:r>
        <w:rPr>
          <w:rFonts w:cs="Calibri"/>
        </w:rPr>
        <w:fldChar w:fldCharType="separate"/>
      </w:r>
      <w:r w:rsidR="00E37B0E" w:rsidRPr="00E37B0E">
        <w:rPr>
          <w:rFonts w:cs="Calibri"/>
          <w:noProof/>
        </w:rPr>
        <w:t>(Glaser et al., 2016; Ocasio &amp; Radoynovska, 2016; Thornton, Ocasio, &amp; Lounsbury, 2012; Townley, 1997)</w:t>
      </w:r>
      <w:r>
        <w:rPr>
          <w:rFonts w:cs="Calibri"/>
        </w:rPr>
        <w:fldChar w:fldCharType="end"/>
      </w:r>
      <w:r>
        <w:rPr>
          <w:rFonts w:cs="Calibri"/>
        </w:rPr>
        <w:t xml:space="preserve"> which influence the daily lives and communication strategy of SYFR. The communication profession logic not only brings a sense of identity to the SYFR Communications team but can also be viewed as joining a community of practitioners</w:t>
      </w:r>
      <w:r w:rsidR="00DE1B04">
        <w:rPr>
          <w:rFonts w:cs="Calibri"/>
        </w:rPr>
        <w:t>.</w:t>
      </w:r>
      <w:r>
        <w:rPr>
          <w:rFonts w:cs="Calibri"/>
        </w:rPr>
        <w:t xml:space="preserve"> </w:t>
      </w:r>
      <w:r w:rsidR="00DE1B04">
        <w:rPr>
          <w:rFonts w:cs="Calibri"/>
        </w:rPr>
        <w:t xml:space="preserve">This </w:t>
      </w:r>
      <w:r>
        <w:rPr>
          <w:rFonts w:cs="Calibri"/>
        </w:rPr>
        <w:t>was seen with their membership to groups such as FirePro which was a group containing communications professionals within FRS across England. This indicates a nesting of logics, with a wider communication logic, then becoming concentrated down to a public sector communication logic, and emergency services communication logics (as shown in Figure 19)</w:t>
      </w:r>
      <w:r w:rsidR="00DE1B04">
        <w:rPr>
          <w:rFonts w:cs="Calibri"/>
        </w:rPr>
        <w:t>.</w:t>
      </w:r>
      <w:r>
        <w:rPr>
          <w:rFonts w:cs="Calibri"/>
        </w:rPr>
        <w:t xml:space="preserve"> </w:t>
      </w:r>
      <w:r w:rsidR="00DE1B04">
        <w:rPr>
          <w:rFonts w:cs="Calibri"/>
        </w:rPr>
        <w:t>This</w:t>
      </w:r>
      <w:r>
        <w:rPr>
          <w:rFonts w:cs="Calibri"/>
        </w:rPr>
        <w:t xml:space="preserve"> suggests an institutionally complex environment. </w:t>
      </w:r>
    </w:p>
    <w:p w14:paraId="0A96CC5B" w14:textId="77777777" w:rsidR="00787F73" w:rsidRDefault="00787F73" w:rsidP="00866155">
      <w:pPr>
        <w:rPr>
          <w:rFonts w:cs="Calibri"/>
        </w:rPr>
      </w:pPr>
    </w:p>
    <w:p w14:paraId="562A73E2" w14:textId="77777777" w:rsidR="00787F73" w:rsidRDefault="00742FB7" w:rsidP="00866155">
      <w:pPr>
        <w:keepNext/>
        <w:jc w:val="center"/>
      </w:pPr>
      <w:r>
        <w:rPr>
          <w:noProof/>
        </w:rPr>
        <w:lastRenderedPageBreak/>
        <w:drawing>
          <wp:inline distT="0" distB="0" distL="0" distR="0" wp14:anchorId="7969E51B" wp14:editId="6E873178">
            <wp:extent cx="5077460" cy="3397250"/>
            <wp:effectExtent l="0" t="0" r="0" b="0"/>
            <wp:docPr id="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6"/>
                    <pic:cNvPicPr>
                      <a:picLocks noChangeAspect="1" noChangeArrowheads="1"/>
                    </pic:cNvPicPr>
                  </pic:nvPicPr>
                  <pic:blipFill>
                    <a:blip r:embed="rId36"/>
                    <a:stretch>
                      <a:fillRect/>
                    </a:stretch>
                  </pic:blipFill>
                  <pic:spPr bwMode="auto">
                    <a:xfrm>
                      <a:off x="0" y="0"/>
                      <a:ext cx="5077460" cy="3397250"/>
                    </a:xfrm>
                    <a:prstGeom prst="rect">
                      <a:avLst/>
                    </a:prstGeom>
                  </pic:spPr>
                </pic:pic>
              </a:graphicData>
            </a:graphic>
          </wp:inline>
        </w:drawing>
      </w:r>
    </w:p>
    <w:p w14:paraId="35AC811D" w14:textId="697E4D5D" w:rsidR="00787F73" w:rsidRDefault="00742FB7" w:rsidP="00866155">
      <w:pPr>
        <w:pStyle w:val="caption1"/>
        <w:jc w:val="center"/>
      </w:pPr>
      <w:bookmarkStart w:id="908" w:name="_Toc193367297"/>
      <w:r>
        <w:t xml:space="preserve">Figure </w:t>
      </w:r>
      <w:r>
        <w:fldChar w:fldCharType="begin"/>
      </w:r>
      <w:r>
        <w:instrText xml:space="preserve"> SEQ Figure \* ARABIC </w:instrText>
      </w:r>
      <w:r>
        <w:fldChar w:fldCharType="separate"/>
      </w:r>
      <w:r w:rsidR="00132F53">
        <w:rPr>
          <w:noProof/>
        </w:rPr>
        <w:t>19</w:t>
      </w:r>
      <w:r>
        <w:rPr>
          <w:noProof/>
        </w:rPr>
        <w:fldChar w:fldCharType="end"/>
      </w:r>
      <w:r>
        <w:t>: Nesting of communication logics; Source: Author</w:t>
      </w:r>
      <w:bookmarkEnd w:id="908"/>
    </w:p>
    <w:p w14:paraId="35E21179" w14:textId="77777777" w:rsidR="00787F73" w:rsidRDefault="00787F73" w:rsidP="00866155">
      <w:pPr>
        <w:rPr>
          <w:rFonts w:cs="Calibri"/>
        </w:rPr>
      </w:pPr>
    </w:p>
    <w:p w14:paraId="3CC523ED" w14:textId="77777777" w:rsidR="00787F73" w:rsidRDefault="00742FB7" w:rsidP="00866155">
      <w:pPr>
        <w:rPr>
          <w:rFonts w:cs="Calibri"/>
        </w:rPr>
      </w:pPr>
      <w:r>
        <w:rPr>
          <w:rFonts w:cs="Calibri"/>
        </w:rPr>
        <w:t>These different communication professional logics (public sector or emergency service) influence SYFR’s communication dependant on the context. For instance, during the 2019 flooding in South Yorkshire, the SM noted different communication styles between the different organisations responding to the flooding:</w:t>
      </w:r>
    </w:p>
    <w:p w14:paraId="7709CB40" w14:textId="77777777" w:rsidR="004F6AAA" w:rsidRDefault="004F6AAA" w:rsidP="00866155"/>
    <w:p w14:paraId="7200142F" w14:textId="77777777" w:rsidR="00787F73" w:rsidRDefault="00742FB7" w:rsidP="00866155">
      <w:pPr>
        <w:spacing w:before="120" w:after="120"/>
        <w:ind w:left="720" w:right="663"/>
      </w:pPr>
      <w:r>
        <w:rPr>
          <w:rStyle w:val="QuoteChar"/>
          <w:rFonts w:eastAsia="Arial" w:cs="Calibri"/>
        </w:rPr>
        <w:t>“… in the blue-light services, we’re fairly used to dealing with crisis situations and emergency comms (…) whereas the local authorities, all the different council comms teams, probably went into a bit of panic mode around it and didn’t really seem to have a clear strategy for what they were doing in terms of the comms. We had a strategy (…) we probably should have shared it with everyone. Because it was kind of in our heads and based on gut. And our strategy was basically safety, so it was about telling people don’t enter floodwater, because the first priority was to protect life. The second thing was about reassurance, so actually explaining to people the work that we were doing in operational terms</w:t>
      </w:r>
      <w:r>
        <w:rPr>
          <w:rFonts w:eastAsia="Arial" w:cs="Calibri"/>
          <w:i/>
          <w:color w:val="538135"/>
        </w:rPr>
        <w:t>.</w:t>
      </w:r>
      <w:r>
        <w:rPr>
          <w:rFonts w:eastAsia="Arial" w:cs="Calibri"/>
          <w:color w:val="000000"/>
        </w:rPr>
        <w:t>” (SM</w:t>
      </w:r>
      <w:r w:rsidR="006A7A2E">
        <w:rPr>
          <w:rFonts w:eastAsia="Arial" w:cs="Calibri"/>
          <w:color w:val="000000"/>
        </w:rPr>
        <w:t xml:space="preserve"> interview,</w:t>
      </w:r>
      <w:r>
        <w:rPr>
          <w:rFonts w:eastAsia="Arial" w:cs="Calibri"/>
          <w:color w:val="000000"/>
        </w:rPr>
        <w:t xml:space="preserve"> 25.11.19)</w:t>
      </w:r>
    </w:p>
    <w:p w14:paraId="08134E28" w14:textId="69456132" w:rsidR="00787F73" w:rsidRDefault="00C84401"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sidRPr="00010F12">
        <w:rPr>
          <w:rFonts w:cs="Calibri"/>
        </w:rPr>
        <w:lastRenderedPageBreak/>
        <w:t>While</w:t>
      </w:r>
      <w:r w:rsidR="00742FB7">
        <w:rPr>
          <w:rFonts w:eastAsia="Arial" w:cs="Calibri"/>
          <w:color w:val="000000"/>
        </w:rPr>
        <w:t xml:space="preserve"> the local authorities are also category 1 responders within the LRF, they had different logics influencing their communication and do not routinely communicate about emergency incidents, unlike the blue-light responders. This disconnect between agencies’ experiences of emergency communication appeared to influence SYFR’s relationship with LRF partners and shows that </w:t>
      </w:r>
      <w:r>
        <w:rPr>
          <w:rFonts w:eastAsia="Arial" w:cs="Calibri"/>
          <w:color w:val="000000"/>
        </w:rPr>
        <w:t>while</w:t>
      </w:r>
      <w:r w:rsidR="00742FB7">
        <w:rPr>
          <w:rFonts w:eastAsia="Arial" w:cs="Calibri"/>
          <w:color w:val="000000"/>
        </w:rPr>
        <w:t xml:space="preserve"> operations must be collaborative under the CCA (2004), there is not the same statute for communication. The above quote mentions that the strategy was in their heads and a gut instinct, suggesting a tacit knowledge of how to communicate in emergency situations</w:t>
      </w:r>
      <w:r w:rsidR="00E103C6">
        <w:rPr>
          <w:rFonts w:eastAsia="Arial" w:cs="Calibri"/>
          <w:color w:val="000000"/>
        </w:rPr>
        <w:t>.</w:t>
      </w:r>
      <w:r w:rsidR="00742FB7">
        <w:rPr>
          <w:rFonts w:eastAsia="Arial" w:cs="Calibri"/>
          <w:color w:val="000000"/>
        </w:rPr>
        <w:t xml:space="preserve"> </w:t>
      </w:r>
      <w:r w:rsidR="00E103C6">
        <w:rPr>
          <w:rFonts w:eastAsia="Arial" w:cs="Calibri"/>
          <w:color w:val="000000"/>
        </w:rPr>
        <w:t xml:space="preserve">This </w:t>
      </w:r>
      <w:r w:rsidR="00742FB7">
        <w:rPr>
          <w:rFonts w:eastAsia="Arial" w:cs="Calibri"/>
          <w:color w:val="000000"/>
        </w:rPr>
        <w:t xml:space="preserve">suggests that the institutional logics from the emergency communication profession have become a normative pillar of the institution, namely that it is the accepted way of conducting oneself in the institution </w:t>
      </w:r>
      <w:r w:rsidR="00742FB7">
        <w:fldChar w:fldCharType="begin" w:fldLock="1"/>
      </w:r>
      <w:r w:rsidR="00974B75">
        <w:rPr>
          <w:rFonts w:eastAsia="Arial" w:cs="Calibri"/>
          <w:color w:val="000000"/>
        </w:rPr>
        <w:instrText>ADDIN CSL_CITATION {"citationItems":[{"id":"ITEM-1","itemData":{"DOI":"10.1108/S0277-2833(2010)0000021006","ISBN":"0000021008","ISSN":"02772833","abstract":"Social science attention to the distinctive role played by the professions\\nin modern society dates, at least, from the 1930s, beginning with\\nthe pioneering research of Carr-Saunders and Wilson (1933) and the\\ntheorizing of Parsons (1939). A considerable body of work was produced\\nwell into the 1960s, most of which embraced what was subsequently\\ntermed a functionalist approach. It was argued that in return for\\nemploying their specialized knowledge in the client's interest, professionals\\nwere ceded the right to set standards of training and practice and\\nto exercise autonomy of decision making in their spheres of competence\\n(e.g., Goode, 1957; Goss, 1961; Greenwood, 1957; Hughes, 1958b).\\nConsiderable effort was expended in differentiating between more-\\nand less-fully developed types of professions (e.g., Etzioni, 1969;\\nScott, 1965), as well as identifying the stages and strategies by\\nwhich professions acquired their distinctive features and status\\n(e.g., Abbott, 1988; Freidson, 1986; Wilensky, 1964).","author":[{"dropping-particle":"","family":"Scott","given":"W. Richard","non-dropping-particle":"","parse-names":false,"suffix":""}],"container-title":"Institutions and Entrepreneurship (Research in the Sociology of Work, Vol. 21)","editor":[{"dropping-particle":"","family":"Wesley D. Sine","given":"Robert J. David","non-dropping-particle":"","parse-names":false,"suffix":""}],"id":"ITEM-1","issued":{"date-parts":[["2010"]]},"page":"27-49","publisher":"Emerald Group Publishing Limited","publisher-place":"Leeds","title":"Entrepreneurs and professionals: The mediating role of institutions","type":"chapter"},"uris":["http://www.mendeley.com/documents/?uuid=8748eab4-c587-451c-8f5e-723bdb377cea"]},{"id":"ITEM-2","itemData":{"DOI":"10.1111/joms.12070","ISBN":"7804923325","ISSN":"14676486","abstract":"In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Studies","id":"ITEM-2","issue":"7","issued":{"date-parts":[["2014"]]},"page":"1206-1220","title":"Rethinking institutions and organizations","type":"article-journal","volume":"51"},"uris":["http://www.mendeley.com/documents/?uuid=0af2a191-4e5d-48b8-8f8d-ce7200539d20"]},{"id":"ITEM-3","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Practice","id":"ITEM-3","issue":"3","issued":{"date-parts":[["2010"]]},"page":"421-440","title":"Institutional theory and entrepreneurship: Where are we now and where do we need to move in the future?","type":"article-journal","volume":"34"},"uris":["http://www.mendeley.com/documents/?uuid=e36ff41e-f87e-4ac2-ad15-cf1983b501ae"]},{"id":"ITEM-4","itemData":{"DOI":"10.1177/0170840607088151","ISBN":"0170-8406","ISSN":"01708406","PMID":"31323064","abstract":"More so than other types of social actors, the professions in modern society have assumed leading roles in the creation and tending of institutions. They are the preeminent institutional agents of our time. Different professions work in various ways: some attempt to create general cultural-cognitive frameworks; others to devise normative pre- scriptions to guide behavior; and still others to exercise coercive authority. Also, indi- vidual professionals assume varying roles within their professional community: some concentrate on devising and testing general principles, others transport these ideas to varying communities; and still others work to apply the principles to individual cases. Professions themselves adhere to an institutional model, but this model has undergone important changes over time.","author":[{"dropping-particle":"","family":"Scott","given":"W. Richard","non-dropping-particle":"","parse-names":false,"suffix":""}],"container-title":"Organization Studies","id":"ITEM-4","issue":"2","issued":{"date-parts":[["2008"]]},"page":"219-238","title":"Lords of the dance: Professionals as institutional agents","type":"article-journal","volume":"29"},"uris":["http://www.mendeley.com/documents/?uuid=08afe149-5ce2-4fa3-a5be-8ece63af6202"]},{"id":"ITEM-5","itemData":{"author":[{"dropping-particle":"","family":"Scott","given":"W. R.","non-dropping-particle":"","parse-names":false,"suffix":""}],"chapter-number":"22","container-title":"Great Minds in Management: The Process of Theory Development","editor":[{"dropping-particle":"","family":"Smith","given":"Ken G.","non-dropping-particle":"","parse-names":false,"suffix":""},{"dropping-particle":"","family":"Hitt","given":"Michael A.","non-dropping-particle":"","parse-names":false,"suffix":""}],"id":"ITEM-5","issued":{"date-parts":[["2005"]]},"page":"460-484","publisher":"Oxford University Press","publisher-place":"Oxford","title":"Institutional theory: Contributing to a theoretical research program","type":"chapter"},"uris":["http://www.mendeley.com/documents/?uuid=8de1c0a6-4550-442d-8529-9841b65f3d92"]}],"mendeley":{"formattedCitation":"(Greenwood, Hinings, &amp; Whetten, 2014; Bruton, Ahlstrom, &amp; Li, 2010; Scott, 2005, 2008b, 2010a)","plainTextFormattedCitation":"(Greenwood, Hinings, &amp; Whetten, 2014; Bruton, Ahlstrom, &amp; Li, 2010; Scott, 2005, 2008b, 2010a)","previouslyFormattedCitation":"(Greenwood, Hinings, &amp; Whetten, 2014; Bruton, Ahlstrom, &amp; Li, 2010; Scott, 2005, 2008b, 2010a)"},"properties":{"noteIndex":0},"schema":"https://github.com/citation-style-language/schema/raw/master/csl-citation.json"}</w:instrText>
      </w:r>
      <w:r w:rsidR="00742FB7">
        <w:rPr>
          <w:rFonts w:eastAsia="Arial" w:cs="Calibri"/>
          <w:color w:val="000000"/>
        </w:rPr>
        <w:fldChar w:fldCharType="separate"/>
      </w:r>
      <w:r w:rsidR="00742FB7">
        <w:rPr>
          <w:rFonts w:cs="Calibri"/>
          <w:noProof/>
        </w:rPr>
        <w:t>(Greenwood, Hinings, &amp; Whetten, 2014; Bruton, Ahlstrom, &amp; Li, 2010; Scott, 2005, 2008b, 2010a)</w:t>
      </w:r>
      <w:r w:rsidR="00742FB7">
        <w:rPr>
          <w:rFonts w:eastAsia="Arial" w:cs="Calibri"/>
          <w:color w:val="000000"/>
        </w:rPr>
        <w:fldChar w:fldCharType="end"/>
      </w:r>
      <w:r w:rsidR="00742FB7">
        <w:rPr>
          <w:rFonts w:cs="Calibri"/>
        </w:rPr>
        <w:t xml:space="preserve"> and therefore when they view other agencies not conducting themselves in a similar manner, they question their institutional legitimacy </w:t>
      </w:r>
      <w:r w:rsidR="00742FB7">
        <w:fldChar w:fldCharType="begin" w:fldLock="1"/>
      </w:r>
      <w:r w:rsidR="00742FB7">
        <w:rPr>
          <w:rFonts w:cs="Calibri"/>
        </w:rPr>
        <w:instrText>ADDIN CSL_CITATION {"citationItems":[{"id":"ITEM-1","itemData":{"ISBN":"1526415054","author":[{"dropping-particle":"","family":"Greenwood","given":"Royston","non-dropping-particle":"","parse-names":false,"suffix":""},{"dropping-particle":"","family":"Oliver","given":"Christine","non-dropping-particle":"","parse-names":false,"suffix":""},{"dropping-particle":"","family":"Sahlin","given":"Kerstin","non-dropping-particle":"","parse-names":false,"suffix":""},{"dropping-particle":"","family":"Suddaby","given":"Roy","non-dropping-particle":"","parse-names":false,"suffix":""}],"chapter-number":"1","container-title":"The Sage handbook of Organizational Institutionalism","editor":[{"dropping-particle":"","family":"Greenwood","given":"Royston","non-dropping-particle":"","parse-names":false,"suffix":""},{"dropping-particle":"","family":"Oliver","given":"Christine","non-dropping-particle":"","parse-names":false,"suffix":""},{"dropping-particle":"","family":"Lawrence","given":"Thomas B","non-dropping-particle":"","parse-names":false,"suffix":""},{"dropping-particle":"","family":"Meyer","given":"Renate E","non-dropping-particle":"","parse-names":false,"suffix":""}],"id":"ITEM-1","issued":{"date-parts":[["2008"]]},"page":"1 -34","publisher":"Sage","publisher-place":"London","title":"Introduction","type":"chapter"},"uris":["http://www.mendeley.com/documents/?uuid=3fed7a46-7a1f-43ad-aae4-af5880dadba6"]},{"id":"ITEM-2","itemData":{"abstract":"To compare and contrast institutional theories used in or- ganizational analysis, the theoretical frameworks and ar- guments of leading contributors to institutional theory are reviewed and recent empirical studies using institutional arguments are examined. Both approaches reveal consid- erable variation in the types of concepts and arguments employed, and it is argued that further improvement and growth in institutional theory is dependent upon analysts dealing more explicitly with these differences. In addition, the relation between institutions and interests is explored to show that institutional features of organizational envi- ronments shape both the goals and means of actors. At- tention is called to the two primary types of actors shaping institutional environments in modern societies- the state and professional bodies-and to the way in which their interests and mode of action shape institu- tional patterns and mechanisms.","author":[{"dropping-particle":"","family":"Scott","given":"W Richard","non-dropping-particle":"","parse-names":false,"suffix":""}],"container-title":"Administrative Science Quarterly","id":"ITEM-2","issue":"4","issued":{"date-parts":[["1987"]]},"page":"493-511","title":"The Adolescence of Institutional Theory","type":"article-journal","volume":"32"},"uris":["http://www.mendeley.com/documents/?uuid=37d3c9ed-07b7-411f-adb3-1b1804691329"]}],"mendeley":{"formattedCitation":"(Greenwood et al., 2008; Scott, 1987)","plainTextFormattedCitation":"(Greenwood et al., 2008; Scott, 1987)","previouslyFormattedCitation":"(Greenwood et al., 2008; Scott, 1987)"},"properties":{"noteIndex":0},"schema":"https://github.com/citation-style-language/schema/raw/master/csl-citation.json"}</w:instrText>
      </w:r>
      <w:r w:rsidR="00742FB7">
        <w:rPr>
          <w:rFonts w:cs="Calibri"/>
        </w:rPr>
        <w:fldChar w:fldCharType="separate"/>
      </w:r>
      <w:r w:rsidR="00742FB7">
        <w:rPr>
          <w:rFonts w:eastAsia="Arial" w:cs="Calibri"/>
          <w:noProof/>
        </w:rPr>
        <w:t>(Greenwood et al., 2008; Scott, 1987)</w:t>
      </w:r>
      <w:r w:rsidR="00742FB7">
        <w:rPr>
          <w:rFonts w:cs="Calibri"/>
        </w:rPr>
        <w:fldChar w:fldCharType="end"/>
      </w:r>
      <w:r w:rsidR="00742FB7">
        <w:rPr>
          <w:rFonts w:cs="Calibri"/>
        </w:rPr>
        <w:t xml:space="preserve">. </w:t>
      </w:r>
    </w:p>
    <w:p w14:paraId="67AA0A67" w14:textId="77777777" w:rsidR="00787F73" w:rsidRDefault="00787F73"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eastAsia="Arial" w:cs="Calibri"/>
          <w:color w:val="000000"/>
        </w:rPr>
      </w:pPr>
    </w:p>
    <w:p w14:paraId="015E0244" w14:textId="25AEA557"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Pr>
          <w:rFonts w:cs="Calibri"/>
        </w:rPr>
        <w:t xml:space="preserve">The communications professional logic influenced how SYFR conducted their daily activities and how they viewed themselves as a team of professionals. From my observations it appeared to give a sense of identity to the team, as well as a sense of agency and confidence in how they structure and strategize their risk communication and PICs. This suggests that </w:t>
      </w:r>
      <w:r w:rsidR="00C84401">
        <w:rPr>
          <w:rFonts w:cs="Calibri"/>
        </w:rPr>
        <w:t xml:space="preserve">while </w:t>
      </w:r>
      <w:r>
        <w:rPr>
          <w:rFonts w:cs="Calibri"/>
        </w:rPr>
        <w:t xml:space="preserve">the state and community logics influence the messages and topics that they cover, the field logics influence how they conduct their communication and the expectations they have for partner agencies. Field logics are not only associated with the role, but individuals within the team also bring their own institutional logics which they have been trained in, such as the SYFR team and the influence of journalism. </w:t>
      </w:r>
      <w:bookmarkStart w:id="909" w:name="_Toc149250233"/>
      <w:bookmarkStart w:id="910" w:name="_Toc98148469"/>
      <w:bookmarkStart w:id="911" w:name="_Toc152262921"/>
      <w:bookmarkStart w:id="912" w:name="_Toc149057687"/>
      <w:bookmarkStart w:id="913" w:name="_Toc152088989"/>
      <w:bookmarkStart w:id="914" w:name="_Toc149250346"/>
    </w:p>
    <w:p w14:paraId="0E898CF3" w14:textId="77777777" w:rsidR="00787F73" w:rsidRDefault="00787F73"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Calibri"/>
        </w:rPr>
      </w:pPr>
    </w:p>
    <w:p w14:paraId="4DF0FA21" w14:textId="77777777" w:rsidR="00787F73" w:rsidRDefault="00742FB7" w:rsidP="00866155">
      <w:pPr>
        <w:pStyle w:val="Heading3"/>
      </w:pPr>
      <w:bookmarkStart w:id="915" w:name="_Toc158047188"/>
      <w:bookmarkStart w:id="916" w:name="_Toc158047147"/>
      <w:bookmarkStart w:id="917" w:name="_Toc158216466"/>
      <w:bookmarkStart w:id="918" w:name="_Toc158216656"/>
      <w:bookmarkStart w:id="919" w:name="_Toc193367247"/>
      <w:r>
        <w:t>5.3.2: Team logics – journalism</w:t>
      </w:r>
      <w:bookmarkEnd w:id="909"/>
      <w:bookmarkEnd w:id="910"/>
      <w:bookmarkEnd w:id="911"/>
      <w:bookmarkEnd w:id="912"/>
      <w:bookmarkEnd w:id="913"/>
      <w:bookmarkEnd w:id="914"/>
      <w:bookmarkEnd w:id="915"/>
      <w:bookmarkEnd w:id="916"/>
      <w:bookmarkEnd w:id="917"/>
      <w:bookmarkEnd w:id="918"/>
      <w:bookmarkEnd w:id="919"/>
    </w:p>
    <w:p w14:paraId="30B89DA4" w14:textId="77777777" w:rsidR="00787F73" w:rsidRPr="00AC1B06" w:rsidRDefault="00742FB7" w:rsidP="00866155">
      <w:r w:rsidRPr="00AC1B06">
        <w:rPr>
          <w:rFonts w:cs="Calibri"/>
        </w:rPr>
        <w:t xml:space="preserve">Not only can the department and specific role be subject to different institutional logics, but people also bring their own institutional logics from previous roles and experiences. Early in the research process, I was made aware that two members of the SYFR Communications team were trained in journalism. This was then clear in a variety of interviews when journalism was discussed as there was an inherent understanding of how it </w:t>
      </w:r>
      <w:r w:rsidRPr="00AC1B06">
        <w:rPr>
          <w:rFonts w:cs="Calibri"/>
          <w:i/>
        </w:rPr>
        <w:t>should</w:t>
      </w:r>
      <w:r w:rsidRPr="00AC1B06">
        <w:rPr>
          <w:rFonts w:cs="Calibri"/>
        </w:rPr>
        <w:t xml:space="preserve"> be done:</w:t>
      </w:r>
    </w:p>
    <w:p w14:paraId="3584700D" w14:textId="77777777" w:rsidR="00787F73" w:rsidRDefault="00742FB7" w:rsidP="00866155">
      <w:pPr>
        <w:spacing w:before="120" w:after="120"/>
        <w:ind w:left="720" w:right="663"/>
        <w:jc w:val="both"/>
        <w:rPr>
          <w:rFonts w:eastAsia="Arial" w:cs="Calibri"/>
          <w:color w:val="000000"/>
        </w:rPr>
      </w:pPr>
      <w:r w:rsidRPr="00AC1B06">
        <w:rPr>
          <w:rStyle w:val="QuoteChar"/>
          <w:rFonts w:eastAsia="Arial" w:cs="Calibri"/>
        </w:rPr>
        <w:lastRenderedPageBreak/>
        <w:t>“Which isn’t really how journalism is supposed to be done and it wasn’t how I was trained as a journalist, but that’s I guess how it’s just changing.”</w:t>
      </w:r>
      <w:r w:rsidRPr="00AC1B06">
        <w:rPr>
          <w:rFonts w:eastAsia="Arial" w:cs="Calibri"/>
          <w:color w:val="000000"/>
        </w:rPr>
        <w:t xml:space="preserve"> (SM </w:t>
      </w:r>
      <w:r w:rsidR="006A7A2E">
        <w:rPr>
          <w:rFonts w:eastAsia="Arial" w:cs="Calibri"/>
          <w:color w:val="000000"/>
        </w:rPr>
        <w:t xml:space="preserve">interview, </w:t>
      </w:r>
      <w:r w:rsidRPr="00AC1B06">
        <w:rPr>
          <w:rFonts w:eastAsia="Arial" w:cs="Calibri"/>
          <w:color w:val="000000"/>
        </w:rPr>
        <w:t>07.08.19)</w:t>
      </w:r>
    </w:p>
    <w:p w14:paraId="651ED8B4" w14:textId="77777777" w:rsidR="004F6AAA" w:rsidRPr="00AC1B06" w:rsidRDefault="004F6AAA" w:rsidP="00A0151B">
      <w:pPr>
        <w:ind w:left="720" w:right="663"/>
        <w:jc w:val="both"/>
      </w:pPr>
    </w:p>
    <w:p w14:paraId="34CB6389" w14:textId="3809BCD8" w:rsidR="00787F73" w:rsidRDefault="00742FB7" w:rsidP="00866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eastAsia="Arial" w:cs="Calibri"/>
          <w:color w:val="000000"/>
        </w:rPr>
      </w:pPr>
      <w:r w:rsidRPr="00AC1B06">
        <w:rPr>
          <w:rFonts w:eastAsia="Arial" w:cs="Calibri"/>
          <w:color w:val="000000"/>
        </w:rPr>
        <w:t xml:space="preserve">However, due to their experiences within a FRS, the journalism profession logic seemed to change and develop, depending on the context. For instance, when discussing the 2019 flooding, there was a sense of the control that they had of the media. Due to the event’s popularity in the news, it was getting attention from not only local and national news, but also from the international news: </w:t>
      </w:r>
    </w:p>
    <w:p w14:paraId="21660C93" w14:textId="77777777" w:rsidR="004F6AAA" w:rsidRPr="00AC1B06" w:rsidRDefault="004F6AAA" w:rsidP="00A01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9B65D2D" w14:textId="77777777" w:rsidR="00787F73" w:rsidRDefault="00742FB7" w:rsidP="00866155">
      <w:pPr>
        <w:spacing w:before="120" w:after="120"/>
        <w:ind w:left="720" w:right="663"/>
        <w:rPr>
          <w:rFonts w:eastAsia="Arial" w:cs="Calibri"/>
          <w:color w:val="000000"/>
        </w:rPr>
      </w:pPr>
      <w:r w:rsidRPr="00AC1B06">
        <w:rPr>
          <w:rStyle w:val="QuoteChar"/>
          <w:rFonts w:eastAsia="Arial" w:cs="Calibri"/>
        </w:rPr>
        <w:t xml:space="preserve">“We found, in terms of handling the media around something like that, that they had to play by our rules in the sense that a lot of the time they were wanting us to do stuff in random locations. You know what the news reports are like. They have someone in wellies stood in floodwater, and they want to go and interview us there. (…) because media need you more than you need them, they’ll just work around you. And we created some of our own content as well. So we recorded our own audio with our spokespeople and shared that with media as </w:t>
      </w:r>
      <w:r w:rsidR="00B207A5" w:rsidRPr="00AC1B06">
        <w:rPr>
          <w:rStyle w:val="QuoteChar"/>
          <w:rFonts w:eastAsia="Arial" w:cs="Calibri"/>
        </w:rPr>
        <w:t>well.“</w:t>
      </w:r>
      <w:r w:rsidR="00B207A5">
        <w:rPr>
          <w:rStyle w:val="QuoteChar"/>
          <w:rFonts w:eastAsia="Arial" w:cs="Calibri"/>
        </w:rPr>
        <w:t xml:space="preserve"> </w:t>
      </w:r>
      <w:r w:rsidR="00B207A5" w:rsidRPr="00AC1B06">
        <w:rPr>
          <w:rFonts w:eastAsia="Arial" w:cs="Calibri"/>
          <w:color w:val="000000"/>
        </w:rPr>
        <w:t>(</w:t>
      </w:r>
      <w:r w:rsidRPr="00AC1B06">
        <w:rPr>
          <w:rFonts w:eastAsia="Arial" w:cs="Calibri"/>
          <w:color w:val="000000"/>
        </w:rPr>
        <w:t xml:space="preserve">SM </w:t>
      </w:r>
      <w:r w:rsidR="006A7A2E">
        <w:rPr>
          <w:rFonts w:eastAsia="Arial" w:cs="Calibri"/>
          <w:color w:val="000000"/>
        </w:rPr>
        <w:t xml:space="preserve">interview, </w:t>
      </w:r>
      <w:r w:rsidRPr="00AC1B06">
        <w:rPr>
          <w:rFonts w:eastAsia="Arial" w:cs="Calibri"/>
          <w:color w:val="000000"/>
        </w:rPr>
        <w:t>25.11.19)</w:t>
      </w:r>
    </w:p>
    <w:p w14:paraId="51189019" w14:textId="77777777" w:rsidR="004F6AAA" w:rsidRPr="00AC1B06" w:rsidRDefault="004F6AAA" w:rsidP="00A0151B">
      <w:pPr>
        <w:ind w:left="720" w:right="663"/>
      </w:pPr>
    </w:p>
    <w:p w14:paraId="64218274" w14:textId="21CE38D3" w:rsidR="00787F73" w:rsidRPr="00AC1B06" w:rsidRDefault="00742FB7" w:rsidP="00866155">
      <w:r w:rsidRPr="00AC1B06">
        <w:rPr>
          <w:rFonts w:eastAsia="Arial" w:cs="Calibri"/>
        </w:rPr>
        <w:t>As they understood what the journalists were looking for in the materials, they were able to create content which could be shared by the media companies</w:t>
      </w:r>
      <w:r w:rsidR="00E103C6">
        <w:rPr>
          <w:rFonts w:eastAsia="Arial" w:cs="Calibri"/>
        </w:rPr>
        <w:t>. This</w:t>
      </w:r>
      <w:r w:rsidRPr="00AC1B06">
        <w:rPr>
          <w:rFonts w:eastAsia="Arial" w:cs="Calibri"/>
        </w:rPr>
        <w:t xml:space="preserve"> highlight</w:t>
      </w:r>
      <w:r w:rsidR="00E103C6">
        <w:rPr>
          <w:rFonts w:eastAsia="Arial" w:cs="Calibri"/>
        </w:rPr>
        <w:t>ed</w:t>
      </w:r>
      <w:r w:rsidRPr="00AC1B06">
        <w:rPr>
          <w:rFonts w:eastAsia="Arial" w:cs="Calibri"/>
        </w:rPr>
        <w:t xml:space="preserve"> the role of hybrid media systems which explains the interactions between traditional and new media sources </w:t>
      </w:r>
      <w:r w:rsidRPr="00AC1B06">
        <w:fldChar w:fldCharType="begin" w:fldLock="1"/>
      </w:r>
      <w:r w:rsidR="00974B75" w:rsidRPr="00AC1B06">
        <w:rPr>
          <w:rFonts w:eastAsia="Arial" w:cs="Calibri"/>
        </w:rPr>
        <w:instrText>ADDIN CSL_CITATION {"citationItems":[{"id":"ITEM-1","itemData":{"ISBN":"9781138860766","author":[{"dropping-particle":"","family":"Chadwick","given":"A","non-dropping-particle":"","parse-names":false,"suffix":""},{"dropping-particle":"","family":"Dennis","given":"J","non-dropping-particle":"","parse-names":false,"suffix":""},{"dropping-particle":"","family":"Smith","given":"AP","non-dropping-particle":"","parse-names":false,"suffix":""}],"chapter-number":"1","container-title":"The Routledge Companion to Social Media and Politics","editor":[{"dropping-particle":"","family":"A Bruns","given":"","non-dropping-particle":"","parse-names":false,"suffix":""}],"id":"ITEM-1","issued":{"date-parts":[["2016"]]},"page":"7 - 22","publisher":"Routledge","publisher-place":"New York","title":"Politics in the age of hybrid media: power, systems, and media logics","type":"chapter"},"uris":["http://www.mendeley.com/documents/?uuid=479ba372-9006-43bc-bd0b-fad31814a757"]},{"id":"ITEM-2","itemData":{"author":[{"dropping-particle":"","family":"Chadwick","given":"Andrew","non-dropping-particle":"","parse-names":false,"suffix":""}],"id":"ITEM-2","issued":{"date-parts":[["2017"]]},"publisher":"Oxford University Press","publisher-place":"Oxford","title":"The Hybrid Media System: Politics and Power","type":"book"},"uris":["http://www.mendeley.com/documents/?uuid=43242c5d-f24d-4ad4-88bb-7025ff9e1265"]}],"mendeley":{"formattedCitation":"(Chadwick, 2017; Chadwick, Dennis, &amp; Smith, 2016)","plainTextFormattedCitation":"(Chadwick, 2017; Chadwick, Dennis, &amp; Smith, 2016)","previouslyFormattedCitation":"(Chadwick, 2017; Chadwick, Dennis, &amp; Smith, 2016)"},"properties":{"noteIndex":0},"schema":"https://github.com/citation-style-language/schema/raw/master/csl-citation.json"}</w:instrText>
      </w:r>
      <w:r w:rsidRPr="00AC1B06">
        <w:rPr>
          <w:rFonts w:eastAsia="Arial" w:cs="Calibri"/>
        </w:rPr>
        <w:fldChar w:fldCharType="separate"/>
      </w:r>
      <w:r w:rsidRPr="00AC1B06">
        <w:rPr>
          <w:rFonts w:cs="Calibri"/>
          <w:noProof/>
        </w:rPr>
        <w:t>(Chadwick, 2017; Chadwick, Dennis, &amp; Smith, 2016)</w:t>
      </w:r>
      <w:r w:rsidRPr="00AC1B06">
        <w:rPr>
          <w:rFonts w:eastAsia="Arial" w:cs="Calibri"/>
        </w:rPr>
        <w:fldChar w:fldCharType="end"/>
      </w:r>
      <w:r w:rsidRPr="00AC1B06">
        <w:rPr>
          <w:rFonts w:eastAsia="Arial" w:cs="Calibri"/>
        </w:rPr>
        <w:t xml:space="preserve">. This meant that SYFR were able to utilise another channel of communication to disseminate information about the flooding and to put out risk communication about keeping safe around flood water. As discussed in the literature review, more traditional media sources such as radio and TV are more trusted by audiences than social media, indicating that it can be used to develop linking social capital to the community </w:t>
      </w:r>
      <w:r w:rsidRPr="00AC1B06">
        <w:fldChar w:fldCharType="begin" w:fldLock="1"/>
      </w:r>
      <w:r w:rsidRPr="00AC1B06">
        <w:rPr>
          <w:rFonts w:eastAsia="Arial" w:cs="Calibri"/>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India","type":"article-journal","volume":"19"},"uris":["http://www.mendeley.com/documents/?uuid=d8bcf27c-1efc-4c15-8204-cd8b37719dd2"]}],"mendeley":{"formattedCitation":"(Sanyal &amp; Routray, 2016)","plainTextFormattedCitation":"(Sanyal &amp; Routray, 2016)","previouslyFormattedCitation":"(Sanyal &amp; Routray, 2016)"},"properties":{"noteIndex":0},"schema":"https://github.com/citation-style-language/schema/raw/master/csl-citation.json"}</w:instrText>
      </w:r>
      <w:r w:rsidRPr="00AC1B06">
        <w:rPr>
          <w:rFonts w:eastAsia="Arial" w:cs="Calibri"/>
        </w:rPr>
        <w:fldChar w:fldCharType="separate"/>
      </w:r>
      <w:r w:rsidRPr="00AC1B06">
        <w:rPr>
          <w:rFonts w:cs="Calibri"/>
          <w:noProof/>
        </w:rPr>
        <w:t>(Sanyal &amp; Routray, 2016)</w:t>
      </w:r>
      <w:r w:rsidRPr="00AC1B06">
        <w:rPr>
          <w:rFonts w:eastAsia="Arial" w:cs="Calibri"/>
        </w:rPr>
        <w:fldChar w:fldCharType="end"/>
      </w:r>
      <w:r w:rsidRPr="00AC1B06">
        <w:rPr>
          <w:rFonts w:eastAsia="Arial" w:cs="Calibri"/>
        </w:rPr>
        <w:t xml:space="preserve">, making them aware of the work that SYFR are doing, which can help the development of trust and therefore community resilience. </w:t>
      </w:r>
    </w:p>
    <w:p w14:paraId="4DBCD2E3" w14:textId="77777777" w:rsidR="00787F73" w:rsidRDefault="00742FB7" w:rsidP="00866155">
      <w:pPr>
        <w:rPr>
          <w:rFonts w:eastAsia="Arial" w:cs="Calibri"/>
        </w:rPr>
      </w:pPr>
      <w:r w:rsidRPr="00AC1B06">
        <w:rPr>
          <w:rFonts w:eastAsia="Arial" w:cs="Calibri"/>
        </w:rPr>
        <w:lastRenderedPageBreak/>
        <w:t>It is important to note the media was interested in this event due to the popularity of the news story, and therefore SYFR were in a position of power as they were able to control the message as they were operationally involved. This thesis is focusing on how social media can be used to communicate to develop community resilience, which requires a more sustained approach in terms of communication and relationship to the media. SYFR have used this sustained approach in communication within their risk communication campaigns with the CM noting that they had a good relationship with the local TV and radio stations:</w:t>
      </w:r>
    </w:p>
    <w:p w14:paraId="6BDF38A4" w14:textId="77777777" w:rsidR="004F6AAA" w:rsidRDefault="004F6AAA" w:rsidP="00866155">
      <w:pPr>
        <w:rPr>
          <w:rFonts w:eastAsia="Arial" w:cs="Calibri"/>
        </w:rPr>
      </w:pPr>
    </w:p>
    <w:p w14:paraId="5FF3259B" w14:textId="77777777" w:rsidR="00787F73" w:rsidRDefault="00742FB7" w:rsidP="00866155">
      <w:pPr>
        <w:pStyle w:val="TranscriptTableText"/>
        <w:spacing w:line="360" w:lineRule="auto"/>
        <w:ind w:left="720" w:right="663"/>
        <w:rPr>
          <w:rFonts w:ascii="Calibri" w:hAnsi="Calibri" w:cs="Calibri"/>
          <w:sz w:val="24"/>
          <w:szCs w:val="24"/>
        </w:rPr>
      </w:pPr>
      <w:r w:rsidRPr="00AC1B06">
        <w:rPr>
          <w:rStyle w:val="QuoteChar"/>
          <w:rFonts w:cs="Calibri"/>
          <w:szCs w:val="24"/>
        </w:rPr>
        <w:t xml:space="preserve">“Then, if we’ve got a campaign, we will probably go to them directly, as well. We’ll tee them up before. So, we’ll not launch it and then go to them after. We’ll go to them a week before and say, we’re looking at launching a new campaign. Here’s all the detail. Would you like to run something on it? And they tend to, even if it’s not hugely of interest to them, if they know it’s quite a big thing for us, they’ll give it a slot.” </w:t>
      </w:r>
      <w:r w:rsidRPr="00AC1B06">
        <w:rPr>
          <w:rFonts w:ascii="Calibri" w:hAnsi="Calibri" w:cs="Calibri"/>
          <w:sz w:val="24"/>
          <w:szCs w:val="24"/>
        </w:rPr>
        <w:t>(CM</w:t>
      </w:r>
      <w:r w:rsidR="006A7A2E">
        <w:rPr>
          <w:rFonts w:ascii="Calibri" w:hAnsi="Calibri" w:cs="Calibri"/>
          <w:sz w:val="24"/>
          <w:szCs w:val="24"/>
        </w:rPr>
        <w:t xml:space="preserve"> interview,</w:t>
      </w:r>
      <w:r w:rsidRPr="00AC1B06">
        <w:rPr>
          <w:rFonts w:ascii="Calibri" w:hAnsi="Calibri" w:cs="Calibri"/>
          <w:sz w:val="24"/>
          <w:szCs w:val="24"/>
        </w:rPr>
        <w:t xml:space="preserve"> 07.08.19)</w:t>
      </w:r>
    </w:p>
    <w:p w14:paraId="4A5D5716" w14:textId="77777777" w:rsidR="004F6AAA" w:rsidRDefault="004F6AAA" w:rsidP="00866155">
      <w:pPr>
        <w:pStyle w:val="TranscriptTableText"/>
        <w:spacing w:line="360" w:lineRule="auto"/>
        <w:ind w:left="720" w:right="663"/>
        <w:rPr>
          <w:rFonts w:ascii="Calibri" w:hAnsi="Calibri" w:cs="Calibri"/>
          <w:sz w:val="24"/>
          <w:szCs w:val="24"/>
        </w:rPr>
      </w:pPr>
    </w:p>
    <w:p w14:paraId="0DF68EAB" w14:textId="77777777" w:rsidR="00787F73" w:rsidRDefault="00742FB7" w:rsidP="00866155">
      <w:pPr>
        <w:rPr>
          <w:rFonts w:eastAsia="Arial" w:cs="Calibri"/>
        </w:rPr>
      </w:pPr>
      <w:r w:rsidRPr="00AC1B06">
        <w:rPr>
          <w:rFonts w:eastAsia="Arial" w:cs="Calibri"/>
        </w:rPr>
        <w:t>Using their knowledge of journalism and the normative logics associated with journalism enabled the SYFR Communications team to build relationships with local media companies, which is evident within their campaign evaluations:</w:t>
      </w:r>
    </w:p>
    <w:p w14:paraId="3A8A27CC" w14:textId="77777777" w:rsidR="004F6AAA" w:rsidRDefault="004F6AAA" w:rsidP="00866155">
      <w:pPr>
        <w:rPr>
          <w:rFonts w:eastAsia="Arial" w:cs="Calibri"/>
        </w:rPr>
      </w:pPr>
    </w:p>
    <w:p w14:paraId="46CBE40D" w14:textId="77777777" w:rsidR="00787F73" w:rsidRDefault="00742FB7" w:rsidP="00866155">
      <w:pPr>
        <w:pStyle w:val="Quote"/>
        <w:spacing w:line="360" w:lineRule="auto"/>
        <w:ind w:left="720" w:right="862"/>
        <w:jc w:val="left"/>
        <w:rPr>
          <w:rStyle w:val="QuoteChar"/>
          <w:rFonts w:eastAsia="Arial" w:cs="Calibri"/>
          <w:szCs w:val="24"/>
        </w:rPr>
      </w:pPr>
      <w:r w:rsidRPr="00AC1B06">
        <w:rPr>
          <w:rStyle w:val="QuoteChar"/>
          <w:rFonts w:eastAsia="Arial" w:cs="Calibri"/>
          <w:szCs w:val="24"/>
        </w:rPr>
        <w:t>“</w:t>
      </w:r>
      <w:r w:rsidRPr="00AC1B06">
        <w:rPr>
          <w:rFonts w:cs="Calibri"/>
          <w:szCs w:val="24"/>
        </w:rPr>
        <w:t xml:space="preserve">Securing </w:t>
      </w:r>
      <w:r w:rsidRPr="00AC1B06">
        <w:rPr>
          <w:rFonts w:cs="Calibri"/>
          <w:b/>
          <w:bCs/>
          <w:szCs w:val="24"/>
        </w:rPr>
        <w:t>coverage through relevant media outlets</w:t>
      </w:r>
      <w:r w:rsidRPr="00AC1B06">
        <w:rPr>
          <w:rFonts w:cs="Calibri"/>
          <w:szCs w:val="24"/>
        </w:rPr>
        <w:t xml:space="preserve"> – particularly the ones that we know have a high profile – such as the Sheffield Star, BBC Look North and Radio Sheffield”</w:t>
      </w:r>
      <w:r w:rsidRPr="00AC1B06">
        <w:rPr>
          <w:rStyle w:val="QuoteChar"/>
          <w:rFonts w:eastAsia="Arial" w:cs="Calibri"/>
          <w:szCs w:val="24"/>
        </w:rPr>
        <w:t xml:space="preserve"> (Summer Fires – Do your Bit campaign – Evaluation)</w:t>
      </w:r>
    </w:p>
    <w:p w14:paraId="314CAAC1" w14:textId="77777777" w:rsidR="004F6AAA" w:rsidRPr="00A0151B" w:rsidRDefault="004F6AAA" w:rsidP="00A0151B">
      <w:pPr>
        <w:rPr>
          <w:rFonts w:eastAsia="Arial"/>
          <w:lang w:eastAsia="en-US"/>
        </w:rPr>
      </w:pPr>
    </w:p>
    <w:p w14:paraId="16F8ADD4" w14:textId="77777777" w:rsidR="00787F73" w:rsidRPr="00AC1B06" w:rsidRDefault="00742FB7" w:rsidP="00866155">
      <w:r w:rsidRPr="00AC1B06">
        <w:rPr>
          <w:rFonts w:eastAsia="Arial" w:cs="Calibri"/>
        </w:rPr>
        <w:t xml:space="preserve">This shows how their inherent understanding of the journalism professional logics enabled them to tailor the communications effectively and have greater institutional agency to handle the media in a way to support their aims; being on the outside of the institution, but with an understanding of the internal workings of the institution was beneficial when working with journalists. This shows how individual team members can bring a tacit </w:t>
      </w:r>
      <w:r w:rsidRPr="00AC1B06">
        <w:rPr>
          <w:rFonts w:eastAsia="Arial" w:cs="Calibri"/>
        </w:rPr>
        <w:lastRenderedPageBreak/>
        <w:t>understanding and legitimacy for other institutions into the department, such as the two team members who were trained in journalism.</w:t>
      </w:r>
    </w:p>
    <w:p w14:paraId="5D314F18" w14:textId="77777777" w:rsidR="00787F73" w:rsidRPr="00AC1B06" w:rsidRDefault="00787F73" w:rsidP="00866155">
      <w:pPr>
        <w:rPr>
          <w:rFonts w:eastAsia="Arial" w:cs="Calibri"/>
        </w:rPr>
      </w:pPr>
    </w:p>
    <w:p w14:paraId="47B42495" w14:textId="77777777" w:rsidR="00787F73" w:rsidRDefault="00742FB7" w:rsidP="00866155">
      <w:pPr>
        <w:pStyle w:val="Heading2"/>
      </w:pPr>
      <w:bookmarkStart w:id="920" w:name="_Toc158047189"/>
      <w:bookmarkStart w:id="921" w:name="_Toc158216657"/>
      <w:bookmarkStart w:id="922" w:name="_Toc158047148"/>
      <w:bookmarkStart w:id="923" w:name="_Toc158216467"/>
      <w:bookmarkStart w:id="924" w:name="_Toc158046807"/>
      <w:bookmarkStart w:id="925" w:name="_Toc153554359"/>
      <w:bookmarkStart w:id="926" w:name="_Toc193367248"/>
      <w:r>
        <w:t>5.4: Contextual logics</w:t>
      </w:r>
      <w:bookmarkEnd w:id="920"/>
      <w:bookmarkEnd w:id="921"/>
      <w:bookmarkEnd w:id="922"/>
      <w:bookmarkEnd w:id="923"/>
      <w:bookmarkEnd w:id="924"/>
      <w:bookmarkEnd w:id="925"/>
      <w:bookmarkEnd w:id="926"/>
    </w:p>
    <w:p w14:paraId="64EC524D" w14:textId="7F66C1F4" w:rsidR="00787F73" w:rsidRDefault="00C84401" w:rsidP="00866155">
      <w:r w:rsidRPr="00010F12">
        <w:rPr>
          <w:rFonts w:cs="Calibri"/>
        </w:rPr>
        <w:t>While</w:t>
      </w:r>
      <w:r w:rsidR="00742FB7">
        <w:rPr>
          <w:rFonts w:cs="Calibri"/>
        </w:rPr>
        <w:t xml:space="preserve"> the state and field logics discussed above influenced SYFR on a daily basis</w:t>
      </w:r>
      <w:r w:rsidR="00E103C6">
        <w:rPr>
          <w:rFonts w:cs="Calibri"/>
        </w:rPr>
        <w:t>,</w:t>
      </w:r>
      <w:r w:rsidR="00742FB7">
        <w:rPr>
          <w:rFonts w:cs="Calibri"/>
        </w:rPr>
        <w:t xml:space="preserve"> informing their decision making and their values and beliefs </w:t>
      </w:r>
      <w:r w:rsidR="00742FB7">
        <w:fldChar w:fldCharType="begin" w:fldLock="1"/>
      </w:r>
      <w:r w:rsidR="00D177B9">
        <w:rPr>
          <w:rFonts w:cs="Calibri"/>
        </w:rPr>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Process","type":"book"},"uris":["http://www.mendeley.com/documents/?uuid=7afe7588-cd0b-4a95-b78a-3214c1130169"]},{"id":"ITEM-2","itemData":{"DOI":"10.1177/017084069701800204","ISBN":"01708406","ISSN":"0170-8406","PMID":"9707225788","abstract":"The focus of this paper is to examine the responses to institutional isomorph ism in one area of the public sector — universities. As an example, one particu lar organizational practice is examined — performance appraisal — and its implications for one group of professionals — academics. In doing so, some of the sources of variation in responses to institutional pressures are illustrated and the strategies of resistance actors engage in to resist such pressures. It is suggested that the concept of institutional logic is an important element in influencing responses to isomorphism, providing a repertoire of beliefs with which to contest concepts of legitimacy.","author":[{"dropping-particle":"","family":"Townley","given":"Barbara","non-dropping-particle":"","parse-names":false,"suffix":""}],"container-title":"Organization Studies","id":"ITEM-2","issue":"2","issued":{"date-parts":[["1997"]]},"page":"261-285","title":"Logic of Performance Appraisal","type":"article-journal","volume":"18"},"uris":["http://www.mendeley.com/documents/?uuid=3956e178-7c7b-4649-90dd-0750fde9fde0"]},{"id":"ITEM-3","itemData":{"DOI":"10.1108/S0733-558X201600048A001","author":[{"dropping-particle":"","family":"Glaser","given":"Vern L","non-dropping-particle":"","parse-names":false,"suffix":""},{"dropping-particle":"","family":"Fast","given":"Nathanael J","non-dropping-particle":"","parse-names":false,"suffix":""},{"dropping-particle":"","family":"Harmon","given":"Derek J","non-dropping-particle":"","parse-names":false,"suffix":""},{"dropping-particle":"","family":"Green","given":"Sandy E","non-dropping-particle":"","parse-names":false,"suffix":""}],"chapter-number":"2","container-title":"How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-3","issued":{"date-parts":[["2016"]]},"page":"35-70","publisher":"Emerald Group Publishing Limited","title":"Institutional Frame Switching: How Institutional Logics Shape Individual Action","type":"chapter","volume":"48A"},"uris":["http://www.mendeley.com/documents/?uuid=8ac9f37b-5be1-4297-bd70-0abc13a22de3"]},{"id":"ITEM-4","itemData":{"DOI":"10.1177/1476127015625040","author":[{"dropping-particle":"","family":"Ocasio","given":"William","non-dropping-particle":"","parse-names":false,"suffix":""},{"dropping-particle":"","family":"Radoynovska","given":"Nevena","non-dropping-particle":"","parse-names":false,"suffix":""}],"container-title":"Strategic Organization","id":"ITEM-4","issue":"4","issued":{"date-parts":[["2016"]]},"page":"287 - 309","title":"Strategy and commitments to institutional logics : Organizational heterogeneity in business models and governance","type":"article-journal","volume":"14"},"uris":["http://www.mendeley.com/documents/?uuid=eede86b6-3a39-4b52-acc9-94e8cc3fbd5e"]}],"mendeley":{"formattedCitation":"(Glaser et al., 2016; Ocasio &amp; Radoynovska, 2016; Thornton, Ocasio, &amp; Lounsbury, 2012; Townley, 1997)","plainTextFormattedCitation":"(Glaser et al., 2016; Ocasio &amp; Radoynovska, 2016; Thornton, Ocasio, &amp; Lounsbury, 2012; Townley, 1997)","previouslyFormattedCitation":"(Glaser et al., 2016; Ocasio &amp; Radoynovska, 2016; Thornton, Ocasio, &amp; Lounsbury, 2012; Townley, 1997)"},"properties":{"noteIndex":0},"schema":"https://github.com/citation-style-language/schema/raw/master/csl-citation.json"}</w:instrText>
      </w:r>
      <w:r w:rsidR="00742FB7">
        <w:rPr>
          <w:rFonts w:cs="Calibri"/>
        </w:rPr>
        <w:fldChar w:fldCharType="separate"/>
      </w:r>
      <w:r w:rsidR="00E37B0E" w:rsidRPr="00E37B0E">
        <w:rPr>
          <w:rFonts w:cs="Calibri"/>
          <w:noProof/>
        </w:rPr>
        <w:t>(Glaser et al., 2016; Ocasio &amp; Radoynovska, 2016; Thornton, Ocasio, &amp; Lounsbury, 2012; Townley, 1997)</w:t>
      </w:r>
      <w:r w:rsidR="00742FB7">
        <w:rPr>
          <w:rFonts w:cs="Calibri"/>
        </w:rPr>
        <w:fldChar w:fldCharType="end"/>
      </w:r>
      <w:r w:rsidR="00742FB7">
        <w:rPr>
          <w:rFonts w:cs="Calibri"/>
        </w:rPr>
        <w:t xml:space="preserve">, there are other contexts which influenced state and field logics. Differing contexts have various temporalities and situational constraints </w:t>
      </w:r>
      <w:r w:rsidR="00742FB7">
        <w:fldChar w:fldCharType="begin" w:fldLock="1"/>
      </w:r>
      <w:r w:rsidR="00974B75">
        <w:rPr>
          <w:rFonts w:cs="Calibri"/>
        </w:rPr>
        <w:instrText>ADDIN CSL_CITATION {"citationItems":[{"id":"ITEM-1","itemData":{"DOI":"10.1177/0170840615604503","ISSN":"17413044","abstract":"Our study examines how interdependent actors in a professionalized context interpret the co-occurrence of a professional logic and a policy-driven logic. The empirical setting comprises two hospitals in the English National Health Service. Two issues stand out. First, our study shows that any logic is variegated and ambiguous, so policymakers and organizational managers cannot assume that they are easily blended. Second, it shows how nurse consultants exhibit agency in blending these two logics in pursuit of positional gain in professional and managerial organization. They can do so because of their ambiguous status level: in comparison to doctors, their status as nurses is low; within the nursing profession their status is high. Theoretically, by focusing upon interpretation of multiple institutional logics at the micro level, our study renders visible the agency of interpreting actors, interdependency of actors, their interpretation of institutional logics, situational context, and the effect of, and upon, social position of actors.","author":[{"dropping-particle":"","family":"Currie","given":"Graeme","non-dropping-particle":"","parse-names":false,"suffix":""},{"dropping-particle":"","family":"Spyridonidis","given":"Dimitrios","non-dropping-particle":"","parse-names":false,"suffix":""}],"container-title":"Organization Studies","id":"ITEM-1","issue":"1","issued":{"date-parts":[["2016"]]},"page":"77-97","title":"Interpretation of Multiple Institutional Logics on the Ground: Actors’ Position, their Agency and Situational Constraints in Professionalized Contexts","type":"article-journal","volume":"37"},"uris":["http://www.mendeley.com/documents/?uuid=be657142-d26b-4dc5-bf61-aff1e8d069fa"]},{"id":"ITEM-2","itemData":{"DOI":"10.1007/s10551-017-3775-0","ISBN":"1055101737750","ISSN":"15730697","abstract":"This study examines how institutional logics interplay in a cross-sector social partnership that manages refugee integration in a rural district in Germany. In an inductive 15-month case study that drew on interviews and observations, we observe the dynamic materialization of institutional logics in day-to-day practices and an increasing contradiction and even rivalry between community- and market-based institutional logics over time. As a result, we delineate a model explaining the interplay of institutional logics along two dimensions: the dominance of one salient logic and whether conflicts arise among logics. Our analysis also addresses the unifying properties of community as an institutional logic, especially in the context of urgency conditions. In addition, we show the influence of exogenous events and their media coverage on the interplay and conflicts of institutional logics. By unfolding the complexity of refugee integration—one of the global grand challenges of the present—we deepen the current understanding of the specific challenges addressed by cross-sector social partnerships.","author":[{"dropping-particle":"","family":"Hesse","given":"Andreas","non-dropping-particle":"","parse-names":false,"suffix":""},{"dropping-particle":"","family":"Kreutzer","given":"Karin","non-dropping-particle":"","parse-names":false,"suffix":""},{"dropping-particle":"","family":"Diehl","given":"Marjo Riitta","non-dropping-particle":"","parse-names":false,"suffix":""}],"container-title":"Journal of Business Ethics","id":"ITEM-2","issued":{"date-parts":[["2019"]]},"page":"679-704","title":"Dynamics of Institutional Logics in a Cross-Sector Social Partnership: The Case of Refugee Integration in Germany","type":"article-journal","volume":"159"},"uris":["http://www.mendeley.com/documents/?uuid=72ea7223-f32f-42e0-8843-5be6e7e0fe2e"]}],"mendeley":{"formattedCitation":"(Hesse, Kreutzer, &amp; Diehl, 2019; Currie &amp; Spyridonidis, 2016)","plainTextFormattedCitation":"(Hesse, Kreutzer, &amp; Diehl, 2019; Currie &amp; Spyridonidis, 2016)","previouslyFormattedCitation":"(Hesse, Kreutzer, &amp; Diehl, 2019; Currie &amp; Spyridonidis, 2016)"},"properties":{"noteIndex":0},"schema":"https://github.com/citation-style-language/schema/raw/master/csl-citation.json"}</w:instrText>
      </w:r>
      <w:r w:rsidR="00742FB7">
        <w:rPr>
          <w:rFonts w:cs="Calibri"/>
        </w:rPr>
        <w:fldChar w:fldCharType="separate"/>
      </w:r>
      <w:r w:rsidR="00742FB7">
        <w:rPr>
          <w:rFonts w:cs="Calibri"/>
          <w:noProof/>
        </w:rPr>
        <w:t>(Hesse, Kreutzer, &amp; Diehl, 2019; Currie &amp; Spyridonidis, 2016)</w:t>
      </w:r>
      <w:r w:rsidR="00742FB7">
        <w:rPr>
          <w:rFonts w:cs="Calibri"/>
        </w:rPr>
        <w:fldChar w:fldCharType="end"/>
      </w:r>
      <w:r w:rsidR="00742FB7">
        <w:rPr>
          <w:rFonts w:cs="Calibri"/>
        </w:rPr>
        <w:t>, creating short-term institutional complexity. During the data collection with SYFR, I was able to witness and interpret the shifting of logics surrounding COVID-19.</w:t>
      </w:r>
    </w:p>
    <w:p w14:paraId="591E3C92" w14:textId="77777777" w:rsidR="00787F73" w:rsidRDefault="00787F73" w:rsidP="00866155">
      <w:pPr>
        <w:rPr>
          <w:rFonts w:cs="Calibri"/>
        </w:rPr>
      </w:pPr>
    </w:p>
    <w:p w14:paraId="78069CC1" w14:textId="77777777" w:rsidR="00787F73" w:rsidRDefault="00742FB7" w:rsidP="00866155">
      <w:pPr>
        <w:pStyle w:val="Heading3"/>
      </w:pPr>
      <w:bookmarkStart w:id="927" w:name="_Toc158047190"/>
      <w:bookmarkStart w:id="928" w:name="_Toc158216468"/>
      <w:bookmarkStart w:id="929" w:name="_Toc158216658"/>
      <w:bookmarkStart w:id="930" w:name="_Toc158047149"/>
      <w:bookmarkStart w:id="931" w:name="_Toc193367249"/>
      <w:r>
        <w:t>5.4.1: COVID-19</w:t>
      </w:r>
      <w:bookmarkEnd w:id="927"/>
      <w:bookmarkEnd w:id="928"/>
      <w:bookmarkEnd w:id="929"/>
      <w:bookmarkEnd w:id="930"/>
      <w:bookmarkEnd w:id="931"/>
    </w:p>
    <w:p w14:paraId="30B891A6" w14:textId="77777777" w:rsidR="00787F73" w:rsidRDefault="00742FB7" w:rsidP="00866155">
      <w:pPr>
        <w:rPr>
          <w:rFonts w:cs="Calibri"/>
        </w:rPr>
      </w:pPr>
      <w:r w:rsidRPr="00AC1B06">
        <w:rPr>
          <w:rFonts w:cs="Calibri"/>
        </w:rPr>
        <w:t>COVID-19 created institutional complexity through influencing both state and field logics, however, this complexity was not static, it changed throughout the course of the pandemic. In the initial stages of COVID-19, the state logics changed, with temporary social distancing laws influencing how individuals and organisations were able to operate. This influenced how SYFR were able to engage with their surrounding communities, with most home safety visits being conducted on the telephone, and an increased focus on social media for their communication:</w:t>
      </w:r>
    </w:p>
    <w:p w14:paraId="3D7B7997" w14:textId="77777777" w:rsidR="004F6AAA" w:rsidRDefault="004F6AAA" w:rsidP="00866155">
      <w:pPr>
        <w:rPr>
          <w:rFonts w:cs="Calibri"/>
        </w:rPr>
      </w:pPr>
    </w:p>
    <w:p w14:paraId="33B858C2" w14:textId="77777777" w:rsidR="00787F73" w:rsidRDefault="00742FB7" w:rsidP="00866155">
      <w:pPr>
        <w:pStyle w:val="NormalWeb"/>
        <w:spacing w:before="120" w:after="120" w:line="360" w:lineRule="auto"/>
        <w:ind w:left="720" w:right="663"/>
        <w:rPr>
          <w:rFonts w:ascii="Calibri" w:hAnsi="Calibri" w:cs="Calibri"/>
          <w:color w:val="000000"/>
        </w:rPr>
      </w:pPr>
      <w:r w:rsidRPr="00AC1B06">
        <w:rPr>
          <w:rStyle w:val="QuoteChar"/>
          <w:rFonts w:cs="Calibri"/>
        </w:rPr>
        <w:t>“And the parameters are basically based on national guidance. The top one is basically making sure fire rescue staff have as little contact with the public and each other as possible. (…) We’ve stopped doing home safety checks now in peoples’ homes. They’ve stopped going to smoke alarms unless someone’s risk of fire outweighs their risk of Corona virus. An example of that would be we get quite a lot of referrals for people who are experiencing domestic violence and people threatening to set fire to their home to kill them. And obviously that is a greater risk than the virus.”</w:t>
      </w:r>
      <w:r w:rsidRPr="00AC1B06">
        <w:rPr>
          <w:rFonts w:ascii="Calibri" w:hAnsi="Calibri" w:cs="Calibri"/>
          <w:color w:val="000000"/>
        </w:rPr>
        <w:t xml:space="preserve"> (SM</w:t>
      </w:r>
      <w:r w:rsidR="006A7A2E">
        <w:rPr>
          <w:rFonts w:ascii="Calibri" w:hAnsi="Calibri" w:cs="Calibri"/>
          <w:color w:val="000000"/>
        </w:rPr>
        <w:t xml:space="preserve"> interview,</w:t>
      </w:r>
      <w:r w:rsidRPr="00AC1B06">
        <w:rPr>
          <w:rFonts w:ascii="Calibri" w:hAnsi="Calibri" w:cs="Calibri"/>
          <w:color w:val="000000"/>
        </w:rPr>
        <w:t xml:space="preserve"> 20.3.20)</w:t>
      </w:r>
    </w:p>
    <w:p w14:paraId="5D8C8E02" w14:textId="77777777" w:rsidR="004F6AAA" w:rsidRPr="00AC1B06" w:rsidRDefault="004F6AAA" w:rsidP="00866155">
      <w:pPr>
        <w:pStyle w:val="NormalWeb"/>
        <w:spacing w:before="120" w:after="120" w:line="360" w:lineRule="auto"/>
        <w:ind w:left="720" w:right="663"/>
        <w:rPr>
          <w:rFonts w:ascii="Calibri" w:hAnsi="Calibri" w:cs="Calibri"/>
        </w:rPr>
      </w:pPr>
    </w:p>
    <w:p w14:paraId="4231E0F2" w14:textId="77777777" w:rsidR="00787F73" w:rsidRDefault="00742FB7" w:rsidP="00866155">
      <w:pPr>
        <w:pStyle w:val="NormalWeb"/>
        <w:spacing w:before="240" w:after="240" w:line="360" w:lineRule="auto"/>
        <w:rPr>
          <w:rFonts w:ascii="Calibri" w:hAnsi="Calibri" w:cs="Calibri"/>
          <w:color w:val="000000"/>
        </w:rPr>
      </w:pPr>
      <w:r w:rsidRPr="00AC1B06">
        <w:rPr>
          <w:rFonts w:ascii="Calibri" w:hAnsi="Calibri" w:cs="Calibri"/>
          <w:color w:val="000000"/>
        </w:rPr>
        <w:lastRenderedPageBreak/>
        <w:t xml:space="preserve">COVID-19 influenced the daily activities of SYFR and created barriers to conducting their statutory obligations under the FRSA (2004). When examining multiple logics within an organisation, the literature suggests examining the centrality and compatibility of the logics </w:t>
      </w:r>
      <w:r w:rsidRPr="00AC1B06">
        <w:rPr>
          <w:rFonts w:ascii="Calibri" w:hAnsi="Calibri" w:cs="Calibri"/>
        </w:rPr>
        <w:fldChar w:fldCharType="begin" w:fldLock="1"/>
      </w:r>
      <w:r w:rsidR="00C541CC" w:rsidRPr="00AC1B06">
        <w:rPr>
          <w:rFonts w:ascii="Calibri" w:hAnsi="Calibri" w:cs="Calibri"/>
          <w:color w:val="000000"/>
        </w:rPr>
        <w:instrText>ADDIN CSL_CITATION {"citationItems":[{"id":"ITEM-1","itemData":{"author":[{"dropping-particle":"","family":"Besharov","given":"Marya L.","non-dropping-particle":"","parse-names":false,"suffix":""},{"dropping-particle":"","family":"Smith","given":"Wendy K.","non-dropping-particle":"","parse-names":false,"suffix":""}],"container-title":"The Academy of Management Review","id":"ITEM-1","issue":"3","issued":{"date-parts":[["2014"]]},"page":"364-381","title":"Multiple Institutional Logics In Organizations: Explaining Their Varied Nature And Implications","type":"article-journal","volume":"39"},"uris":["http://www.mendeley.com/documents/?uuid=57cbbf37-05be-48a2-ad9d-1095a2aeb8e5"]}],"mendeley":{"formattedCitation":"(Besharov &amp; Smith, 2014)","plainTextFormattedCitation":"(Besharov &amp; Smith, 2014)","previouslyFormattedCitation":"(Besharov &amp; Smith, 2014)"},"properties":{"noteIndex":0},"schema":"https://github.com/citation-style-language/schema/raw/master/csl-citation.json"}</w:instrText>
      </w:r>
      <w:r w:rsidRPr="00AC1B06">
        <w:rPr>
          <w:rFonts w:ascii="Calibri" w:hAnsi="Calibri" w:cs="Calibri"/>
          <w:color w:val="000000"/>
        </w:rPr>
        <w:fldChar w:fldCharType="separate"/>
      </w:r>
      <w:r w:rsidR="00C541CC" w:rsidRPr="00AC1B06">
        <w:rPr>
          <w:rFonts w:ascii="Calibri" w:hAnsi="Calibri" w:cs="Calibri"/>
          <w:noProof/>
          <w:color w:val="000000"/>
        </w:rPr>
        <w:t>(Besharov &amp; Smith, 2014)</w:t>
      </w:r>
      <w:r w:rsidRPr="00AC1B06">
        <w:rPr>
          <w:rFonts w:ascii="Calibri" w:hAnsi="Calibri" w:cs="Calibri"/>
          <w:color w:val="000000"/>
        </w:rPr>
        <w:fldChar w:fldCharType="end"/>
      </w:r>
      <w:r w:rsidRPr="00AC1B06">
        <w:rPr>
          <w:rFonts w:ascii="Calibri" w:hAnsi="Calibri" w:cs="Calibri"/>
          <w:color w:val="000000"/>
        </w:rPr>
        <w:t xml:space="preserve">. In the case of COVID-19 and the FRSA logic, the FRSA logic was central to the functioning of SYFR, however, the temporal COVID-19 logics were not compatible as SYFR’s functioning is based on engagement with the public, both within prevention and response, and COVID-19 required social distancing. However, even with COVID-19 requiring specific distancing, the FRSA logic was still the dominant logic with home safety visits still taking place if there was a higher risk to life from arson than COVID-19.  This could be viewed as creating hybrid logics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{"citationItems":[{"id":"ITEM-1","itemData":{"DOI":"10.1177/0002716220965905","ISSN":"15523349","abstract":"The delivery of public services increasingly operates under hybrid accountability regimes, but we have much to learn about how these regimes interrelate. I develop a framework for systematic analysis of hybrid public, market, and professional accountability arrangements, looking at the compatibility of their content, steering mechanisms, and relationships. The analysis is informed and illustrated by empirical studies on accountability in welfare state services, which offer evidence on hybrid accountability arrangements. The article concludes by discussing the interplay between accountability regimes and the conditions in which they undermine or reinforce each other. I argue that compatibility between regimes depends on the content of accountability rather than on the accountability mechanisms, and I highlight the importance of the trust between the parties entering into accountability relations and the proximity of their institutional logics.","author":[{"dropping-particle":"","family":"Benish","given":"Avishai","non-dropping-particle":"","parse-names":false,"suffix":""}],"container-title":"Annals of the American Academy of Political and Social Science","id":"ITEM-1","issue":"1","issued":{"date-parts":[["2020"]]},"page":"295-310","title":"The Logics of Hybrid Accountability: When the State, the Market, and Professionalism Interact","type":"article-journal","volume":"691"},"uris":["http://www.mendeley.com/documents/?uuid=fda39e31-d6b9-4cc4-ac0d-6d36d940bb84"]}],"mendeley":{"formattedCitation":"(Benish, 2020)","plainTextFormattedCitation":"(Benish, 2020)","previouslyFormattedCitation":"(Benish, 2020)"},"properties":{"noteIndex":0},"schema":"https://github.com/citation-style-language/schema/raw/master/csl-citation.json"}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(Benish, 2020)</w:t>
      </w:r>
      <w:r w:rsidRPr="00AC1B06">
        <w:rPr>
          <w:rFonts w:ascii="Calibri" w:hAnsi="Calibri" w:cs="Calibri"/>
          <w:color w:val="000000"/>
        </w:rPr>
        <w:fldChar w:fldCharType="end"/>
      </w:r>
      <w:r w:rsidRPr="00AC1B06">
        <w:rPr>
          <w:rFonts w:ascii="Calibri" w:hAnsi="Calibri" w:cs="Calibri"/>
          <w:color w:val="000000"/>
        </w:rPr>
        <w:t xml:space="preserve"> by requiring members of SYFR to develop a new method of working combining both sets of logics, in this case focusing on immediate risk to life.</w:t>
      </w:r>
    </w:p>
    <w:p w14:paraId="3DAA60B9" w14:textId="77777777" w:rsidR="004F6AAA" w:rsidRPr="00AC1B06" w:rsidRDefault="004F6AAA" w:rsidP="00A0151B">
      <w:pPr>
        <w:pStyle w:val="NormalWeb"/>
        <w:spacing w:before="0" w:after="0" w:line="360" w:lineRule="auto"/>
        <w:rPr>
          <w:rFonts w:ascii="Calibri" w:hAnsi="Calibri" w:cs="Calibri"/>
        </w:rPr>
      </w:pPr>
    </w:p>
    <w:p w14:paraId="0E8F6EEC" w14:textId="77777777" w:rsidR="00787F73" w:rsidRPr="00AC1B06" w:rsidRDefault="00742FB7" w:rsidP="00866155">
      <w:pPr>
        <w:pStyle w:val="NormalWeb"/>
        <w:spacing w:before="240" w:after="240" w:line="360" w:lineRule="auto"/>
        <w:rPr>
          <w:rFonts w:ascii="Calibri" w:hAnsi="Calibri" w:cs="Calibri"/>
        </w:rPr>
      </w:pPr>
      <w:r w:rsidRPr="00AC1B06">
        <w:rPr>
          <w:rFonts w:ascii="Calibri" w:hAnsi="Calibri" w:cs="Calibri"/>
          <w:color w:val="000000"/>
        </w:rPr>
        <w:t>COVID-19 not only affected the operations of SYFR, but also their communication through the methods they used to communicate, the messages they communicated, and the different tones of the messages.</w:t>
      </w:r>
    </w:p>
    <w:p w14:paraId="2F9F0065" w14:textId="77777777" w:rsidR="00787F73" w:rsidRDefault="00742FB7" w:rsidP="00866155">
      <w:pPr>
        <w:pStyle w:val="Heading4"/>
        <w:spacing w:line="360" w:lineRule="auto"/>
      </w:pPr>
      <w:bookmarkStart w:id="932" w:name="_Toc158047150"/>
      <w:bookmarkStart w:id="933" w:name="_Toc158216659"/>
      <w:r>
        <w:t>Influenced method of communication</w:t>
      </w:r>
      <w:bookmarkEnd w:id="932"/>
      <w:bookmarkEnd w:id="933"/>
    </w:p>
    <w:p w14:paraId="01DEE010" w14:textId="77777777" w:rsidR="00787F73" w:rsidRDefault="00742FB7" w:rsidP="00866155">
      <w:pPr>
        <w:pStyle w:val="NormalWeb"/>
        <w:spacing w:before="240" w:after="240" w:line="360" w:lineRule="auto"/>
        <w:rPr>
          <w:rFonts w:ascii="Calibri" w:hAnsi="Calibri" w:cs="Calibri"/>
          <w:color w:val="000000"/>
        </w:rPr>
      </w:pPr>
      <w:r w:rsidRPr="00AC1B06">
        <w:rPr>
          <w:rFonts w:ascii="Calibri" w:hAnsi="Calibri" w:cs="Calibri"/>
          <w:color w:val="000000"/>
        </w:rPr>
        <w:t>Due to social distancing laws which took effect on 26</w:t>
      </w:r>
      <w:r w:rsidRPr="00AC1B06">
        <w:rPr>
          <w:rFonts w:ascii="Calibri" w:hAnsi="Calibri" w:cs="Calibri"/>
          <w:color w:val="000000"/>
          <w:vertAlign w:val="superscript"/>
        </w:rPr>
        <w:t>th</w:t>
      </w:r>
      <w:r w:rsidRPr="00AC1B06">
        <w:rPr>
          <w:rFonts w:ascii="Calibri" w:hAnsi="Calibri" w:cs="Calibri"/>
          <w:color w:val="000000"/>
        </w:rPr>
        <w:t xml:space="preserve"> March 2020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URL":"https://commonslibrary.parliament.uk/lockdown-laws-in-england-one-year-on/","accessed":{"date-parts":[["2024","3","28"]]},"author":[{"dropping-particle":"","family":"Baker","given":"Carl","non-dropping-particle":"","parse-names":false,"suffix":""},{"dropping-particle":"","family":"Ferguson","given":"Daniel","non-dropping-particle":"","parse-names":false,"suffix":""},{"dropping-particle":"","family":"Brown","given":"Jennifer","non-dropping-particle":"","parse-names":false,"suffix":""},{"dropping-particle":"","family":"Barber","given":"Sarah","non-dropping-particle":"","parse-names":false,"suffix":""}],"container-title":"House of Commons Library","id":"ITEM-1","issued":{"date-parts":[["2021"]]},"title":"Lockdown laws in England: One year on","type":"webpage"},"uris":["http://www.mendeley.com/documents/?uuid=eeeff71f-2ebe-4b09-980f-060c848a0ab8"]}],"mendeley":{"formattedCitation":"(Baker et al., 2021)","plainTextFormattedCitation":"(Baker et al., 2021)","previouslyFormattedCitation":"(Baker et al., 2021)"},"properties":{"noteIndex":0},"schema":"https://github.com/citation-style-language/schema/raw/master/csl-citation.json"}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(Baker et al., 2021)</w:t>
      </w:r>
      <w:r w:rsidRPr="00AC1B06">
        <w:rPr>
          <w:rFonts w:ascii="Calibri" w:hAnsi="Calibri" w:cs="Calibri"/>
          <w:color w:val="000000"/>
        </w:rPr>
        <w:fldChar w:fldCharType="end"/>
      </w:r>
      <w:r w:rsidRPr="00AC1B06">
        <w:rPr>
          <w:rFonts w:ascii="Calibri" w:hAnsi="Calibri" w:cs="Calibri"/>
          <w:color w:val="000000"/>
        </w:rPr>
        <w:t>, SYFR were unable to work with the community face-to-face; this put increased focus on their remote communications, including social media: </w:t>
      </w:r>
    </w:p>
    <w:p w14:paraId="1D4B019A" w14:textId="77777777" w:rsidR="004F6AAA" w:rsidRDefault="004F6AAA" w:rsidP="00A0151B">
      <w:pPr>
        <w:pStyle w:val="NormalWeb"/>
        <w:spacing w:before="0" w:after="0" w:line="360" w:lineRule="auto"/>
        <w:rPr>
          <w:rFonts w:ascii="Calibri" w:hAnsi="Calibri" w:cs="Calibri"/>
          <w:color w:val="000000"/>
        </w:rPr>
      </w:pPr>
    </w:p>
    <w:p w14:paraId="5E467038" w14:textId="77777777" w:rsidR="00787F73" w:rsidRDefault="00742FB7" w:rsidP="00866155">
      <w:pPr>
        <w:pStyle w:val="NormalWeb"/>
        <w:spacing w:before="240" w:after="240" w:line="360" w:lineRule="auto"/>
        <w:ind w:left="720" w:right="663"/>
        <w:rPr>
          <w:rFonts w:ascii="Calibri" w:hAnsi="Calibri" w:cs="Calibri"/>
          <w:color w:val="000000"/>
        </w:rPr>
      </w:pPr>
      <w:r w:rsidRPr="00AC1B06">
        <w:rPr>
          <w:rStyle w:val="QuoteChar"/>
          <w:rFonts w:cs="Calibri"/>
        </w:rPr>
        <w:t>“Obviously a lot of our communication now is over things like social media. Which it was before really but from a service point of view other than really essential contact. Our main contact with people now is social media because that’s all we can do.”</w:t>
      </w:r>
      <w:r w:rsidRPr="00AC1B06">
        <w:rPr>
          <w:rFonts w:ascii="Calibri" w:hAnsi="Calibri" w:cs="Calibri"/>
          <w:color w:val="000000"/>
        </w:rPr>
        <w:t xml:space="preserve"> (CM </w:t>
      </w:r>
      <w:r w:rsidR="006A7A2E">
        <w:rPr>
          <w:rFonts w:ascii="Calibri" w:hAnsi="Calibri" w:cs="Calibri"/>
          <w:color w:val="000000"/>
        </w:rPr>
        <w:t xml:space="preserve">interview, </w:t>
      </w:r>
      <w:r w:rsidRPr="00AC1B06">
        <w:rPr>
          <w:rFonts w:ascii="Calibri" w:hAnsi="Calibri" w:cs="Calibri"/>
          <w:color w:val="000000"/>
        </w:rPr>
        <w:t>21.04.20)</w:t>
      </w:r>
    </w:p>
    <w:p w14:paraId="54D511E8" w14:textId="77777777" w:rsidR="004F6AAA" w:rsidRDefault="004F6AAA" w:rsidP="00A0151B">
      <w:pPr>
        <w:pStyle w:val="NormalWeb"/>
        <w:spacing w:before="0" w:after="0" w:line="360" w:lineRule="auto"/>
        <w:ind w:left="720" w:right="663"/>
        <w:rPr>
          <w:rFonts w:ascii="Calibri" w:hAnsi="Calibri" w:cs="Calibri"/>
          <w:color w:val="000000"/>
        </w:rPr>
      </w:pPr>
    </w:p>
    <w:p w14:paraId="4F4C0D34" w14:textId="77777777" w:rsidR="00787F73" w:rsidRDefault="00742FB7" w:rsidP="00866155">
      <w:pPr>
        <w:rPr>
          <w:rFonts w:cs="Calibri"/>
          <w:color w:val="000000"/>
        </w:rPr>
      </w:pPr>
      <w:r w:rsidRPr="00AC1B06">
        <w:rPr>
          <w:rFonts w:cs="Calibri"/>
          <w:color w:val="000000"/>
        </w:rPr>
        <w:t xml:space="preserve">As discussed in Chapter 2, there has been a growing social media logic within society </w:t>
      </w:r>
      <w:r w:rsidRPr="00AC1B06">
        <w:rPr>
          <w:rFonts w:cs="Calibri"/>
        </w:rPr>
        <w:fldChar w:fldCharType="begin" w:fldLock="1"/>
      </w:r>
      <w:r w:rsidRPr="00AC1B06">
        <w:rPr>
          <w:rFonts w:cs="Calibri"/>
          <w:color w:val="000000"/>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sidRPr="00AC1B06">
        <w:rPr>
          <w:rFonts w:cs="Calibri"/>
          <w:color w:val="000000"/>
        </w:rPr>
        <w:fldChar w:fldCharType="separate"/>
      </w:r>
      <w:r w:rsidRPr="00AC1B06">
        <w:rPr>
          <w:rFonts w:cs="Calibri"/>
          <w:noProof/>
          <w:color w:val="000000"/>
        </w:rPr>
        <w:t>(van Dijck &amp; Poell, 2013)</w:t>
      </w:r>
      <w:r w:rsidRPr="00AC1B06">
        <w:rPr>
          <w:rFonts w:cs="Calibri"/>
          <w:color w:val="000000"/>
        </w:rPr>
        <w:fldChar w:fldCharType="end"/>
      </w:r>
      <w:r w:rsidRPr="00AC1B06">
        <w:rPr>
          <w:rFonts w:cs="Calibri"/>
        </w:rPr>
        <w:t xml:space="preserve"> </w:t>
      </w:r>
      <w:r w:rsidRPr="00AC1B06">
        <w:rPr>
          <w:rFonts w:cs="Calibri"/>
          <w:color w:val="000000"/>
        </w:rPr>
        <w:t xml:space="preserve">with social media being viewed as ubiquitous. However, COVID-19 </w:t>
      </w:r>
      <w:r w:rsidRPr="00AC1B06">
        <w:rPr>
          <w:rFonts w:cs="Calibri"/>
          <w:color w:val="000000"/>
        </w:rPr>
        <w:lastRenderedPageBreak/>
        <w:t xml:space="preserve">exacerbated this further with an increased sense of connectivity </w:t>
      </w:r>
      <w:r w:rsidRPr="00AC1B06">
        <w:rPr>
          <w:rFonts w:cs="Calibri"/>
        </w:rPr>
        <w:fldChar w:fldCharType="begin" w:fldLock="1"/>
      </w:r>
      <w:r w:rsidRPr="00AC1B06">
        <w:rPr>
          <w:rFonts w:cs="Calibri"/>
          <w:color w:val="000000"/>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sidRPr="00AC1B06">
        <w:rPr>
          <w:rFonts w:cs="Calibri"/>
          <w:color w:val="000000"/>
        </w:rPr>
        <w:fldChar w:fldCharType="separate"/>
      </w:r>
      <w:r w:rsidRPr="00AC1B06">
        <w:rPr>
          <w:rFonts w:cs="Calibri"/>
          <w:noProof/>
          <w:color w:val="000000"/>
        </w:rPr>
        <w:t>(van Dijck &amp; Poell, 2013)</w:t>
      </w:r>
      <w:r w:rsidRPr="00AC1B06">
        <w:rPr>
          <w:rFonts w:cs="Calibri"/>
          <w:color w:val="000000"/>
        </w:rPr>
        <w:fldChar w:fldCharType="end"/>
      </w:r>
      <w:r w:rsidRPr="00AC1B06">
        <w:rPr>
          <w:rFonts w:cs="Calibri"/>
          <w:color w:val="000000"/>
        </w:rPr>
        <w:t xml:space="preserve">, with most organisations and individuals turning to social media for emotional support, advice and information </w:t>
      </w:r>
      <w:r w:rsidRPr="00AC1B06">
        <w:rPr>
          <w:rFonts w:cs="Calibri"/>
        </w:rPr>
        <w:fldChar w:fldCharType="begin" w:fldLock="1"/>
      </w:r>
      <w:r w:rsidR="00974B75" w:rsidRPr="00AC1B06">
        <w:rPr>
          <w:rFonts w:cs="Calibri"/>
          <w:color w:val="000000"/>
        </w:rPr>
        <w:instrText>ADDIN CSL_CITATION {"citationItems":[{"id":"ITEM-1","itemData":{"author":[{"dropping-particle":"","family":"Resnyansky","given":"Lucy","non-dropping-particle":"","parse-names":false,"suffix":""}],"container-title":"IEEE Technology and Society Magazine","id":"ITEM-1","issue":"1","issued":{"date-parts":[["2014"]]},"page":"54-65","title":"Social Media, Disaster Studies, Communication and Human Communication","type":"article-journal","volume":"33"},"uris":["http://www.mendeley.com/documents/?uuid=c8e5d180-c40d-4ffb-9803-dbd3d85d5555"]},{"id":"ITEM-2","itemData":{"ISBN":"1324-1540","ISSN":"1324-1540","PMID":"46721101149317","abstract":"In this paper we review data collected from an online, social media-administered survey developed to explore public use of social media during a series of natural disasters, predominantly in Australia and New Zealand, during January to March 2011. These data are then explored using examples taken from the experiences of those involved in administering the most widely-used community-driven Facebook page during these disasters, which focused on tropical cyclone Yasi (‘Cyclone Yasi Update’). The survey was completed by 1146 respondents who had used social media in relation to the recent natural disasters. Data indicated that the public relied on a mix of formal and informal information sources, often using social media to re-post or re-tweet links from government websites felt to be of use to communities, thus acting as filters and amplifiers of ‘official’ information. This paper discusses how social media, specifically their core strengths of timely information exchange and promotion of connectedness, were able to act as sources of psychological first aid in the early stages of disaster and assist in supporting aspects of community resilience.","author":[{"dropping-particle":"","family":"Taylor","given":"By Mel","non-dropping-particle":"","parse-names":false,"suffix":""},{"dropping-particle":"","family":"Wells","given":"Garrett","non-dropping-particle":"","parse-names":false,"suffix":""},{"dropping-particle":"","family":"Howell","given":"Gwyneth","non-dropping-particle":"","parse-names":false,"suffix":""},{"dropping-particle":"","family":"Raphael","given":"Beverley","non-dropping-particle":"","parse-names":false,"suffix":""}],"container-title":"The Australian Journal of Emergency Management","id":"ITEM-2","issue":"1","issued":{"date-parts":[["2012"]]},"page":"20-26","title":"The role of social media as psychological first aid as a support to community resilience building .","type":"article-journal","volume":"27"},"uris":["http://www.mendeley.com/documents/?uuid=860c8106-6f74-480d-8bc4-bb8a4c53230f"]},{"id":"ITEM-3","itemData":{"URL":"https://danslee.wordpress.com/2019/08/16/long-read-i-read-147-facebook-updates-across-seven-pages-to-see-how-the-whaley-bridge-dam-crisis-was-communicated-on-facebook/","author":[{"dropping-particle":"","family":"Slee","given":"Dan","non-dropping-particle":"","parse-names":false,"suffix":""}],"container-title":"Dan Slee","id":"ITEM-3","issue":"August","issued":{"date-parts":[["2019"]]},"page":"1-11","title":"LONG READ: I read 147 Facebook updates across seven pages to see how the Whaley Bridge dam crisis was communicated on Facebook","type":"webpage"},"uris":["http://www.mendeley.com/documents/?uuid=c6875663-7291-4ec0-834d-02549491168c"]},{"id":"ITEM-4","itemData":{"DOI":"10.1016/j.chb.2022.107294","ISSN":"07475632","abstract":"Facing the Covid outbreaks, public health researchers share a consensus that community resilience should be maintained and strengthened because it helps mitigate the physical and emotional tolls on individuals and communities. One way to achieve the goal is to build and strengthen community resilience through social media. However, social media's role in building community resilience has been poorly understood from a behavioral perspective. Guiding by uses and gratification theory and the coping literature, we build a model to examine how social media behaviors may influence community members' perceived community resilience, providing a “bottom-up” voice to deepen our understanding of community resilience and its implications for public health. The results shows that community members' social media engagement was significantly associated with their perceived community resilience. While helping others on social media led people to perceive their communities as less resilient, the use of social media for social support helped foster social capital, leading to more perceived resilience at the collective level. Overall, social media use played important roles in shaping people's perception of community resilience, helping community members and organizations evaluate their strengths and weaknesses, and make improvement to better address future challenges in the times of global disasters.","author":[{"dropping-particle":"","family":"Xie","given":"Lola","non-dropping-particle":"","parse-names":false,"suffix":""},{"dropping-particle":"","family":"Pinto","given":"Juliet","non-dropping-particle":"","parse-names":false,"suffix":""},{"dropping-particle":"","family":"Zhong","given":"Bu","non-dropping-particle":"","parse-names":false,"suffix":""}],"container-title":"Computers in Human Behavior","id":"ITEM-4","issued":{"date-parts":[["2022"]]},"page":"1 - 9","title":"Building community resilience on social media to help recover from the COVID-19 pandemic","type":"article-journal","volume":"134"},"uris":["http://www.mendeley.com/documents/?uuid=625f072e-ec3a-410e-b53c-06c711464573"]}],"mendeley":{"formattedCitation":"(Xie, Pinto, &amp; Zhong, 2022; Slee, 2019; Resnyansky, 2014; Taylor et al., 2012)","plainTextFormattedCitation":"(Xie, Pinto, &amp; Zhong, 2022; Slee, 2019; Resnyansky, 2014; Taylor et al., 2012)","previouslyFormattedCitation":"(Xie, Pinto, &amp; Zhong, 2022; Slee, 2019; Resnyansky, 2014; Taylor et al., 2012)"},"properties":{"noteIndex":0},"schema":"https://github.com/citation-style-language/schema/raw/master/csl-citation.json"}</w:instrText>
      </w:r>
      <w:r w:rsidRPr="00AC1B06">
        <w:rPr>
          <w:rFonts w:cs="Calibri"/>
          <w:color w:val="000000"/>
        </w:rPr>
        <w:fldChar w:fldCharType="separate"/>
      </w:r>
      <w:r w:rsidRPr="00AC1B06">
        <w:rPr>
          <w:rFonts w:cs="Calibri"/>
          <w:noProof/>
          <w:color w:val="000000"/>
        </w:rPr>
        <w:t>(Xie, Pinto, &amp; Zhong, 2022; Slee, 2019; Resnyansky, 2014; Taylor et al., 2012)</w:t>
      </w:r>
      <w:r w:rsidRPr="00AC1B06">
        <w:rPr>
          <w:rFonts w:cs="Calibri"/>
          <w:color w:val="000000"/>
        </w:rPr>
        <w:fldChar w:fldCharType="end"/>
      </w:r>
      <w:r w:rsidRPr="00AC1B06">
        <w:rPr>
          <w:rFonts w:cs="Calibri"/>
          <w:color w:val="000000"/>
        </w:rPr>
        <w:t>. Communications teams, such as SYFR, had a captive audience on social media for their PIC:  </w:t>
      </w:r>
    </w:p>
    <w:p w14:paraId="5DDDECA0" w14:textId="77777777" w:rsidR="004F6AAA" w:rsidRDefault="004F6AAA" w:rsidP="00866155">
      <w:pPr>
        <w:rPr>
          <w:rFonts w:cs="Calibri"/>
          <w:color w:val="000000"/>
        </w:rPr>
      </w:pPr>
    </w:p>
    <w:p w14:paraId="33A37436" w14:textId="77777777" w:rsidR="00787F73" w:rsidRDefault="00742FB7" w:rsidP="00866155">
      <w:pPr>
        <w:pStyle w:val="NormalWeb"/>
        <w:spacing w:before="240" w:after="240" w:line="360" w:lineRule="auto"/>
        <w:ind w:left="720" w:right="663"/>
        <w:rPr>
          <w:rFonts w:ascii="Calibri" w:hAnsi="Calibri" w:cs="Calibri"/>
          <w:color w:val="000000"/>
        </w:rPr>
      </w:pPr>
      <w:r w:rsidRPr="00AC1B06">
        <w:rPr>
          <w:rStyle w:val="QuoteChar"/>
          <w:rFonts w:cs="Calibri"/>
        </w:rPr>
        <w:t>“I’ve never seen anything like that, which again, is another reason why we’re doing this campaign now and quickly, because there’s a captive audience there and the groups are cropping up.” (</w:t>
      </w:r>
      <w:r w:rsidRPr="00AC1B06">
        <w:rPr>
          <w:rFonts w:ascii="Calibri" w:hAnsi="Calibri" w:cs="Calibri"/>
          <w:color w:val="000000"/>
        </w:rPr>
        <w:t xml:space="preserve">CM </w:t>
      </w:r>
      <w:r w:rsidR="006A7A2E">
        <w:rPr>
          <w:rFonts w:ascii="Calibri" w:hAnsi="Calibri" w:cs="Calibri"/>
          <w:color w:val="000000"/>
        </w:rPr>
        <w:t xml:space="preserve">interview, </w:t>
      </w:r>
      <w:r w:rsidRPr="00AC1B06">
        <w:rPr>
          <w:rFonts w:ascii="Calibri" w:hAnsi="Calibri" w:cs="Calibri"/>
          <w:color w:val="000000"/>
        </w:rPr>
        <w:t>23.3.20)</w:t>
      </w:r>
    </w:p>
    <w:p w14:paraId="7FDB90ED" w14:textId="4E61A0B5" w:rsidR="004F6AAA" w:rsidRDefault="004F6AAA" w:rsidP="00A0151B">
      <w:pPr>
        <w:pStyle w:val="NormalWeb"/>
        <w:spacing w:before="0" w:after="0" w:line="360" w:lineRule="auto"/>
        <w:ind w:left="720" w:right="663"/>
        <w:rPr>
          <w:rFonts w:ascii="Calibri" w:hAnsi="Calibri" w:cs="Calibri"/>
          <w:color w:val="000000"/>
        </w:rPr>
      </w:pPr>
    </w:p>
    <w:p w14:paraId="20ADF9CF" w14:textId="1A0401FC" w:rsidR="00787F73" w:rsidRDefault="00C84401" w:rsidP="00866155">
      <w:pPr>
        <w:pStyle w:val="NormalWeb"/>
        <w:spacing w:before="240" w:after="240" w:line="360" w:lineRule="auto"/>
        <w:rPr>
          <w:rFonts w:ascii="Calibri" w:hAnsi="Calibri" w:cs="Calibri"/>
          <w:color w:val="000000"/>
        </w:rPr>
      </w:pPr>
      <w:r w:rsidRPr="00010F12">
        <w:rPr>
          <w:rFonts w:ascii="Calibri" w:hAnsi="Calibri" w:cs="Calibri"/>
        </w:rPr>
        <w:t>While</w:t>
      </w:r>
      <w:r w:rsidR="00742FB7" w:rsidRPr="00AC1B06">
        <w:rPr>
          <w:rFonts w:ascii="Calibri" w:hAnsi="Calibri" w:cs="Calibri"/>
          <w:color w:val="000000"/>
        </w:rPr>
        <w:t xml:space="preserve"> SYFR routinely used social media for their risk communication PICs, COVID-19 resulted in increased social media metrics. This focus on social media metrics and a captive audience assumed that if people have viewed the material, then they would act upon it, but as discussed in RQ1</w:t>
      </w:r>
      <w:r w:rsidR="00E103C6">
        <w:rPr>
          <w:rFonts w:ascii="Calibri" w:hAnsi="Calibri" w:cs="Calibri"/>
          <w:color w:val="000000"/>
        </w:rPr>
        <w:t>,</w:t>
      </w:r>
      <w:r w:rsidR="00742FB7" w:rsidRPr="00AC1B06">
        <w:rPr>
          <w:rFonts w:ascii="Calibri" w:hAnsi="Calibri" w:cs="Calibri"/>
          <w:color w:val="000000"/>
        </w:rPr>
        <w:t xml:space="preserve"> this is not always the case. However, </w:t>
      </w:r>
      <w:r>
        <w:rPr>
          <w:rFonts w:ascii="Calibri" w:hAnsi="Calibri" w:cs="Calibri"/>
          <w:color w:val="000000"/>
        </w:rPr>
        <w:t>while</w:t>
      </w:r>
      <w:r w:rsidRPr="00AC1B06">
        <w:rPr>
          <w:rFonts w:ascii="Calibri" w:hAnsi="Calibri" w:cs="Calibri"/>
          <w:color w:val="000000"/>
        </w:rPr>
        <w:t xml:space="preserve"> </w:t>
      </w:r>
      <w:r w:rsidR="00742FB7" w:rsidRPr="00AC1B06">
        <w:rPr>
          <w:rFonts w:ascii="Calibri" w:hAnsi="Calibri" w:cs="Calibri"/>
          <w:color w:val="000000"/>
        </w:rPr>
        <w:t xml:space="preserve">SYFR’s communication had often been based on the </w:t>
      </w:r>
      <w:r w:rsidR="00912954">
        <w:rPr>
          <w:rFonts w:ascii="Calibri" w:hAnsi="Calibri" w:cs="Calibri"/>
          <w:color w:val="000000"/>
        </w:rPr>
        <w:t>D</w:t>
      </w:r>
      <w:r w:rsidR="004F7B90" w:rsidRPr="00AC1B06">
        <w:rPr>
          <w:rFonts w:ascii="Calibri" w:hAnsi="Calibri" w:cs="Calibri"/>
          <w:color w:val="000000"/>
        </w:rPr>
        <w:t xml:space="preserve">eficit </w:t>
      </w:r>
      <w:r w:rsidR="00912954">
        <w:rPr>
          <w:rFonts w:ascii="Calibri" w:hAnsi="Calibri" w:cs="Calibri"/>
          <w:color w:val="000000"/>
        </w:rPr>
        <w:t>M</w:t>
      </w:r>
      <w:r w:rsidR="004F7B90" w:rsidRPr="00AC1B06">
        <w:rPr>
          <w:rFonts w:ascii="Calibri" w:hAnsi="Calibri" w:cs="Calibri"/>
          <w:color w:val="000000"/>
        </w:rPr>
        <w:t xml:space="preserve">odel </w:t>
      </w:r>
      <w:r w:rsidR="00742FB7" w:rsidRPr="00AC1B06">
        <w:rPr>
          <w:rFonts w:ascii="Calibri" w:hAnsi="Calibri" w:cs="Calibri"/>
          <w:color w:val="000000"/>
        </w:rPr>
        <w:t xml:space="preserve">of communication, namely providing the information and expecting behaviour change </w:t>
      </w:r>
      <w:r w:rsidR="00742FB7"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Engineering","id":"ITEM-1","issued":{"date-parts":[["2018"]]},"page":"246-253","publisher":"Elsevier B.V.","title":"Conceptual Framework for Motivating Actions towards Disaster Preparedness Through Risk Communication","type":"article-journal","volume":"212"},"uris":["http://www.mendeley.com/documents/?uuid=01e245d0-867b-47cd-8164-80d2bc1d7862"]},{"id":"ITEM-2","itemData":{"DOI":"10.1016/j.gloenvcha.2019.03.001","ISSN":"09593780","abstract":"'Participation with publics' has been embraced in both government and academic literatures as a necessary but currently unrealized means of governing socio-environmental challenges. This near-universal embrace carries global significance. Long-standing efforts in the context of disaster risk reduction (DRR) provide an opportunity to consider how experts have positioned participation such that it can only fail to empower publics. Using interviews with risk managers, we demonstrate that they impose boundaries on participation via application of a deficit model (DM). Despite continuous calls to make governance more participatory, we explore how the boundaries imposed on participation persist because of how experts are expected to do risk management, and how experts understand their occupations. As a result, meaningful publics-experts interactions are bounded into impossibility. Following demonstration of the DM as the essence of how experts conceive experts-publics interactions, using experts' own suggestions for improving risk reduction, we suggest relationship building as a way of reinvigorating participation. We explore how disaster risk reduction grounded in relationships could overcome existing boundaries, offering an easily-applied reconceptualization for differentiating meaningful from superficial participation, as well as a viable alternative to prevailing participatory methods. Given the intransigence of countless socio-environmental challenges and the need for improved interactions amongst experts-publics, the findings offer a novel pathway that may open an avenue to realizing the promise of participation.","author":[{"dropping-particle":"","family":"Cook","given":"Brian R.","non-dropping-particle":"","parse-names":false,"suffix":""},{"dropping-particle":"","family":"Melo Zurita","given":"Maria de Lourdes","non-dropping-particle":"","parse-names":false,"suffix":""}],"container-title":"Global Environmental Change","id":"ITEM-2","issue":"May","issued":{"date-parts":[["2019"]]},"page":"56-65","publisher":"Elsevier Ltd","title":"Fulfilling the promise of participation by not resuscitating the deficit model","type":"article-journal","volume":"56"},"uris":["http://www.mendeley.com/documents/?uuid=de577b06-4442-4293-9291-43a20bc460b6"]},{"id":"ITEM-3","itemData":{"DOI":"10.1080/13669877.2020.1756385","ISSN":"14664461","abstract":"The emergence of the 2019 novel coronavirus has led to more than a pandemic—indeed, COVID-19 is spawning myriad other concerns as it rapidly marches around the globe. One of these concerns is a surge of misinformation, which we argue should be viewed as a risk in its own right, and to which insights from decades of risk communication research must be applied. Further, when the subject of misinformation is itself a risk, as in the case of COVID-19, we argue for the utility of viewing the problem as a multi-layered risk communication problem. In such circumstances, misinformation functions as a meta-risk that interacts with and complicates publics’ perceptions of the original risk. Therefore, as the COVID-19 “misinfodemic” intensifies, risk communication research should inform the efforts of key risk communicators. To this end, we discuss the implications of risk research for efforts to fact-check COVID-19 misinformation and offer practical recommendations.","author":[{"dropping-particle":"","family":"Krause","given":"Nicole M.","non-dropping-particle":"","parse-names":false,"suffix":""},{"dropping-particle":"","family":"Freiling","given":"Isabelle","non-dropping-particle":"","parse-names":false,"suffix":""},{"dropping-particle":"","family":"Beets","given":"Becca","non-dropping-particle":"","parse-names":false,"suffix":""},{"dropping-particle":"","family":"Brossard","given":"Dominique","non-dropping-particle":"","parse-names":false,"suffix":""}],"container-title":"Journal of Risk Research","id":"ITEM-3","issue":"7-8","issued":{"date-parts":[["2020"]]},"page":"1052-1059","publisher":"Routledge","title":"Fact-checking as risk communication: the multi-layered risk of misinformation in times of COVID-19","type":"article-journal","volume":"23"},"uris":["http://www.mendeley.com/documents/?uuid=26d3c928-b5da-4496-be25-28ce98d4ef48"]}],"mendeley":{"formattedCitation":"(Krause et al., 2020; Cook &amp; Melo Zurita, 2019; Abunyewah, Gajendran, &amp; Maund, 2018)","plainTextFormattedCitation":"(Krause et al., 2020; Cook &amp; Melo Zurita, 2019; Abunyewah, Gajendran, &amp; Maund, 2018)","previouslyFormattedCitation":"(Krause et al., 2020; Cook &amp; Melo Zurita, 2019; Abunyewah, Gajendran, &amp; Maund, 2018)"},"properties":{"noteIndex":0},"schema":"https://github.com/citation-style-language/schema/raw/master/csl-citation.json"}</w:instrText>
      </w:r>
      <w:r w:rsidR="00742FB7" w:rsidRPr="00AC1B06">
        <w:rPr>
          <w:rFonts w:ascii="Calibri" w:hAnsi="Calibri" w:cs="Calibri"/>
          <w:color w:val="000000"/>
        </w:rPr>
        <w:fldChar w:fldCharType="separate"/>
      </w:r>
      <w:r w:rsidR="00742FB7" w:rsidRPr="00AC1B06">
        <w:rPr>
          <w:rFonts w:ascii="Calibri" w:hAnsi="Calibri" w:cs="Calibri"/>
          <w:noProof/>
        </w:rPr>
        <w:t>(Krause et al., 2020; Cook &amp; Melo Zurita, 2019; Abunyewah, Gajendran, &amp; Maund, 2018)</w:t>
      </w:r>
      <w:r w:rsidR="00742FB7" w:rsidRPr="00AC1B06">
        <w:rPr>
          <w:rFonts w:ascii="Calibri" w:hAnsi="Calibri" w:cs="Calibri"/>
          <w:color w:val="000000"/>
        </w:rPr>
        <w:fldChar w:fldCharType="end"/>
      </w:r>
      <w:r w:rsidR="00742FB7" w:rsidRPr="00AC1B06">
        <w:rPr>
          <w:rFonts w:ascii="Calibri" w:hAnsi="Calibri" w:cs="Calibri"/>
        </w:rPr>
        <w:t>, their</w:t>
      </w:r>
      <w:r w:rsidR="00742FB7" w:rsidRPr="00AC1B06">
        <w:rPr>
          <w:rFonts w:ascii="Calibri" w:hAnsi="Calibri" w:cs="Calibri"/>
          <w:color w:val="000000"/>
        </w:rPr>
        <w:t xml:space="preserve"> messaging during COVID-19 resulted in some positive community engagement online:</w:t>
      </w:r>
    </w:p>
    <w:p w14:paraId="38F6EF48" w14:textId="77777777" w:rsidR="004F6AAA" w:rsidRDefault="004F6AAA" w:rsidP="00A0151B">
      <w:pPr>
        <w:pStyle w:val="NormalWeb"/>
        <w:spacing w:before="0" w:after="0" w:line="360" w:lineRule="auto"/>
        <w:rPr>
          <w:rFonts w:ascii="Calibri" w:hAnsi="Calibri" w:cs="Calibri"/>
          <w:color w:val="000000"/>
        </w:rPr>
      </w:pPr>
    </w:p>
    <w:p w14:paraId="4D554AE6" w14:textId="77777777" w:rsidR="00787F73" w:rsidRDefault="00742FB7" w:rsidP="00866155">
      <w:pPr>
        <w:pStyle w:val="NormalWeb"/>
        <w:spacing w:before="240" w:after="240" w:line="360" w:lineRule="auto"/>
        <w:ind w:left="720" w:right="663"/>
        <w:rPr>
          <w:rFonts w:ascii="Calibri" w:hAnsi="Calibri" w:cs="Calibri"/>
          <w:color w:val="000000"/>
        </w:rPr>
      </w:pPr>
      <w:r w:rsidRPr="00AC1B06">
        <w:rPr>
          <w:rStyle w:val="QuoteChar"/>
          <w:rFonts w:cs="Calibri"/>
        </w:rPr>
        <w:t>“So, there’s more eyes and pressure on our social stuff. And right now it’s just a relentless wave of positivity, everything we put on gets really good feedback. We’re getting a lot of comments and messages about the stuff, people thanking us, sending stuff in.” (</w:t>
      </w:r>
      <w:r w:rsidRPr="00AC1B06">
        <w:rPr>
          <w:rFonts w:ascii="Calibri" w:hAnsi="Calibri" w:cs="Calibri"/>
          <w:color w:val="000000"/>
        </w:rPr>
        <w:t xml:space="preserve">CM </w:t>
      </w:r>
      <w:r w:rsidR="006A7A2E">
        <w:rPr>
          <w:rFonts w:ascii="Calibri" w:hAnsi="Calibri" w:cs="Calibri"/>
          <w:color w:val="000000"/>
        </w:rPr>
        <w:t xml:space="preserve">interview, </w:t>
      </w:r>
      <w:r w:rsidRPr="00AC1B06">
        <w:rPr>
          <w:rFonts w:ascii="Calibri" w:hAnsi="Calibri" w:cs="Calibri"/>
          <w:color w:val="000000"/>
        </w:rPr>
        <w:t>21.4.20)</w:t>
      </w:r>
    </w:p>
    <w:p w14:paraId="3956EDEF" w14:textId="77777777" w:rsidR="004F6AAA" w:rsidRDefault="004F6AAA" w:rsidP="00A0151B">
      <w:pPr>
        <w:pStyle w:val="NormalWeb"/>
        <w:spacing w:before="0" w:after="0" w:line="360" w:lineRule="auto"/>
        <w:ind w:left="720" w:right="663"/>
        <w:rPr>
          <w:rFonts w:ascii="Calibri" w:hAnsi="Calibri" w:cs="Calibri"/>
          <w:color w:val="000000"/>
        </w:rPr>
      </w:pPr>
    </w:p>
    <w:p w14:paraId="5C272515" w14:textId="12D51EAA" w:rsidR="00787F73" w:rsidRDefault="00742FB7" w:rsidP="00866155">
      <w:pPr>
        <w:pStyle w:val="NormalWeb"/>
        <w:spacing w:before="240" w:after="240" w:line="360" w:lineRule="auto"/>
        <w:rPr>
          <w:rFonts w:ascii="Calibri" w:hAnsi="Calibri" w:cs="Calibri"/>
          <w:color w:val="000000"/>
        </w:rPr>
      </w:pPr>
      <w:r w:rsidRPr="00AC1B06">
        <w:rPr>
          <w:rFonts w:ascii="Calibri" w:hAnsi="Calibri" w:cs="Calibri"/>
          <w:color w:val="000000"/>
        </w:rPr>
        <w:t xml:space="preserve">At the beginning of the pandemic, there was an increased sense of community spirit, with mutual aid groups being created to help community members who were struggling during the initial lockdown periods, and a focus on positive messaging across social media. This suggested an increase in community logics within South Yorkshire from both individuals and </w:t>
      </w:r>
      <w:r w:rsidRPr="00AC1B06">
        <w:rPr>
          <w:rFonts w:ascii="Calibri" w:hAnsi="Calibri" w:cs="Calibri"/>
          <w:color w:val="000000"/>
        </w:rPr>
        <w:lastRenderedPageBreak/>
        <w:t>organisations trying to support each other through the challenges created by COVID-19. For instance, at the beginning of the lockdown SYFR ran a drawing competition for children which was widely received due to parents trying to entertain their children who were unable to attend school. This demonstrates that the COVID-19 context</w:t>
      </w:r>
      <w:r w:rsidR="00E103C6">
        <w:rPr>
          <w:rFonts w:ascii="Calibri" w:hAnsi="Calibri" w:cs="Calibri"/>
          <w:color w:val="000000"/>
        </w:rPr>
        <w:t>,</w:t>
      </w:r>
      <w:r w:rsidRPr="00AC1B06">
        <w:rPr>
          <w:rFonts w:ascii="Calibri" w:hAnsi="Calibri" w:cs="Calibri"/>
          <w:color w:val="000000"/>
        </w:rPr>
        <w:t xml:space="preserve"> combined with the community logic</w:t>
      </w:r>
      <w:r w:rsidR="00E103C6">
        <w:rPr>
          <w:rFonts w:ascii="Calibri" w:hAnsi="Calibri" w:cs="Calibri"/>
          <w:color w:val="000000"/>
        </w:rPr>
        <w:t>,</w:t>
      </w:r>
      <w:r w:rsidRPr="00AC1B06">
        <w:rPr>
          <w:rFonts w:ascii="Calibri" w:hAnsi="Calibri" w:cs="Calibri"/>
          <w:color w:val="000000"/>
        </w:rPr>
        <w:t xml:space="preserve"> increased </w:t>
      </w:r>
      <w:r w:rsidR="00E103C6">
        <w:rPr>
          <w:rFonts w:ascii="Calibri" w:hAnsi="Calibri" w:cs="Calibri"/>
          <w:color w:val="000000"/>
        </w:rPr>
        <w:t xml:space="preserve">the </w:t>
      </w:r>
      <w:r w:rsidRPr="00AC1B06">
        <w:rPr>
          <w:rFonts w:ascii="Calibri" w:hAnsi="Calibri" w:cs="Calibri"/>
          <w:color w:val="000000"/>
        </w:rPr>
        <w:t xml:space="preserve">active engagement with SYFR’s post helped to build linking social capital </w:t>
      </w:r>
      <w:r w:rsidRPr="00AC1B06">
        <w:rPr>
          <w:rFonts w:ascii="Calibri" w:hAnsi="Calibri" w:cs="Calibri"/>
        </w:rPr>
        <w:fldChar w:fldCharType="begin" w:fldLock="1"/>
      </w:r>
      <w:r w:rsidRPr="00AC1B06">
        <w:rPr>
          <w:rFonts w:ascii="Calibri" w:hAnsi="Calibri" w:cs="Calibri"/>
          <w:color w:val="000000"/>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India","type":"article-journal","volume":"19"},"uris":["http://www.mendeley.com/documents/?uuid=d8bcf27c-1efc-4c15-8204-cd8b37719dd2"]}],"mendeley":{"formattedCitation":"(Sanyal &amp; Routray, 2016)","plainTextFormattedCitation":"(Sanyal &amp; Routray, 2016)","previouslyFormattedCitation":"(Sanyal &amp; Routray, 2016)"},"properties":{"noteIndex":0},"schema":"https://github.com/citation-style-language/schema/raw/master/csl-citation.json"}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(Sanyal &amp; Routray, 2016)</w:t>
      </w:r>
      <w:r w:rsidRPr="00AC1B06">
        <w:rPr>
          <w:rFonts w:ascii="Calibri" w:hAnsi="Calibri" w:cs="Calibri"/>
          <w:color w:val="000000"/>
        </w:rPr>
        <w:fldChar w:fldCharType="end"/>
      </w:r>
      <w:r w:rsidRPr="00AC1B06">
        <w:rPr>
          <w:rFonts w:ascii="Calibri" w:hAnsi="Calibri" w:cs="Calibri"/>
          <w:color w:val="000000"/>
        </w:rPr>
        <w:t xml:space="preserve"> within the online community. However, this level of engagement did not last long:</w:t>
      </w:r>
    </w:p>
    <w:p w14:paraId="2B5BE309" w14:textId="77777777" w:rsidR="004F6AAA" w:rsidRPr="00AC1B06" w:rsidRDefault="004F6AAA" w:rsidP="00A0151B">
      <w:pPr>
        <w:pStyle w:val="NormalWeb"/>
        <w:spacing w:before="0" w:after="0" w:line="360" w:lineRule="auto"/>
        <w:rPr>
          <w:rFonts w:ascii="Calibri" w:hAnsi="Calibri" w:cs="Calibri"/>
        </w:rPr>
      </w:pPr>
    </w:p>
    <w:p w14:paraId="64C67410" w14:textId="77777777" w:rsidR="00787F73" w:rsidRDefault="00742FB7" w:rsidP="00866155">
      <w:pPr>
        <w:pStyle w:val="NormalWeb"/>
        <w:spacing w:before="200" w:after="160" w:line="360" w:lineRule="auto"/>
        <w:ind w:left="720" w:right="663"/>
        <w:rPr>
          <w:rFonts w:ascii="Calibri" w:hAnsi="Calibri" w:cs="Calibri"/>
          <w:color w:val="000000"/>
        </w:rPr>
      </w:pPr>
      <w:r w:rsidRPr="00AC1B06">
        <w:rPr>
          <w:rStyle w:val="QuoteChar"/>
          <w:rFonts w:cs="Calibri"/>
        </w:rPr>
        <w:t>“… when it all first kicked off, I said social media is coming into its own, because it became the only platform, really, that was able to connect people and organise people. And I think it definitely did. But my observation was quite quickly everyone got to grips with all the organising and the volunteering groups, and the mutual aid. And the social died down a little bit. And it’s definitely become the new norm now.”</w:t>
      </w:r>
      <w:r w:rsidRPr="00AC1B06">
        <w:rPr>
          <w:rFonts w:ascii="Calibri" w:hAnsi="Calibri" w:cs="Calibri"/>
          <w:color w:val="000000"/>
        </w:rPr>
        <w:t xml:space="preserve"> (CM </w:t>
      </w:r>
      <w:r w:rsidR="006A7A2E">
        <w:rPr>
          <w:rFonts w:ascii="Calibri" w:hAnsi="Calibri" w:cs="Calibri"/>
          <w:color w:val="000000"/>
        </w:rPr>
        <w:t xml:space="preserve">interview, </w:t>
      </w:r>
      <w:r w:rsidRPr="00AC1B06">
        <w:rPr>
          <w:rFonts w:ascii="Calibri" w:hAnsi="Calibri" w:cs="Calibri"/>
          <w:color w:val="000000"/>
        </w:rPr>
        <w:t>29.06.20)</w:t>
      </w:r>
    </w:p>
    <w:p w14:paraId="59C9FCAC" w14:textId="77777777" w:rsidR="004F6AAA" w:rsidRPr="00AC1B06" w:rsidRDefault="004F6AAA" w:rsidP="00A0151B">
      <w:pPr>
        <w:pStyle w:val="NormalWeb"/>
        <w:spacing w:before="0" w:after="0" w:line="360" w:lineRule="auto"/>
        <w:ind w:left="720" w:right="663"/>
        <w:rPr>
          <w:rFonts w:ascii="Calibri" w:hAnsi="Calibri" w:cs="Calibri"/>
        </w:rPr>
      </w:pPr>
    </w:p>
    <w:p w14:paraId="2C5F770F" w14:textId="31B8AAFB" w:rsidR="00787F73" w:rsidRDefault="00C84401" w:rsidP="00866155">
      <w:pPr>
        <w:pStyle w:val="NormalWeb"/>
        <w:spacing w:before="200" w:after="160" w:line="360" w:lineRule="auto"/>
        <w:rPr>
          <w:rFonts w:ascii="Calibri" w:hAnsi="Calibri" w:cs="Calibri"/>
          <w:color w:val="000000"/>
        </w:rPr>
      </w:pPr>
      <w:r w:rsidRPr="00010F12">
        <w:rPr>
          <w:rFonts w:ascii="Calibri" w:hAnsi="Calibri" w:cs="Calibri"/>
        </w:rPr>
        <w:t>While</w:t>
      </w:r>
      <w:r w:rsidR="00742FB7" w:rsidRPr="00AC1B06">
        <w:rPr>
          <w:rFonts w:ascii="Calibri" w:hAnsi="Calibri" w:cs="Calibri"/>
          <w:color w:val="000000"/>
        </w:rPr>
        <w:t xml:space="preserve"> social media had immediately been used to share information and provide emotional support, these impacts were short lived</w:t>
      </w:r>
      <w:r w:rsidR="00E103C6">
        <w:rPr>
          <w:rFonts w:ascii="Calibri" w:hAnsi="Calibri" w:cs="Calibri"/>
          <w:color w:val="000000"/>
        </w:rPr>
        <w:t>;</w:t>
      </w:r>
      <w:r w:rsidR="00742FB7" w:rsidRPr="00AC1B06">
        <w:rPr>
          <w:rFonts w:ascii="Calibri" w:hAnsi="Calibri" w:cs="Calibri"/>
          <w:color w:val="000000"/>
        </w:rPr>
        <w:t xml:space="preserve"> two months into the COVID-19 restrictions the CM </w:t>
      </w:r>
      <w:r w:rsidR="00E103C6" w:rsidRPr="00AC1B06">
        <w:rPr>
          <w:rFonts w:ascii="Calibri" w:hAnsi="Calibri" w:cs="Calibri"/>
          <w:color w:val="000000"/>
        </w:rPr>
        <w:t>not</w:t>
      </w:r>
      <w:r w:rsidR="00E103C6">
        <w:rPr>
          <w:rFonts w:ascii="Calibri" w:hAnsi="Calibri" w:cs="Calibri"/>
          <w:color w:val="000000"/>
        </w:rPr>
        <w:t>ed</w:t>
      </w:r>
      <w:r w:rsidR="00A14A72">
        <w:rPr>
          <w:rFonts w:ascii="Calibri" w:hAnsi="Calibri" w:cs="Calibri"/>
          <w:color w:val="000000"/>
        </w:rPr>
        <w:t xml:space="preserve"> </w:t>
      </w:r>
      <w:r w:rsidR="00742FB7" w:rsidRPr="00AC1B06">
        <w:rPr>
          <w:rFonts w:ascii="Calibri" w:hAnsi="Calibri" w:cs="Calibri"/>
          <w:color w:val="000000"/>
        </w:rPr>
        <w:t>that the social media engagement had reduced again</w:t>
      </w:r>
      <w:r w:rsidR="00E103C6">
        <w:rPr>
          <w:rFonts w:ascii="Calibri" w:hAnsi="Calibri" w:cs="Calibri"/>
          <w:color w:val="000000"/>
        </w:rPr>
        <w:t>. This suggests</w:t>
      </w:r>
      <w:r w:rsidR="00742FB7" w:rsidRPr="00AC1B06">
        <w:rPr>
          <w:rFonts w:ascii="Calibri" w:hAnsi="Calibri" w:cs="Calibri"/>
          <w:color w:val="000000"/>
        </w:rPr>
        <w:t xml:space="preserve"> that the social media logic combined with community logic within the context of COVID-19 ha</w:t>
      </w:r>
      <w:r w:rsidR="00E103C6">
        <w:rPr>
          <w:rFonts w:ascii="Calibri" w:hAnsi="Calibri" w:cs="Calibri"/>
          <w:color w:val="000000"/>
        </w:rPr>
        <w:t>d</w:t>
      </w:r>
      <w:r w:rsidR="00742FB7" w:rsidRPr="00AC1B06">
        <w:rPr>
          <w:rFonts w:ascii="Calibri" w:hAnsi="Calibri" w:cs="Calibri"/>
          <w:color w:val="000000"/>
        </w:rPr>
        <w:t xml:space="preserve"> a short-term influence on SYFR’s level of engagement. The sudden increase in the use of social media at the beginning of the pandemic also showcased that social media was viewed as a source of information in the immediate aftermath of the pandemic, suggesting a linking social capital between social media companies and the community </w:t>
      </w:r>
      <w:r w:rsidR="00742FB7" w:rsidRPr="00AC1B06">
        <w:rPr>
          <w:rFonts w:ascii="Calibri" w:hAnsi="Calibri" w:cs="Calibri"/>
        </w:rPr>
        <w:fldChar w:fldCharType="begin" w:fldLock="1"/>
      </w:r>
      <w:r w:rsidR="00742FB7" w:rsidRPr="00AC1B06">
        <w:rPr>
          <w:rFonts w:ascii="Calibri" w:hAnsi="Calibri" w:cs="Calibri"/>
          <w:color w:val="000000"/>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India","type":"article-journal","volume":"19"},"uris":["http://www.mendeley.com/documents/?uuid=d8bcf27c-1efc-4c15-8204-cd8b37719dd2"]}],"mendeley":{"formattedCitation":"(Sanyal &amp; Routray, 2016)","plainTextFormattedCitation":"(Sanyal &amp; Routray, 2016)","previouslyFormattedCitation":"(Sanyal &amp; Routray, 2016)"},"properties":{"noteIndex":0},"schema":"https://github.com/citation-style-language/schema/raw/master/csl-citation.json"}</w:instrText>
      </w:r>
      <w:r w:rsidR="00742FB7" w:rsidRPr="00AC1B06">
        <w:rPr>
          <w:rFonts w:ascii="Calibri" w:hAnsi="Calibri" w:cs="Calibri"/>
          <w:color w:val="000000"/>
        </w:rPr>
        <w:fldChar w:fldCharType="separate"/>
      </w:r>
      <w:r w:rsidR="00742FB7" w:rsidRPr="00AC1B06">
        <w:rPr>
          <w:rFonts w:ascii="Calibri" w:hAnsi="Calibri" w:cs="Calibri"/>
          <w:noProof/>
          <w:color w:val="000000"/>
        </w:rPr>
        <w:t>(Sanyal &amp; Routray, 2016)</w:t>
      </w:r>
      <w:r w:rsidR="00742FB7" w:rsidRPr="00AC1B06">
        <w:rPr>
          <w:rFonts w:ascii="Calibri" w:hAnsi="Calibri" w:cs="Calibri"/>
          <w:color w:val="000000"/>
        </w:rPr>
        <w:fldChar w:fldCharType="end"/>
      </w:r>
      <w:r w:rsidR="00742FB7" w:rsidRPr="00AC1B06">
        <w:rPr>
          <w:rFonts w:ascii="Calibri" w:hAnsi="Calibri" w:cs="Calibri"/>
          <w:color w:val="000000"/>
        </w:rPr>
        <w:t>.</w:t>
      </w:r>
    </w:p>
    <w:p w14:paraId="3B791C24" w14:textId="77777777" w:rsidR="004F6AAA" w:rsidRPr="00AC1B06" w:rsidRDefault="004F6AAA" w:rsidP="00A0151B">
      <w:pPr>
        <w:pStyle w:val="NormalWeb"/>
        <w:spacing w:before="0" w:after="0" w:line="360" w:lineRule="auto"/>
        <w:rPr>
          <w:rFonts w:ascii="Calibri" w:hAnsi="Calibri" w:cs="Calibri"/>
        </w:rPr>
      </w:pPr>
    </w:p>
    <w:p w14:paraId="65674DD8" w14:textId="77777777" w:rsidR="00787F73" w:rsidRDefault="00742FB7" w:rsidP="00866155">
      <w:pPr>
        <w:pStyle w:val="Heading4"/>
        <w:spacing w:line="360" w:lineRule="auto"/>
      </w:pPr>
      <w:bookmarkStart w:id="934" w:name="_Toc158047151"/>
      <w:bookmarkStart w:id="935" w:name="_Toc158216660"/>
      <w:r>
        <w:t>Influenced topic of messages</w:t>
      </w:r>
      <w:bookmarkEnd w:id="934"/>
      <w:bookmarkEnd w:id="935"/>
    </w:p>
    <w:p w14:paraId="472237AD" w14:textId="77777777" w:rsidR="00787F73" w:rsidRDefault="00742FB7" w:rsidP="00866155">
      <w:pPr>
        <w:rPr>
          <w:rFonts w:cs="Calibri"/>
        </w:rPr>
      </w:pPr>
      <w:r w:rsidRPr="00AC1B06">
        <w:rPr>
          <w:rFonts w:cs="Calibri"/>
        </w:rPr>
        <w:t xml:space="preserve">COVID-19 not only influenced the method of communication, with an increased focus on social media, but it also changed the messages that SYFR were sharing. Prior to the pandemic, SYFR had been focusing on fire prevention and response advice surrounding </w:t>
      </w:r>
      <w:r w:rsidRPr="00AC1B06">
        <w:rPr>
          <w:rFonts w:cs="Calibri"/>
        </w:rPr>
        <w:lastRenderedPageBreak/>
        <w:t xml:space="preserve">flooding, adhering to the FRSA (2004), however, the start of the pandemic saw a shifting of logics, with a greater focus on the CCA (2004) and a more ad hoc communication style: </w:t>
      </w:r>
    </w:p>
    <w:p w14:paraId="6E861901" w14:textId="77777777" w:rsidR="004F6AAA" w:rsidRPr="00AC1B06" w:rsidRDefault="004F6AAA" w:rsidP="00866155">
      <w:pPr>
        <w:rPr>
          <w:rFonts w:cs="Calibri"/>
        </w:rPr>
      </w:pPr>
    </w:p>
    <w:p w14:paraId="06BECA62" w14:textId="77777777" w:rsidR="00787F73" w:rsidRDefault="00742FB7" w:rsidP="00866155">
      <w:pPr>
        <w:pStyle w:val="Quote"/>
        <w:spacing w:line="360" w:lineRule="auto"/>
        <w:ind w:left="862" w:right="663"/>
        <w:jc w:val="left"/>
        <w:rPr>
          <w:rFonts w:cs="Calibri"/>
          <w:i w:val="0"/>
          <w:iCs w:val="0"/>
          <w:szCs w:val="24"/>
        </w:rPr>
      </w:pPr>
      <w:r w:rsidRPr="00AC1B06">
        <w:rPr>
          <w:rFonts w:cs="Calibri"/>
          <w:szCs w:val="24"/>
        </w:rPr>
        <w:t xml:space="preserve">“I think my exact words were something along the lines of, rather than almost pissing about and trying to make something on the campaign calendar, if we spend the next six months trying to shoehorn the calendar into our work, I said, let’s just call it now, and just put the calendar on hold. (…) let’s just take it week by week as to what we do. Again, we both mutually agreed that that was a better approach than desperately trying to keep things alive.” </w:t>
      </w:r>
      <w:r w:rsidRPr="00A0151B">
        <w:rPr>
          <w:rFonts w:cs="Calibri"/>
          <w:i w:val="0"/>
          <w:iCs w:val="0"/>
          <w:szCs w:val="24"/>
        </w:rPr>
        <w:t>(CM</w:t>
      </w:r>
      <w:r w:rsidR="006A7A2E" w:rsidRPr="00A0151B">
        <w:rPr>
          <w:rFonts w:cs="Calibri"/>
          <w:i w:val="0"/>
          <w:iCs w:val="0"/>
          <w:szCs w:val="24"/>
        </w:rPr>
        <w:t xml:space="preserve"> interview,</w:t>
      </w:r>
      <w:r w:rsidRPr="00A0151B">
        <w:rPr>
          <w:rFonts w:cs="Calibri"/>
          <w:i w:val="0"/>
          <w:iCs w:val="0"/>
          <w:szCs w:val="24"/>
        </w:rPr>
        <w:t xml:space="preserve"> 29.06.20) </w:t>
      </w:r>
    </w:p>
    <w:p w14:paraId="11E05AC0" w14:textId="77777777" w:rsidR="004F6AAA" w:rsidRPr="00A0151B" w:rsidRDefault="004F6AAA" w:rsidP="00A0151B">
      <w:pPr>
        <w:rPr>
          <w:lang w:eastAsia="en-US"/>
        </w:rPr>
      </w:pPr>
    </w:p>
    <w:p w14:paraId="6066BF9B" w14:textId="77777777" w:rsidR="00787F73" w:rsidRPr="00AC1B06" w:rsidRDefault="00742FB7" w:rsidP="00866155">
      <w:pPr>
        <w:rPr>
          <w:rFonts w:cs="Calibri"/>
        </w:rPr>
      </w:pPr>
      <w:r w:rsidRPr="00AC1B06">
        <w:rPr>
          <w:rFonts w:cs="Calibri"/>
        </w:rPr>
        <w:t xml:space="preserve">This suggested a sense of institutional agency within their work </w:t>
      </w:r>
      <w:r w:rsidRPr="00AC1B06">
        <w:rPr>
          <w:rFonts w:cs="Calibri"/>
        </w:rPr>
        <w:fldChar w:fldCharType="begin" w:fldLock="1"/>
      </w:r>
      <w:r w:rsidRPr="00AC1B06">
        <w:rPr>
          <w:rFonts w:cs="Calibri"/>
        </w:rPr>
        <w:instrText>ADDIN CSL_CITATION {"citationItems":[{"id":"ITEM-1","itemData":{"DOI":"10.1177/0170840615604503","ISSN":"17413044","abstract":"Our study examines how interdependent actors in a professionalized context interpret the co-occurrence of a professional logic and a policy-driven logic. The empirical setting comprises two hospitals in the English National Health Service. Two issues stand out. First, our study shows that any logic is variegated and ambiguous, so policymakers and organizational managers cannot assume that they are easily blended. Second, it shows how nurse consultants exhibit agency in blending these two logics in pursuit of positional gain in professional and managerial organization. They can do so because of their ambiguous status level: in comparison to doctors, their status as nurses is low; within the nursing profession their status is high. Theoretically, by focusing upon interpretation of multiple institutional logics at the micro level, our study renders visible the agency of interpreting actors, interdependency of actors, their interpretation of institutional logics, situational context, and the effect of, and upon, social position of actors.","author":[{"dropping-particle":"","family":"Currie","given":"Graeme","non-dropping-particle":"","parse-names":false,"suffix":""},{"dropping-particle":"","family":"Spyridonidis","given":"Dimitrios","non-dropping-particle":"","parse-names":false,"suffix":""}],"container-title":"Organization Studies","id":"ITEM-1","issue":"1","issued":{"date-parts":[["2016"]]},"page":"77-97","title":"Interpretation of Multiple Institutional Logics on the Ground: Actors’ Position, their Agency and Situational Constraints in Professionalized Contexts","type":"article-journal","volume":"37"},"uris":["http://www.mendeley.com/documents/?uuid=be657142-d26b-4dc5-bf61-aff1e8d069fa"]}],"mendeley":{"formattedCitation":"(Currie &amp; Spyridonidis, 2016)","plainTextFormattedCitation":"(Currie &amp; Spyridonidis, 2016)","previouslyFormattedCitation":"(Currie &amp; Spyridonidis, 2016)"},"properties":{"noteIndex":0},"schema":"https://github.com/citation-style-language/schema/raw/master/csl-citation.json"}</w:instrText>
      </w:r>
      <w:r w:rsidRPr="00AC1B06">
        <w:rPr>
          <w:rFonts w:cs="Calibri"/>
        </w:rPr>
        <w:fldChar w:fldCharType="separate"/>
      </w:r>
      <w:r w:rsidRPr="00AC1B06">
        <w:rPr>
          <w:rFonts w:cs="Calibri"/>
          <w:noProof/>
        </w:rPr>
        <w:t>(Currie &amp; Spyridonidis, 2016)</w:t>
      </w:r>
      <w:r w:rsidRPr="00AC1B06">
        <w:rPr>
          <w:rFonts w:cs="Calibri"/>
        </w:rPr>
        <w:fldChar w:fldCharType="end"/>
      </w:r>
      <w:r w:rsidRPr="00AC1B06">
        <w:rPr>
          <w:rFonts w:cs="Calibri"/>
        </w:rPr>
        <w:t xml:space="preserve"> as SYFR changed their communication strategy to better meet their statutory obligations from the CCA (2004) and the FRSA (2004). This also suggests that the Communications team were not prepared for a major incident on this scale, with previous incidents related to fire and flooding which are often geographically isolated, unlike COVID-19 which influenced the whole of South Yorkshire. </w:t>
      </w:r>
    </w:p>
    <w:p w14:paraId="60D18B60" w14:textId="77777777" w:rsidR="00787F73" w:rsidRPr="00AC1B06" w:rsidRDefault="00787F73" w:rsidP="00866155">
      <w:pPr>
        <w:rPr>
          <w:rFonts w:cs="Calibri"/>
        </w:rPr>
      </w:pPr>
    </w:p>
    <w:p w14:paraId="61DCDB8F" w14:textId="77777777" w:rsidR="00787F73" w:rsidRDefault="00742FB7" w:rsidP="00866155">
      <w:pPr>
        <w:rPr>
          <w:rFonts w:cs="Calibri"/>
        </w:rPr>
      </w:pPr>
      <w:r w:rsidRPr="00AC1B06">
        <w:rPr>
          <w:rFonts w:cs="Calibri"/>
        </w:rPr>
        <w:t>The scale of COVID-19 meant that their whole communication approach needed to be adapted, to focus more on national campaigning related to COVID-19:</w:t>
      </w:r>
    </w:p>
    <w:p w14:paraId="012BB6AC" w14:textId="77777777" w:rsidR="004F6AAA" w:rsidRPr="00AC1B06" w:rsidRDefault="004F6AAA" w:rsidP="00866155">
      <w:pPr>
        <w:rPr>
          <w:rFonts w:cs="Calibri"/>
        </w:rPr>
      </w:pPr>
    </w:p>
    <w:p w14:paraId="70DFD630" w14:textId="77777777" w:rsidR="00787F73" w:rsidRPr="00AC1B06" w:rsidRDefault="00742FB7" w:rsidP="00866155">
      <w:pPr>
        <w:pStyle w:val="NormalWeb"/>
        <w:spacing w:before="240" w:after="240" w:line="360" w:lineRule="auto"/>
        <w:ind w:left="720" w:right="663"/>
        <w:rPr>
          <w:rFonts w:ascii="Calibri" w:hAnsi="Calibri" w:cs="Calibri"/>
        </w:rPr>
      </w:pPr>
      <w:r w:rsidRPr="00AC1B06">
        <w:rPr>
          <w:rStyle w:val="QuoteChar"/>
          <w:rFonts w:cs="Calibri"/>
        </w:rPr>
        <w:t>“the first time that I can think of when I’ve really done a campaign that has been so heavily focused on protecting the NHS and protecting your public services, if that makes sense. So, it’s been about help us help you style thing. I’ve done comms like that before. It was more ad hoc. But one thing that does tie all these campaigns together really is right now we don’t need to be coming out to your house fires or your garden fires. Or, we don’t need to be rescuing people from water. I suppose that’s been an underlying theme to it all, if that make sense. ”</w:t>
      </w:r>
      <w:r w:rsidRPr="00AC1B06">
        <w:rPr>
          <w:rFonts w:ascii="Calibri" w:hAnsi="Calibri" w:cs="Calibri"/>
          <w:color w:val="000000"/>
        </w:rPr>
        <w:t xml:space="preserve"> (CM</w:t>
      </w:r>
      <w:r w:rsidR="0044412F">
        <w:rPr>
          <w:rFonts w:ascii="Calibri" w:hAnsi="Calibri" w:cs="Calibri"/>
          <w:color w:val="000000"/>
        </w:rPr>
        <w:t xml:space="preserve"> interview,</w:t>
      </w:r>
      <w:r w:rsidRPr="00AC1B06">
        <w:rPr>
          <w:rFonts w:ascii="Calibri" w:hAnsi="Calibri" w:cs="Calibri"/>
          <w:color w:val="000000"/>
        </w:rPr>
        <w:t xml:space="preserve"> 29.06.20)</w:t>
      </w:r>
    </w:p>
    <w:p w14:paraId="5628D617" w14:textId="77777777" w:rsidR="00787F73" w:rsidRDefault="00742FB7" w:rsidP="00A0151B">
      <w:pPr>
        <w:pStyle w:val="NormalWeb"/>
        <w:spacing w:before="0" w:after="0" w:line="360" w:lineRule="auto"/>
        <w:rPr>
          <w:rFonts w:ascii="Calibri" w:hAnsi="Calibri" w:cs="Calibri"/>
          <w:color w:val="000000"/>
        </w:rPr>
      </w:pPr>
      <w:r w:rsidRPr="00AC1B06">
        <w:rPr>
          <w:rFonts w:ascii="Calibri" w:hAnsi="Calibri" w:cs="Calibri"/>
          <w:color w:val="000000"/>
        </w:rPr>
        <w:lastRenderedPageBreak/>
        <w:t xml:space="preserve">SYFR’s communication was subject to institutional complexity, between CCA (2004) logics of supporting fellow category 1 responders and protecting SYFR’s ability to respond, with FRSA (2004) logics of focusing on prevention. This indicates a blending of these logics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Phenomena","type":"article-journal","volume":"47"},"uris":["http://www.mendeley.com/documents/?uuid=3561369e-31b0-40ce-940d-739bd34cab24"]},{"id":"ITEM-2","itemData":{"DOI":"10.1080/1461670X.2015.1052537","ISSN":"14699699","abstract":"This study analyzes the emergence, development, and stasis of the news fact-checking website through the institutional perspectives of population ecology and institutional logics. The population ecology approach suggests that like other new media forms, fact-checking sites will mimic one another in pursuit of legitimacy, and this will encourage formation of media “populations,” and tendencies to buffer the external environment and stabilize. Over time, these sites will respond more to other sites within the population itself than to changes in the immediate environment. However, the institutional logics approach accommodates conflict and agency, suggesting that entities pursue complex strategies to retain legitimacy when faced with conflicts within the wider institutional environment. The fact-checking site is a product of such a strategy, as it straddles both traditional journalism and digital network logics. Findings show evidence of a budding fact-checking site population, increasing legitimacy, and increased isomorphism. Yet findings also reveal fragmentation and diversity in recent years, suggesting that institutionalization processes are complex and uneven. Findings suggest a need to understand that media entities are shaped by both their exogenous environment and their endogenous “population,” a collective of similar entities. Future research should explore the conditions that lead to one or the other being more consequential.","author":[{"dropping-particle":"","family":"Lowrey","given":"Wilson","non-dropping-particle":"","parse-names":false,"suffix":""}],"container-title":"Journalism Studies","id":"ITEM-2","issue":"3","issued":{"date-parts":[["2017"]]},"page":"376-394","title":"The Emergence and Development of News Fact-checking Sites: Institutional logics and population ecology","type":"article-journal","volume":"18"},"uris":["http://www.mendeley.com/documents/?uuid=e8fb5c0e-d852-402f-8b44-c91e49684340"]},{"id":"ITEM-3","itemData":{"DOI":"10.1016/j.aos.2022.101336","ISSN":"03613682","abstract":"This paper is located within the research problematic of multiple logics with reference to professional service firms (PSFs), and in particular audit firms. Within this multi-logic (“hybrid”) and complex organization, we are specifically concerned with the impacts of new institutional logics that reflect social and political movements - in this case diversity legislation - and how these new logics are absorbed and managed within the organizations’ structures and practices. Based upon a study of large and medium sized audit firms in the UK, we consider the organizational responses to the demands for improved diversity among firm members, especially the senior elite, in the context of the passing of the Equality Act, 2010, and subsequent legislation which both consolidated and extended UK laws on discrimination. Our study indicates how such organizational sites have value for demonstrating how the conflict between logics shifts its terms of reference. While most of the conflict between logics of commercialism and professionalism has been successfully managed through mechanisms of hybridization, we bring to the fore how the struggles between ideas about merit and diversity in professional evaluation processes and practices are more intractable. Our work contributes to an understanding of both the dependencies (blending) and co-existences (separation) that can exist between diversity, commercial and professional logics of practice in multi-logic organizations. We further highlight the role of identity scripts that shape how individuals situationally demarcate their identities as they struggle with the demands for diversity that challenge dominant logics.","author":[{"dropping-particle":"","family":"Anderson-Gough","given":"Fiona","non-dropping-particle":"","parse-names":false,"suffix":""},{"dropping-particle":"","family":"Edgley","given":"Carla","non-dropping-particle":"","parse-names":false,"suffix":""},{"dropping-particle":"","family":"Robson","given":"Keith","non-dropping-particle":"","parse-names":false,"suffix":""},{"dropping-particle":"","family":"Sharma","given":"Nina","non-dropping-particle":"","parse-names":false,"suffix":""}],"container-title":"Accounting, Organizations and Society","id":"ITEM-3","issued":{"date-parts":[["2022"]]},"page":"1-21","publisher":"The Authors","title":"Organizational responses to multiple logics: Diversity, identity and the professional service firm","type":"article-journal","volume":"103"},"uris":["http://www.mendeley.com/documents/?uuid=fa3c624d-bc21-4550-9481-bd7c9bf1f730"]}],"mendeley":{"formattedCitation":"(Anderson-Gough et al., 2022; Lounsbury et al., 2021; Lowrey, 2017)","plainTextFormattedCitation":"(Anderson-Gough et al., 2022; Lounsbury et al., 2021; Lowrey, 2017)","previouslyFormattedCitation":"(Anderson-Gough et al., 2022; Lounsbury et al., 2021; Lowrey, 2017)"},"properties":{"noteIndex":0},"schema":"https://github.com/citation-style-language/schema/raw/master/csl-citation.json"}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rPr>
        <w:t>(Anderson-Gough et al., 2022; Lounsbury et al., 2021; Lowrey, 2017)</w:t>
      </w:r>
      <w:r w:rsidRPr="00AC1B06">
        <w:rPr>
          <w:rFonts w:ascii="Calibri" w:hAnsi="Calibri" w:cs="Calibri"/>
          <w:color w:val="000000"/>
        </w:rPr>
        <w:fldChar w:fldCharType="end"/>
      </w:r>
      <w:r w:rsidRPr="00AC1B06">
        <w:rPr>
          <w:rFonts w:ascii="Calibri" w:hAnsi="Calibri" w:cs="Calibri"/>
          <w:color w:val="000000"/>
        </w:rPr>
        <w:t xml:space="preserve">, combining both logics to communicate fire risk, and the risk from COVID-19 to the community as well as SYFR as a service. </w:t>
      </w:r>
    </w:p>
    <w:p w14:paraId="4D34775C" w14:textId="77777777" w:rsidR="004F6AAA" w:rsidRPr="00AC1B06" w:rsidRDefault="004F6AAA" w:rsidP="00A0151B">
      <w:pPr>
        <w:pStyle w:val="NormalWeb"/>
        <w:spacing w:before="0" w:after="0" w:line="360" w:lineRule="auto"/>
        <w:rPr>
          <w:rFonts w:ascii="Calibri" w:hAnsi="Calibri" w:cs="Calibri"/>
        </w:rPr>
      </w:pPr>
    </w:p>
    <w:p w14:paraId="77AA047F" w14:textId="4DB0915F" w:rsidR="00787F73" w:rsidRDefault="00742FB7" w:rsidP="00A0151B">
      <w:pPr>
        <w:pStyle w:val="NormalWeb"/>
        <w:spacing w:before="0" w:after="0" w:line="360" w:lineRule="auto"/>
        <w:rPr>
          <w:rFonts w:ascii="Calibri" w:hAnsi="Calibri" w:cs="Calibri"/>
          <w:color w:val="000000"/>
        </w:rPr>
      </w:pPr>
      <w:r w:rsidRPr="00AC1B06">
        <w:rPr>
          <w:rFonts w:ascii="Calibri" w:hAnsi="Calibri" w:cs="Calibri"/>
          <w:color w:val="000000"/>
        </w:rPr>
        <w:t xml:space="preserve">This also suggested a changing of community logics in response to the pandemic, with SYFR aware that the community were more concerned over the threats of COVID-19 than fire risk, perhaps suggesting that the communities threat appraisal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Hazards","id":"ITEM-1","issued":{"date-parts":[["2018"]]},"page":"1461-1483","title":"How does information affect fire risk reduction behaviors? Mediating effects of cognitive processes and subjective knowledge","type":"article-journal","volume":"90"},"uris":["http://www.mendeley.com/documents/?uuid=b253cc58-5f59-4b2e-9c77-76be2b2788b4"]},{"id":"ITEM-2","itemData":{"DOI":"10.1061/(asce)nh.1527-6996.0000294","ISBN":"0000000167","ISSN":"1527-6988","abstract":"©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Review","id":"ITEM-2","issue":"3","issued":{"date-parts":[["2018"]]},"page":"1 - 21","title":"Flood Risk Assessment, Future Trend Modeling, and Risk Communication: A Review of Ongoing Research","type":"article-journal","volume":"19"},"uris":["http://www.mendeley.com/documents/?uuid=72f77961-1216-4228-ab43-b36cf7f2e2d4"]},{"id":"ITEM-3","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Hazards","id":"ITEM-3","issued":{"date-parts":[["2018"]]},"page":"1665-1686","publisher":"Springer Netherlands","title":"Rethinking flood risk communication","type":"article-journal","volume":"92"},"uris":["http://www.mendeley.com/documents/?uuid=a75b9d7a-46e6-41f1-a446-75375a9342c5"]},{"id":"ITEM-4","itemData":{"DOI":"10.1080/19371918.2021.2018082","ISSN":"1937190X","PMID":"34962187","abstract":"COVID-19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Health","id":"ITEM-4","issue":"5","issued":{"date-parts":[["2022"]]},"page":"419-434","title":"An Integrated Approach to COVID-19 Preventive Behaviour Intentions: Protection Motivation Theory, Information Acquisition, and Trust","type":"article-journal","volume":"37"},"uris":["http://www.mendeley.com/documents/?uuid=8abd72eb-8ae4-4af7-9da1-be357bf94394"]},{"id":"ITEM-5","itemData":{"DOI":"10.1016/j.ijdrr.2021.102759","ISSN":"22124209","abstract":"The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Reduction","id":"ITEM-5","issued":{"date-parts":[["2022"]]},"page":"1 - 16","title":"Determination of factors affecting the response efficacy of Filipinos under Typhoon Conson 2021 (Jolina): An extended protection motivation theory approach","type":"article-journal","volume":"70"},"uris":["http://www.mendeley.com/documents/?uuid=df8c524a-2262-493d-9e98-6620d59903d4"]}],"mendeley":{"formattedCitation":"(Acar &amp; Kıcali, 2022; Gumasing et al., 2022; Liu &amp; Jiao, 2018; Rollason et al., 2018; Salman &amp; Li, 2018)","plainTextFormattedCitation":"(Acar &amp; Kıcali, 2022; Gumasing et al., 2022; Liu &amp; Jiao, 2018; Rollason et al., 2018; Salman &amp; Li, 2018)","previouslyFormattedCitation":"(Acar &amp; Kıcali, 2022; Gumasing et al., 2022; Liu &amp; Jiao, 2018; Rollason et al., 2018; Salman &amp; Li, 2018)"},"properties":{"noteIndex":0},"schema":"https://github.com/citation-style-language/schema/raw/master/csl-citation.json"}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rPr>
        <w:t>(Acar &amp; Kıcali, 2022; Gumasing et al., 2022; Liu &amp; Jiao, 2018; Rollason et al., 2018; Salman &amp; Li, 2018)</w:t>
      </w:r>
      <w:r w:rsidRPr="00AC1B06">
        <w:rPr>
          <w:rFonts w:ascii="Calibri" w:hAnsi="Calibri" w:cs="Calibri"/>
          <w:color w:val="000000"/>
        </w:rPr>
        <w:fldChar w:fldCharType="end"/>
      </w:r>
      <w:r w:rsidRPr="00AC1B06">
        <w:rPr>
          <w:rFonts w:ascii="Calibri" w:hAnsi="Calibri" w:cs="Calibri"/>
        </w:rPr>
        <w:t xml:space="preserve"> </w:t>
      </w:r>
      <w:r w:rsidRPr="00AC1B06">
        <w:rPr>
          <w:rFonts w:ascii="Calibri" w:hAnsi="Calibri" w:cs="Calibri"/>
          <w:color w:val="000000"/>
        </w:rPr>
        <w:t>had been activated for COVID-19</w:t>
      </w:r>
      <w:r w:rsidR="00E103C6">
        <w:rPr>
          <w:rFonts w:ascii="Calibri" w:hAnsi="Calibri" w:cs="Calibri"/>
          <w:color w:val="000000"/>
        </w:rPr>
        <w:t>. This</w:t>
      </w:r>
      <w:r w:rsidRPr="00AC1B06">
        <w:rPr>
          <w:rFonts w:ascii="Calibri" w:hAnsi="Calibri" w:cs="Calibri"/>
          <w:color w:val="000000"/>
        </w:rPr>
        <w:t xml:space="preserve"> influenced not only the topics they were discussing, but their framing of the topic. In the initial days of the COVID-19 lockdown, recycling centres were shut which </w:t>
      </w:r>
      <w:r w:rsidR="002C3176">
        <w:rPr>
          <w:rFonts w:ascii="Calibri" w:hAnsi="Calibri" w:cs="Calibri"/>
          <w:color w:val="000000"/>
        </w:rPr>
        <w:t>lead</w:t>
      </w:r>
      <w:r w:rsidRPr="00AC1B06">
        <w:rPr>
          <w:rFonts w:ascii="Calibri" w:hAnsi="Calibri" w:cs="Calibri"/>
          <w:color w:val="000000"/>
        </w:rPr>
        <w:t xml:space="preserve"> to an increased number of garden fires; when discussing their communication approach to the elevated risk from garden fire, they focused on the threat of COVID-19:</w:t>
      </w:r>
    </w:p>
    <w:p w14:paraId="79F264BF" w14:textId="77777777" w:rsidR="004F6AAA" w:rsidRPr="00AC1B06" w:rsidRDefault="004F6AAA" w:rsidP="00A0151B">
      <w:pPr>
        <w:pStyle w:val="NormalWeb"/>
        <w:spacing w:before="0" w:after="0" w:line="360" w:lineRule="auto"/>
        <w:rPr>
          <w:rFonts w:ascii="Calibri" w:hAnsi="Calibri" w:cs="Calibri"/>
        </w:rPr>
      </w:pPr>
    </w:p>
    <w:p w14:paraId="507B7BAA" w14:textId="77777777" w:rsidR="00787F73" w:rsidRDefault="00742FB7" w:rsidP="00A0151B">
      <w:pPr>
        <w:pStyle w:val="NormalWeb"/>
        <w:spacing w:before="0" w:after="0" w:line="360" w:lineRule="auto"/>
        <w:ind w:left="720"/>
        <w:jc w:val="both"/>
        <w:rPr>
          <w:rFonts w:ascii="Calibri" w:hAnsi="Calibri" w:cs="Calibri"/>
          <w:color w:val="000000"/>
        </w:rPr>
      </w:pPr>
      <w:r w:rsidRPr="00AC1B06">
        <w:rPr>
          <w:rStyle w:val="QuoteChar"/>
          <w:rFonts w:cs="Calibri"/>
        </w:rPr>
        <w:t xml:space="preserve">“I just think probably the air quality line is stronger than our fire safety line at the moment.” </w:t>
      </w:r>
      <w:r w:rsidRPr="00AC1B06">
        <w:rPr>
          <w:rFonts w:ascii="Calibri" w:hAnsi="Calibri" w:cs="Calibri"/>
          <w:color w:val="000000"/>
        </w:rPr>
        <w:t>(SM</w:t>
      </w:r>
      <w:r w:rsidR="0044412F">
        <w:rPr>
          <w:rFonts w:ascii="Calibri" w:hAnsi="Calibri" w:cs="Calibri"/>
          <w:color w:val="000000"/>
        </w:rPr>
        <w:t xml:space="preserve"> interview,</w:t>
      </w:r>
      <w:r w:rsidRPr="00AC1B06">
        <w:rPr>
          <w:rFonts w:ascii="Calibri" w:hAnsi="Calibri" w:cs="Calibri"/>
          <w:color w:val="000000"/>
        </w:rPr>
        <w:t xml:space="preserve"> 03.04.20)</w:t>
      </w:r>
    </w:p>
    <w:p w14:paraId="5E6F8D82" w14:textId="77777777" w:rsidR="004F6AAA" w:rsidRPr="00AC1B06" w:rsidRDefault="004F6AAA" w:rsidP="00A0151B">
      <w:pPr>
        <w:pStyle w:val="NormalWeb"/>
        <w:spacing w:before="0" w:after="0" w:line="360" w:lineRule="auto"/>
        <w:ind w:left="720"/>
        <w:jc w:val="both"/>
        <w:rPr>
          <w:rFonts w:ascii="Calibri" w:hAnsi="Calibri" w:cs="Calibri"/>
        </w:rPr>
      </w:pPr>
    </w:p>
    <w:p w14:paraId="2C440898" w14:textId="77777777" w:rsidR="000E29C5" w:rsidRDefault="00742FB7" w:rsidP="004F6AAA">
      <w:pPr>
        <w:pStyle w:val="NormalWeb"/>
        <w:spacing w:before="0" w:after="0" w:line="360" w:lineRule="auto"/>
        <w:rPr>
          <w:rFonts w:ascii="Calibri" w:hAnsi="Calibri" w:cs="Calibri"/>
          <w:color w:val="000000"/>
        </w:rPr>
      </w:pPr>
      <w:r w:rsidRPr="00AC1B06">
        <w:rPr>
          <w:rFonts w:ascii="Calibri" w:hAnsi="Calibri" w:cs="Calibri"/>
          <w:color w:val="000000"/>
        </w:rPr>
        <w:t xml:space="preserve">Indicating that SYFR were aware of the community logics and threat appraisal surrounding COVID-19, which was influencing how they were communicating around fire risk. Combining the community logics of fear surrounding COVID-19 and their aim to reduce and prevent fires from the FRSA (2004) logic, as well as the CCA logic of supporting their LRF partners. This suggested SYFR were blending the logics together to activate the community’s threat and therefore coping appraisal to garden fires and highlights a sense of institutional agency in their choice of framing. </w:t>
      </w:r>
    </w:p>
    <w:p w14:paraId="50229321" w14:textId="77777777" w:rsidR="004F6AAA" w:rsidRDefault="004F6AAA" w:rsidP="00A0151B">
      <w:pPr>
        <w:pStyle w:val="NormalWeb"/>
        <w:spacing w:before="0" w:after="0" w:line="360" w:lineRule="auto"/>
        <w:rPr>
          <w:rFonts w:ascii="Calibri" w:hAnsi="Calibri" w:cs="Calibri"/>
          <w:color w:val="000000"/>
        </w:rPr>
      </w:pPr>
    </w:p>
    <w:p w14:paraId="490A6EE8" w14:textId="77777777" w:rsidR="000E29C5" w:rsidRDefault="000E29C5" w:rsidP="000E29C5">
      <w:pPr>
        <w:pStyle w:val="Heading4"/>
        <w:spacing w:line="360" w:lineRule="auto"/>
      </w:pPr>
      <w:bookmarkStart w:id="936" w:name="_Toc158216661"/>
      <w:bookmarkStart w:id="937" w:name="_Toc158047152"/>
      <w:r>
        <w:t>Influenced the tone of their messages.</w:t>
      </w:r>
      <w:bookmarkEnd w:id="936"/>
      <w:bookmarkEnd w:id="937"/>
    </w:p>
    <w:p w14:paraId="304DA342" w14:textId="5F9603C5" w:rsidR="00787F73" w:rsidRDefault="00742FB7" w:rsidP="00A0151B">
      <w:pPr>
        <w:pStyle w:val="NormalWeb"/>
        <w:spacing w:before="0" w:after="0" w:line="360" w:lineRule="auto"/>
        <w:rPr>
          <w:rFonts w:ascii="Calibri" w:hAnsi="Calibri" w:cs="Calibri"/>
          <w:color w:val="000000"/>
        </w:rPr>
      </w:pPr>
      <w:r>
        <w:rPr>
          <w:rFonts w:ascii="Calibri" w:hAnsi="Calibri" w:cs="Calibri"/>
          <w:color w:val="000000"/>
        </w:rPr>
        <w:t xml:space="preserve">These changing logics not only influenced the content of the messages being communicated, but also how they were communicated, focusing on the different tones of communication. In the interview with the SM in March 2020, we discussed how their </w:t>
      </w:r>
      <w:r>
        <w:rPr>
          <w:rFonts w:ascii="Calibri" w:hAnsi="Calibri" w:cs="Calibri"/>
          <w:color w:val="000000"/>
        </w:rPr>
        <w:lastRenderedPageBreak/>
        <w:t xml:space="preserve">content was </w:t>
      </w:r>
      <w:r w:rsidR="003E19CA">
        <w:rPr>
          <w:rFonts w:ascii="Calibri" w:hAnsi="Calibri" w:cs="Calibri"/>
          <w:color w:val="000000"/>
        </w:rPr>
        <w:t>changing,</w:t>
      </w:r>
      <w:r>
        <w:rPr>
          <w:rFonts w:ascii="Calibri" w:hAnsi="Calibri" w:cs="Calibri"/>
          <w:color w:val="000000"/>
        </w:rPr>
        <w:t xml:space="preserve"> and they were moving away from their more light-hearted approach to fire risk communication which they had been using in their Protect your Pets campaign:</w:t>
      </w:r>
    </w:p>
    <w:p w14:paraId="1F2EA391" w14:textId="77777777" w:rsidR="004F6AAA" w:rsidRPr="000E29C5" w:rsidRDefault="004F6AAA" w:rsidP="00A0151B">
      <w:pPr>
        <w:pStyle w:val="NormalWeb"/>
        <w:spacing w:before="0" w:after="0" w:line="360" w:lineRule="auto"/>
        <w:rPr>
          <w:rFonts w:ascii="Calibri" w:hAnsi="Calibri" w:cs="Calibri"/>
        </w:rPr>
      </w:pPr>
    </w:p>
    <w:p w14:paraId="2D7CE0D0" w14:textId="77777777" w:rsidR="00787F73" w:rsidRDefault="00742FB7" w:rsidP="00A0151B">
      <w:pPr>
        <w:pStyle w:val="NormalWeb"/>
        <w:spacing w:before="0" w:after="0" w:line="360" w:lineRule="auto"/>
        <w:ind w:left="720" w:right="663"/>
        <w:rPr>
          <w:rFonts w:ascii="Calibri" w:hAnsi="Calibri" w:cs="Calibri"/>
          <w:color w:val="000000"/>
        </w:rPr>
      </w:pPr>
      <w:r>
        <w:rPr>
          <w:rStyle w:val="QuoteChar"/>
          <w:rFonts w:cs="Calibri"/>
        </w:rPr>
        <w:t>“… it is a tricky one to know what to do online as well. Because our normal content doesn’t quite seem right at the moment. (…) It’s like I said we’ve stopped the fire safety campaigns we’d had planned and I don’t know we’re talking about saving pets from house fires and changing our profile picture to a parrot doesn’t quite seem the right time to be doing that (…) we’ve still got to maintain an element of business as usual in the stuff that we’re doing. I think we’re still getting to grips with the tone and stuff.”</w:t>
      </w:r>
      <w:r>
        <w:rPr>
          <w:rFonts w:ascii="Calibri" w:hAnsi="Calibri" w:cs="Calibri"/>
          <w:color w:val="000000"/>
        </w:rPr>
        <w:t xml:space="preserve"> (SM</w:t>
      </w:r>
      <w:r w:rsidR="0044412F">
        <w:rPr>
          <w:rFonts w:ascii="Calibri" w:hAnsi="Calibri" w:cs="Calibri"/>
          <w:color w:val="000000"/>
        </w:rPr>
        <w:t xml:space="preserve"> interview,</w:t>
      </w:r>
      <w:r>
        <w:rPr>
          <w:rFonts w:ascii="Calibri" w:hAnsi="Calibri" w:cs="Calibri"/>
          <w:color w:val="000000"/>
        </w:rPr>
        <w:t xml:space="preserve"> 20.3.20)</w:t>
      </w:r>
    </w:p>
    <w:p w14:paraId="2C88EA63" w14:textId="77777777" w:rsidR="004F6AAA" w:rsidRDefault="004F6AAA" w:rsidP="00866155">
      <w:pPr>
        <w:pStyle w:val="NormalWeb"/>
        <w:spacing w:before="120" w:after="120" w:line="360" w:lineRule="auto"/>
        <w:ind w:left="720" w:right="663"/>
      </w:pPr>
    </w:p>
    <w:p w14:paraId="2AC94A21" w14:textId="24ED121A" w:rsidR="00787F73" w:rsidRDefault="00742FB7" w:rsidP="00866155">
      <w:pPr>
        <w:pStyle w:val="NormalWeb"/>
        <w:spacing w:before="120" w:after="120" w:line="360" w:lineRule="auto"/>
      </w:pPr>
      <w:r>
        <w:rPr>
          <w:rFonts w:ascii="Calibri" w:hAnsi="Calibri" w:cs="Calibri"/>
          <w:color w:val="000000"/>
        </w:rPr>
        <w:t>This suggests that the community logic, and perhaps the professional communications logic, had shifted during COVID-19, with a more serious approach required</w:t>
      </w:r>
      <w:r w:rsidR="003E19CA">
        <w:rPr>
          <w:rFonts w:ascii="Calibri" w:hAnsi="Calibri" w:cs="Calibri"/>
          <w:color w:val="000000"/>
        </w:rPr>
        <w:t>.</w:t>
      </w:r>
      <w:r>
        <w:rPr>
          <w:rFonts w:ascii="Calibri" w:hAnsi="Calibri" w:cs="Calibri"/>
          <w:color w:val="000000"/>
        </w:rPr>
        <w:t xml:space="preserve"> </w:t>
      </w:r>
      <w:r w:rsidR="003E19CA">
        <w:rPr>
          <w:rFonts w:ascii="Calibri" w:hAnsi="Calibri" w:cs="Calibri"/>
          <w:color w:val="000000"/>
        </w:rPr>
        <w:t>H</w:t>
      </w:r>
      <w:r>
        <w:rPr>
          <w:rFonts w:ascii="Calibri" w:hAnsi="Calibri" w:cs="Calibri"/>
          <w:color w:val="000000"/>
        </w:rPr>
        <w:t xml:space="preserve">umour </w:t>
      </w:r>
      <w:r w:rsidR="003E19CA">
        <w:rPr>
          <w:rFonts w:ascii="Calibri" w:hAnsi="Calibri" w:cs="Calibri"/>
          <w:color w:val="000000"/>
        </w:rPr>
        <w:t>was</w:t>
      </w:r>
      <w:r>
        <w:rPr>
          <w:rFonts w:ascii="Calibri" w:hAnsi="Calibri" w:cs="Calibri"/>
          <w:color w:val="000000"/>
        </w:rPr>
        <w:t xml:space="preserve"> being viewed as </w:t>
      </w:r>
      <w:r w:rsidR="003E19CA">
        <w:rPr>
          <w:rFonts w:ascii="Calibri" w:hAnsi="Calibri" w:cs="Calibri"/>
          <w:color w:val="000000"/>
        </w:rPr>
        <w:t>in</w:t>
      </w:r>
      <w:r>
        <w:rPr>
          <w:rFonts w:ascii="Calibri" w:hAnsi="Calibri" w:cs="Calibri"/>
          <w:color w:val="000000"/>
        </w:rPr>
        <w:t>appropriate in the initial days of the lockdown due to the national fear and panic over a relatively unknown infection at the time. This could indicate that not only do different disasters require different messaging, but it also alludes to the potential that each disaster type, be it fire, flooding or COVID-19, all have their own contextual logics which require different forms of communication, with each disaster logic having a dynamic frame switching between community logics, the FRSA logic and the CCA logic, highlighting the institutionally pluralistic environment of disaster management.</w:t>
      </w:r>
      <w:bookmarkStart w:id="938" w:name="_Toc152088993"/>
      <w:bookmarkStart w:id="939" w:name="_Toc149250343"/>
      <w:bookmarkStart w:id="940" w:name="_Toc149250230"/>
      <w:bookmarkStart w:id="941" w:name="_Toc149057684"/>
      <w:bookmarkStart w:id="942" w:name="_Toc98148466"/>
      <w:bookmarkStart w:id="943" w:name="_Toc152262925"/>
    </w:p>
    <w:p w14:paraId="072DA12B" w14:textId="77777777" w:rsidR="00787F73" w:rsidRDefault="00787F73" w:rsidP="00866155">
      <w:pPr>
        <w:pStyle w:val="NormalWeb"/>
        <w:spacing w:before="120" w:after="120" w:line="360" w:lineRule="auto"/>
        <w:rPr>
          <w:rFonts w:ascii="Calibri" w:hAnsi="Calibri" w:cs="Calibri"/>
          <w:color w:val="000000"/>
        </w:rPr>
      </w:pPr>
    </w:p>
    <w:p w14:paraId="7C8CA58A" w14:textId="77777777" w:rsidR="00787F73" w:rsidRDefault="00742FB7" w:rsidP="00866155">
      <w:pPr>
        <w:pStyle w:val="Heading2"/>
      </w:pPr>
      <w:bookmarkStart w:id="944" w:name="_Hlk161675590"/>
      <w:bookmarkStart w:id="945" w:name="_Toc152088994"/>
      <w:bookmarkStart w:id="946" w:name="_Toc152262926"/>
      <w:bookmarkStart w:id="947" w:name="_Toc149250317"/>
      <w:bookmarkStart w:id="948" w:name="_Toc152089044"/>
      <w:bookmarkStart w:id="949" w:name="_Toc149724679"/>
      <w:bookmarkStart w:id="950" w:name="_Toc93336064"/>
      <w:bookmarkStart w:id="951" w:name="_Toc149057688"/>
      <w:bookmarkStart w:id="952" w:name="_Toc149250347"/>
      <w:bookmarkStart w:id="953" w:name="_Toc149250234"/>
      <w:bookmarkStart w:id="954" w:name="_Toc98148470"/>
      <w:bookmarkStart w:id="955" w:name="_Toc153554360"/>
      <w:bookmarkStart w:id="956" w:name="_Toc158047153"/>
      <w:bookmarkStart w:id="957" w:name="_Toc158216469"/>
      <w:bookmarkStart w:id="958" w:name="_Toc158046808"/>
      <w:bookmarkStart w:id="959" w:name="_Toc158216662"/>
      <w:bookmarkStart w:id="960" w:name="_Toc158047191"/>
      <w:bookmarkStart w:id="961" w:name="_Toc193367250"/>
      <w:bookmarkEnd w:id="938"/>
      <w:bookmarkEnd w:id="939"/>
      <w:bookmarkEnd w:id="940"/>
      <w:bookmarkEnd w:id="941"/>
      <w:bookmarkEnd w:id="942"/>
      <w:bookmarkEnd w:id="943"/>
      <w:bookmarkEnd w:id="944"/>
      <w:r>
        <w:t xml:space="preserve">5.5: </w:t>
      </w:r>
      <w:bookmarkEnd w:id="945"/>
      <w:bookmarkEnd w:id="946"/>
      <w:bookmarkEnd w:id="947"/>
      <w:bookmarkEnd w:id="948"/>
      <w:bookmarkEnd w:id="949"/>
      <w:bookmarkEnd w:id="950"/>
      <w:bookmarkEnd w:id="951"/>
      <w:bookmarkEnd w:id="952"/>
      <w:bookmarkEnd w:id="953"/>
      <w:bookmarkEnd w:id="954"/>
      <w:r>
        <w:t>Discussion &amp; Conclusion</w:t>
      </w:r>
      <w:bookmarkEnd w:id="955"/>
      <w:bookmarkEnd w:id="956"/>
      <w:bookmarkEnd w:id="957"/>
      <w:bookmarkEnd w:id="958"/>
      <w:bookmarkEnd w:id="959"/>
      <w:bookmarkEnd w:id="960"/>
      <w:bookmarkEnd w:id="961"/>
    </w:p>
    <w:p w14:paraId="3AB7A4CE" w14:textId="35DC4756" w:rsidR="00787F73" w:rsidRDefault="00742FB7" w:rsidP="00866155">
      <w:r>
        <w:rPr>
          <w:rFonts w:cs="Calibri"/>
        </w:rPr>
        <w:t xml:space="preserve">This chapter focused on answering RQ2, </w:t>
      </w:r>
      <w:r>
        <w:rPr>
          <w:rFonts w:cs="Calibri"/>
          <w:i/>
          <w:iCs/>
          <w:lang w:eastAsia="ko-KR"/>
        </w:rPr>
        <w:t xml:space="preserve">what influences and shapes SYFR’s communication strategy? </w:t>
      </w:r>
      <w:r>
        <w:rPr>
          <w:rFonts w:cs="Calibri"/>
          <w:lang w:eastAsia="ko-KR"/>
        </w:rPr>
        <w:t xml:space="preserve">Which was created to support the aim of the thesis to </w:t>
      </w:r>
      <w:r>
        <w:rPr>
          <w:rFonts w:cs="Calibri"/>
          <w:i/>
          <w:iCs/>
          <w:lang w:eastAsia="ko-KR"/>
        </w:rPr>
        <w:t>critically evaluate the use of social media and its ability to develop community disaster resilience (CDR)</w:t>
      </w:r>
      <w:r>
        <w:rPr>
          <w:rFonts w:cs="Calibri"/>
          <w:lang w:eastAsia="ko-KR"/>
        </w:rPr>
        <w:t xml:space="preserve">. This was done through examining the different institutional drivers that influenced SYFR’s communication strategy and examined the impact they had on their communication. This approach aimed to provide a critical analysis of why SYFR communicate in the way they do and was answered through examining the institutionally complex environment that SYFR sit within. </w:t>
      </w:r>
    </w:p>
    <w:p w14:paraId="01E1576B" w14:textId="77777777" w:rsidR="00787F73" w:rsidRDefault="00742FB7" w:rsidP="00866155">
      <w:r>
        <w:rPr>
          <w:rFonts w:cs="Calibri"/>
        </w:rPr>
        <w:lastRenderedPageBreak/>
        <w:t xml:space="preserve">SYFR works within an institutionally pluralistic environment and is influenced by a variety of different institutions which bring their own pressures and drivers </w:t>
      </w:r>
      <w:r>
        <w:fldChar w:fldCharType="begin" w:fldLock="1"/>
      </w:r>
      <w:r w:rsidR="00974B75">
        <w:rPr>
          <w:rFonts w:cs="Calibri"/>
        </w:rPr>
        <w:instrText>ADDIN CSL_CITATION {"citationItems":[{"id":"ITEM-1","itemData":{"DOI":"10.1111/ijmr.12313","ISSN":"14682370","abstract":"The institutional logics approach is a powerful lens with which to examine and understand contexts in which norms and conceptions are multiple, unclear or in flux. While logics at the societal level have been well elaborated and are, in the most part, widely understood and accepted, at the field level logics are not necessarily so clear. Field frames distort, merge and confuse the societal logic as field actors negotiate, rebalance, bridge and interpret logics in a recursively constitutive process. We review research in two institutionally complex fields—higher education and healthcare - that employs an institutional logics lens. We identify and categorize institutional logics arising in these two fields and ask how these field-level logics relate to each other and to societal-level ideal-type logics. We ask what roles ideologies play in mediating relations between the field-level logics and what are the mechanisms by which this happens. We find that, at the field level, societal logics can appear as field-level instantiations or merge to form hybrids. New field-level logics can also emerge, but often these are confused with ideologies, thus limiting the theory-building potential of the institutional logics approach. We identify and begin to resolve confusion between logics and ideologies, highlighting the role of ideologies in mediating the relationships between logics at the field level. We advocate for, and pave the way towards, a new research agenda enabled by a flatter ontology of institutional logics that sees a horizontal relationship between logics as well as a vertical relationship between logics and actors.","author":[{"dropping-particle":"","family":"Mountford","given":"Nicola","non-dropping-particle":"","parse-names":false,"suffix":""},{"dropping-particle":"","family":"Cai","given":"Yuzhuo","non-dropping-particle":"","parse-names":false,"suffix":""}],"container-title":"International Journal of Management Reviews","id":"ITEM-1","issue":"2","issued":{"date-parts":[["2023"]]},"page":"363-383","title":"Towards a flatter ontology of institutional logics: How logics relate in situations of institutional complexity","type":"article-journal","volume":"25"},"uris":["http://www.mendeley.com/documents/?uuid=6aa26381-65cf-4a9b-8d84-88e354dc01bc"]}],"mendeley":{"formattedCitation":"(Mountford &amp; Cai, 2023)","plainTextFormattedCitation":"(Mountford &amp; Cai, 2023)","previouslyFormattedCitation":"(Mountford &amp; Cai, 2023)"},"properties":{"noteIndex":0},"schema":"https://github.com/citation-style-language/schema/raw/master/csl-citation.json"}</w:instrText>
      </w:r>
      <w:r>
        <w:rPr>
          <w:rFonts w:cs="Calibri"/>
        </w:rPr>
        <w:fldChar w:fldCharType="separate"/>
      </w:r>
      <w:r w:rsidR="00974B75" w:rsidRPr="00974B75">
        <w:rPr>
          <w:rFonts w:cs="Calibri"/>
          <w:noProof/>
          <w:lang w:eastAsia="en-US"/>
        </w:rPr>
        <w:t>(Mountford &amp; Cai, 2023)</w:t>
      </w:r>
      <w:r>
        <w:rPr>
          <w:rFonts w:cs="Calibri"/>
        </w:rPr>
        <w:fldChar w:fldCharType="end"/>
      </w:r>
      <w:r>
        <w:rPr>
          <w:rFonts w:cs="Calibri"/>
        </w:rPr>
        <w:t xml:space="preserve">, and can constrain or enable their communication strategy. These institutions are not experienced equally with some being central to the functioning of SYFR </w:t>
      </w:r>
      <w:r>
        <w:fldChar w:fldCharType="begin" w:fldLock="1"/>
      </w:r>
      <w:r w:rsidR="00C541CC">
        <w:rPr>
          <w:rFonts w:cs="Calibri"/>
        </w:rPr>
        <w:instrText>ADDIN CSL_CITATION {"citationItems":[{"id":"ITEM-1","itemData":{"author":[{"dropping-particle":"","family":"Besharov","given":"Marya L.","non-dropping-particle":"","parse-names":false,"suffix":""},{"dropping-particle":"","family":"Smith","given":"Wendy K.","non-dropping-particle":"","parse-names":false,"suffix":""}],"container-title":"The Academy of Management Review","id":"ITEM-1","issue":"3","issued":{"date-parts":[["2014"]]},"page":"364-381","title":"Multiple Institutional Logics In Organizations: Explaining Their Varied Nature And Implications","type":"article-journal","volume":"39"},"uris":["http://www.mendeley.com/documents/?uuid=57cbbf37-05be-48a2-ad9d-1095a2aeb8e5"]}],"mendeley":{"formattedCitation":"(Besharov &amp; Smith, 2014)","plainTextFormattedCitation":"(Besharov &amp; Smith, 2014)","previouslyFormattedCitation":"(Besharov &amp; Smith, 2014)"},"properties":{"noteIndex":0},"schema":"https://github.com/citation-style-language/schema/raw/master/csl-citation.json"}</w:instrText>
      </w:r>
      <w:r>
        <w:rPr>
          <w:rFonts w:cs="Calibri"/>
        </w:rPr>
        <w:fldChar w:fldCharType="separate"/>
      </w:r>
      <w:r w:rsidR="00C541CC" w:rsidRPr="00C541CC">
        <w:rPr>
          <w:rFonts w:cs="Calibri"/>
          <w:noProof/>
          <w:lang w:eastAsia="en-US"/>
        </w:rPr>
        <w:t>(Besharov &amp; Smith, 2014)</w:t>
      </w:r>
      <w:r>
        <w:rPr>
          <w:rFonts w:cs="Calibri"/>
        </w:rPr>
        <w:fldChar w:fldCharType="end"/>
      </w:r>
      <w:r>
        <w:rPr>
          <w:rFonts w:cs="Calibri"/>
        </w:rPr>
        <w:t xml:space="preserve"> and others influencing the approach that is taken. The data suggests that SYFR are influenced by a series of societal and field logics, influencing both the strategic and operational functioning of the organisations as well as the individual experiences of the SYFR Communications team.</w:t>
      </w:r>
    </w:p>
    <w:p w14:paraId="3CE36715" w14:textId="77777777" w:rsidR="00787F73" w:rsidRDefault="00787F73" w:rsidP="00866155">
      <w:pPr>
        <w:rPr>
          <w:rFonts w:cs="Calibri"/>
        </w:rPr>
      </w:pPr>
    </w:p>
    <w:p w14:paraId="7AF667D8" w14:textId="77777777" w:rsidR="00787F73" w:rsidRDefault="00742FB7" w:rsidP="00866155">
      <w:r>
        <w:rPr>
          <w:rFonts w:cs="Calibri"/>
        </w:rPr>
        <w:t>This thesis presents an interpretation of a series of state logics that were influencing SYFR, focusing on the regulative elements of the institution with the impact of parliamentary acts on the functioning and strategy of the SYFR Communications team. The central logic influencing SYFR’s functioning was the FRSA (2004) logic, via the statutory obligations for SYFR to communicate fire risk awareness and to work towards preventing fires. This heavily influenced SYFR’s work, with the design of PICs predominantly focusing on risk communication surrounding fires. This logic also influenced how they monitor and measure success of their campaigns, with a heavy focus on quantification using incident data and social media metrics. The FRSA logic heavily influenced SYFR’s communication daily, however, as SYFR work within disaster management there is a temporal element to some of their work, which brings in additional logics, such as the CCA (2004) logic.</w:t>
      </w:r>
    </w:p>
    <w:p w14:paraId="59FACACB" w14:textId="77777777" w:rsidR="00787F73" w:rsidRDefault="00787F73" w:rsidP="00866155">
      <w:pPr>
        <w:rPr>
          <w:rFonts w:cs="Calibri"/>
        </w:rPr>
      </w:pPr>
    </w:p>
    <w:p w14:paraId="0542BB5F" w14:textId="29353B09" w:rsidR="00787F73" w:rsidRDefault="00742FB7" w:rsidP="00866155">
      <w:r>
        <w:rPr>
          <w:rFonts w:cs="Calibri"/>
        </w:rPr>
        <w:t xml:space="preserve">The second element of the state logic, the CCA (2004), focuses on collaboration in major incidents and disasters, which was recorded by this research during a flooding incident in 2019, and again in 2020 with the start of the COVID-19 pandemic. During the disasters, this logic was central to SYFR </w:t>
      </w:r>
      <w:r>
        <w:fldChar w:fldCharType="begin" w:fldLock="1"/>
      </w:r>
      <w:r w:rsidR="00C541CC">
        <w:rPr>
          <w:rFonts w:cs="Calibri"/>
        </w:rPr>
        <w:instrText>ADDIN CSL_CITATION {"citationItems":[{"id":"ITEM-1","itemData":{"author":[{"dropping-particle":"","family":"Besharov","given":"Marya L.","non-dropping-particle":"","parse-names":false,"suffix":""},{"dropping-particle":"","family":"Smith","given":"Wendy K.","non-dropping-particle":"","parse-names":false,"suffix":""}],"container-title":"The Academy of Management Review","id":"ITEM-1","issue":"3","issued":{"date-parts":[["2014"]]},"page":"364-381","title":"Multiple Institutional Logics In Organizations: Explaining Their Varied Nature And Implications","type":"article-journal","volume":"39"},"uris":["http://www.mendeley.com/documents/?uuid=57cbbf37-05be-48a2-ad9d-1095a2aeb8e5"]}],"mendeley":{"formattedCitation":"(Besharov &amp; Smith, 2014)","plainTextFormattedCitation":"(Besharov &amp; Smith, 2014)","previouslyFormattedCitation":"(Besharov &amp; Smith, 2014)"},"properties":{"noteIndex":0},"schema":"https://github.com/citation-style-language/schema/raw/master/csl-citation.json"}</w:instrText>
      </w:r>
      <w:r>
        <w:rPr>
          <w:rFonts w:cs="Calibri"/>
        </w:rPr>
        <w:fldChar w:fldCharType="separate"/>
      </w:r>
      <w:r w:rsidR="00C541CC" w:rsidRPr="00C541CC">
        <w:rPr>
          <w:rFonts w:cs="Calibri"/>
          <w:noProof/>
          <w:lang w:eastAsia="en-US"/>
        </w:rPr>
        <w:t>(Besharov &amp; Smith, 2014)</w:t>
      </w:r>
      <w:r>
        <w:rPr>
          <w:rFonts w:cs="Calibri"/>
        </w:rPr>
        <w:fldChar w:fldCharType="end"/>
      </w:r>
      <w:r>
        <w:rPr>
          <w:rFonts w:cs="Calibri"/>
        </w:rPr>
        <w:t xml:space="preserve"> and led to SYFR adapting their communication to not only focus on risk of fire, but to include the risk to life associated with flooding or the pandemic. This suggested a combining and blending </w:t>
      </w:r>
      <w:r>
        <w:fldChar w:fldCharType="begin" w:fldLock="1"/>
      </w:r>
      <w:r w:rsidR="00974B75">
        <w:rPr>
          <w:rFonts w:cs="Calibri"/>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Phenomena","type":"article-journal","volume":"47"},"uris":["http://www.mendeley.com/documents/?uuid=3561369e-31b0-40ce-940d-739bd34cab24"]},{"id":"ITEM-2","itemData":{"DOI":"10.1080/1461670X.2015.1052537","ISSN":"14699699","abstract":"This study analyzes the emergence, development, and stasis of the news fact-checking website through the institutional perspectives of population ecology and institutional logics. The population ecology approach suggests that like other new media forms, fact-checking sites will mimic one another in pursuit of legitimacy, and this will encourage formation of media “populations,” and tendencies to buffer the external environment and stabilize. Over time, these sites will respond more to other sites within the population itself than to changes in the immediate environment. However, the institutional logics approach accommodates conflict and agency, suggesting that entities pursue complex strategies to retain legitimacy when faced with conflicts within the wider institutional environment. The fact-checking site is a product of such a strategy, as it straddles both traditional journalism and digital network logics. Findings show evidence of a budding fact-checking site population, increasing legitimacy, and increased isomorphism. Yet findings also reveal fragmentation and diversity in recent years, suggesting that institutionalization processes are complex and uneven. Findings suggest a need to understand that media entities are shaped by both their exogenous environment and their endogenous “population,” a collective of similar entities. Future research should explore the conditions that lead to one or the other being more consequential.","author":[{"dropping-particle":"","family":"Lowrey","given":"Wilson","non-dropping-particle":"","parse-names":false,"suffix":""}],"container-title":"Journalism Studies","id":"ITEM-2","issue":"3","issued":{"date-parts":[["2017"]]},"page":"376-394","title":"The Emergence and Development of News Fact-checking Sites: Institutional logics and population ecology","type":"article-journal","volume":"18"},"uris":["http://www.mendeley.com/documents/?uuid=e8fb5c0e-d852-402f-8b44-c91e49684340"]},{"id":"ITEM-3","itemData":{"DOI":"10.1016/j.aos.2022.101336","ISSN":"03613682","abstract":"This paper is located within the research problematic of multiple logics with reference to professional service firms (PSFs), and in particular audit firms. Within this multi-logic (“hybrid”) and complex organization, we are specifically concerned with the impacts of new institutional logics that reflect social and political movements - in this case diversity legislation - and how these new logics are absorbed and managed within the organizations’ structures and practices. Based upon a study of large and medium sized audit firms in the UK, we consider the organizational responses to the demands for improved diversity among firm members, especially the senior elite, in the context of the passing of the Equality Act, 2010, and subsequent legislation which both consolidated and extended UK laws on discrimination. Our study indicates how such organizational sites have value for demonstrating how the conflict between logics shifts its terms of reference. While most of the conflict between logics of commercialism and professionalism has been successfully managed through mechanisms of hybridization, we bring to the fore how the struggles between ideas about merit and diversity in professional evaluation processes and practices are more intractable. Our work contributes to an understanding of both the dependencies (blending) and co-existences (separation) that can exist between diversity, commercial and professional logics of practice in multi-logic organizations. We further highlight the role of identity scripts that shape how individuals situationally demarcate their identities as they struggle with the demands for diversity that challenge dominant logics.","author":[{"dropping-particle":"","family":"Anderson-Gough","given":"Fiona","non-dropping-particle":"","parse-names":false,"suffix":""},{"dropping-particle":"","family":"Edgley","given":"Carla","non-dropping-particle":"","parse-names":false,"suffix":""},{"dropping-particle":"","family":"Robson","given":"Keith","non-dropping-particle":"","parse-names":false,"suffix":""},{"dropping-particle":"","family":"Sharma","given":"Nina","non-dropping-particle":"","parse-names":false,"suffix":""}],"container-title":"Accounting, Organizations and Society","id":"ITEM-3","issued":{"date-parts":[["2022"]]},"page":"1-21","publisher":"The Authors","title":"Organizational responses to multiple logics: Diversity, identity and the professional service firm","type":"article-journal","volume":"103"},"uris":["http://www.mendeley.com/documents/?uuid=fa3c624d-bc21-4550-9481-bd7c9bf1f730"]}],"mendeley":{"formattedCitation":"(Anderson-Gough et al., 2022; Lounsbury et al., 2021; Lowrey, 2017)","plainTextFormattedCitation":"(Anderson-Gough et al., 2022; Lounsbury et al., 2021; Lowrey, 2017)","previouslyFormattedCitation":"(Anderson-Gough et al., 2022; Lounsbury et al., 2021; Lowrey, 2017)"},"properties":{"noteIndex":0},"schema":"https://github.com/citation-style-language/schema/raw/master/csl-citation.json"}</w:instrText>
      </w:r>
      <w:r>
        <w:rPr>
          <w:rFonts w:cs="Calibri"/>
        </w:rPr>
        <w:fldChar w:fldCharType="separate"/>
      </w:r>
      <w:r>
        <w:rPr>
          <w:rFonts w:cs="Calibri"/>
          <w:noProof/>
        </w:rPr>
        <w:t>(Anderson-Gough et al., 2022; Lounsbury et al., 2021; Lowrey, 2017)</w:t>
      </w:r>
      <w:r>
        <w:rPr>
          <w:rFonts w:cs="Calibri"/>
        </w:rPr>
        <w:fldChar w:fldCharType="end"/>
      </w:r>
      <w:r>
        <w:rPr>
          <w:rFonts w:cs="Calibri"/>
        </w:rPr>
        <w:t xml:space="preserve"> of the FRSA and CCA logics, with the core functioning of SYFR focusing on preventing risk to life and property. State logics focus on the regulative elements of the institution, and therefore requires SYFR to communicate specific topics, however, as stated in the institutional logic’s literature, the regulative elements then filter through into the normative and cultural-cognitive pillars of the institution </w:t>
      </w:r>
      <w:r>
        <w:lastRenderedPageBreak/>
        <w:fldChar w:fldCharType="begin" w:fldLock="1"/>
      </w:r>
      <w:r w:rsidR="00974B75">
        <w:rPr>
          <w:rFonts w:cs="Calibri"/>
        </w:rPr>
        <w:instrText>ADDIN CSL_CITATION {"citationItems":[{"id":"ITEM-1","itemData":{"DOI":"10.1108/S0277-2833(2010)0000021006","ISBN":"0000021008","ISSN":"02772833","abstract":"Social science attention to the distinctive role played by the professions\\nin modern society dates, at least, from the 1930s, beginning with\\nthe pioneering research of Carr-Saunders and Wilson (1933) and the\\ntheorizing of Parsons (1939). A considerable body of work was produced\\nwell into the 1960s, most of which embraced what was subsequently\\ntermed a functionalist approach. It was argued that in return for\\nemploying their specialized knowledge in the client's interest, professionals\\nwere ceded the right to set standards of training and practice and\\nto exercise autonomy of decision making in their spheres of competence\\n(e.g., Goode, 1957; Goss, 1961; Greenwood, 1957; Hughes, 1958b).\\nConsiderable effort was expended in differentiating between more-\\nand less-fully developed types of professions (e.g., Etzioni, 1969;\\nScott, 1965), as well as identifying the stages and strategies by\\nwhich professions acquired their distinctive features and status\\n(e.g., Abbott, 1988; Freidson, 1986; Wilensky, 1964).","author":[{"dropping-particle":"","family":"Scott","given":"W. Richard","non-dropping-particle":"","parse-names":false,"suffix":""}],"container-title":"Institutions and Entrepreneurship (Research in the Sociology of Work, Vol. 21)","editor":[{"dropping-particle":"","family":"Wesley D. Sine","given":"Robert J. David","non-dropping-particle":"","parse-names":false,"suffix":""}],"id":"ITEM-1","issued":{"date-parts":[["2010"]]},"page":"27-49","publisher":"Emerald Group Publishing Limited","publisher-place":"Leeds","title":"Entrepreneurs and professionals: The mediating role of institutions","type":"chapter"},"uris":["http://www.mendeley.com/documents/?uuid=8748eab4-c587-451c-8f5e-723bdb377cea"]},{"id":"ITEM-2","itemData":{"DOI":"10.1111/joms.12070","ISBN":"7804923325","ISSN":"14676486","abstract":"In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Studies","id":"ITEM-2","issue":"7","issued":{"date-parts":[["2014"]]},"page":"1206-1220","title":"Rethinking institutions and organizations","type":"article-journal","volume":"51"},"uris":["http://www.mendeley.com/documents/?uuid=0af2a191-4e5d-48b8-8f8d-ce7200539d20"]},{"id":"ITEM-3","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Practice","id":"ITEM-3","issue":"3","issued":{"date-parts":[["2010"]]},"page":"421-440","title":"Institutional theory and entrepreneurship: Where are we now and where do we need to move in the future?","type":"article-journal","volume":"34"},"uris":["http://www.mendeley.com/documents/?uuid=e36ff41e-f87e-4ac2-ad15-cf1983b501ae"]},{"id":"ITEM-4","itemData":{"DOI":"10.1177/0170840607088151","ISBN":"0170-8406","ISSN":"01708406","PMID":"31323064","abstract":"More so than other types of social actors, the professions in modern society have assumed leading roles in the creation and tending of institutions. They are the preeminent institutional agents of our time. Different professions work in various ways: some attempt to create general cultural-cognitive frameworks; others to devise normative pre- scriptions to guide behavior; and still others to exercise coercive authority. Also, indi- vidual professionals assume varying roles within their professional community: some concentrate on devising and testing general principles, others transport these ideas to varying communities; and still others work to apply the principles to individual cases. Professions themselves adhere to an institutional model, but this model has undergone important changes over time.","author":[{"dropping-particle":"","family":"Scott","given":"W. Richard","non-dropping-particle":"","parse-names":false,"suffix":""}],"container-title":"Organization Studies","id":"ITEM-4","issue":"2","issued":{"date-parts":[["2008"]]},"page":"219-238","title":"Lords of the dance: Professionals as institutional agents","type":"article-journal","volume":"29"},"uris":["http://www.mendeley.com/documents/?uuid=08afe149-5ce2-4fa3-a5be-8ece63af6202"]},{"id":"ITEM-5","itemData":{"author":[{"dropping-particle":"","family":"Scott","given":"W. R.","non-dropping-particle":"","parse-names":false,"suffix":""}],"chapter-number":"22","container-title":"Great Minds in Management: The Process of Theory Development","editor":[{"dropping-particle":"","family":"Smith","given":"Ken G.","non-dropping-particle":"","parse-names":false,"suffix":""},{"dropping-particle":"","family":"Hitt","given":"Michael A.","non-dropping-particle":"","parse-names":false,"suffix":""}],"id":"ITEM-5","issued":{"date-parts":[["2005"]]},"page":"460-484","publisher":"Oxford University Press","publisher-place":"Oxford","title":"Institutional theory: Contributing to a theoretical research program","type":"chapter"},"uris":["http://www.mendeley.com/documents/?uuid=8de1c0a6-4550-442d-8529-9841b65f3d92"]}],"mendeley":{"formattedCitation":"(Greenwood, Hinings, &amp; Whetten, 2014; Bruton, Ahlstrom, &amp; Li, 2010; Scott, 2005, 2008b, 2010a)","plainTextFormattedCitation":"(Greenwood, Hinings, &amp; Whetten, 2014; Bruton, Ahlstrom, &amp; Li, 2010; Scott, 2005, 2008b, 2010a)","previouslyFormattedCitation":"(Greenwood, Hinings, &amp; Whetten, 2014; Bruton, Ahlstrom, &amp; Li, 2010; Scott, 2005, 2008b, 2010a)"},"properties":{"noteIndex":0},"schema":"https://github.com/citation-style-language/schema/raw/master/csl-citation.json"}</w:instrText>
      </w:r>
      <w:r>
        <w:rPr>
          <w:rFonts w:cs="Calibri"/>
        </w:rPr>
        <w:fldChar w:fldCharType="separate"/>
      </w:r>
      <w:r>
        <w:rPr>
          <w:rFonts w:cs="Calibri"/>
          <w:noProof/>
        </w:rPr>
        <w:t>(Greenwood, Hinings, &amp; Whetten, 2014; Bruton, Ahlstrom, &amp; Li, 2010; Scott, 2005, 2008b, 2010a)</w:t>
      </w:r>
      <w:r>
        <w:rPr>
          <w:rFonts w:cs="Calibri"/>
        </w:rPr>
        <w:fldChar w:fldCharType="end"/>
      </w:r>
      <w:r w:rsidR="003E19CA">
        <w:rPr>
          <w:rFonts w:cs="Calibri"/>
        </w:rPr>
        <w:t xml:space="preserve">. This </w:t>
      </w:r>
      <w:r>
        <w:rPr>
          <w:rFonts w:cs="Calibri"/>
        </w:rPr>
        <w:t>was seen within the interview data from the SYFR Communications team and their use of prevent and respond in everyday conversations.</w:t>
      </w:r>
    </w:p>
    <w:p w14:paraId="6C1AD505" w14:textId="77777777" w:rsidR="00787F73" w:rsidRDefault="00787F73" w:rsidP="00866155">
      <w:pPr>
        <w:rPr>
          <w:rFonts w:cs="Calibri"/>
        </w:rPr>
      </w:pPr>
    </w:p>
    <w:p w14:paraId="5C6B12C8" w14:textId="33F2A2B4" w:rsidR="00787F73" w:rsidRDefault="00C84401" w:rsidP="00866155">
      <w:r w:rsidRPr="00010F12">
        <w:rPr>
          <w:rFonts w:cs="Calibri"/>
        </w:rPr>
        <w:t>While</w:t>
      </w:r>
      <w:r w:rsidR="00742FB7">
        <w:rPr>
          <w:rFonts w:cs="Calibri"/>
        </w:rPr>
        <w:t xml:space="preserve"> SYFR as an organisation is influenced by these two state logics, each department is influenced in different ways, with organisational members interpreting logics in varying ways </w:t>
      </w:r>
      <w:r w:rsidR="00742FB7">
        <w:fldChar w:fldCharType="begin" w:fldLock="1"/>
      </w:r>
      <w:r w:rsidR="00E37B0E">
        <w:rPr>
          <w:rFonts w:cs="Calibri"/>
        </w:rPr>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Process","type":"book"},"uris":["http://www.mendeley.com/documents/?uuid=7afe7588-cd0b-4a95-b78a-3214c1130169"]}],"mendeley":{"formattedCitation":"(Thornton, Ocasio, &amp; Lounsbury, 2012)","plainTextFormattedCitation":"(Thornton, Ocasio, &amp; Lounsbury, 2012)","previouslyFormattedCitation":"(Thornton, Ocasio, &amp; Lounsbury, 2012)"},"properties":{"noteIndex":0},"schema":"https://github.com/citation-style-language/schema/raw/master/csl-citation.json"}</w:instrText>
      </w:r>
      <w:r w:rsidR="00742FB7">
        <w:rPr>
          <w:rFonts w:cs="Calibri"/>
        </w:rPr>
        <w:fldChar w:fldCharType="separate"/>
      </w:r>
      <w:r w:rsidR="007C12EC" w:rsidRPr="007C12EC">
        <w:rPr>
          <w:rFonts w:cs="Calibri"/>
          <w:noProof/>
        </w:rPr>
        <w:t>(Thornton, Ocasio, &amp; Lounsbury, 2012)</w:t>
      </w:r>
      <w:r w:rsidR="00742FB7">
        <w:rPr>
          <w:rFonts w:cs="Calibri"/>
        </w:rPr>
        <w:fldChar w:fldCharType="end"/>
      </w:r>
      <w:r w:rsidR="00742FB7">
        <w:rPr>
          <w:rFonts w:cs="Calibri"/>
        </w:rPr>
        <w:t xml:space="preserve">. Under the FRSA (2004) and the CCA (2004), they note that FRS’ must communicate surrounding fire risk (FRSA), or provide the community information surrounding an incident, however, there is not strict institutional parameters with how to do this. This means that SYFR as a whole organisation is strongly influenced by these state logics, but the Communications team are only constrained by the focus of the </w:t>
      </w:r>
      <w:r w:rsidR="00742FB7">
        <w:t>content (risk of fires,</w:t>
      </w:r>
      <w:r w:rsidR="00742FB7">
        <w:rPr>
          <w:rFonts w:cs="Calibri"/>
        </w:rPr>
        <w:t xml:space="preserve"> or operational updates about an emergency incident). Thus, indicating a scale of impact within institutional logics, and the role of institutional agency of organisational departments and individuals in how they interpret and implement logics </w:t>
      </w:r>
      <w:r w:rsidR="00742FB7">
        <w:fldChar w:fldCharType="begin" w:fldLock="1"/>
      </w:r>
      <w:r w:rsidR="00974B75">
        <w:rPr>
          <w:rFonts w:cs="Calibri"/>
        </w:rPr>
        <w:instrText>ADDIN CSL_CITATION {"citationItems":[{"id":"ITEM-1","itemData":{"DOI":"10.1108/S0733-558X(2013)0039A&amp;B015","ISSN":"0733558X","abstract":"This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Organizations","id":"ITEM-1","issue":"B","issued":{"date-parts":[["2013"]]},"page":"37-61","publisher":"Emerald Group Publishing Limited","title":"Institutional ambidexterity: Leveraging institutional complexity in practice","type":"article-journal","volume":"39"},"uris":["http://www.mendeley.com/documents/?uuid=ff8dc873-f050-4c05-bdec-08925d6e6ab8"]},{"id":"ITEM-2","itemData":{"DOI":"10.1177/1476127015625040","author":[{"dropping-particle":"","family":"Ocasio","given":"William","non-dropping-particle":"","parse-names":false,"suffix":""},{"dropping-particle":"","family":"Radoynovska","given":"Nevena","non-dropping-particle":"","parse-names":false,"suffix":""}],"container-title":"Strategic Organization","id":"ITEM-2","issue":"4","issued":{"date-parts":[["2016"]]},"page":"287 - 309","title":"Strategy and commitments to institutional logics : Organizational heterogeneity in business models and governance","type":"article-journal","volume":"14"},"uris":["http://www.mendeley.com/documents/?uuid=eede86b6-3a39-4b52-acc9-94e8cc3fbd5e"]}],"mendeley":{"formattedCitation":"(Ocasio &amp; Radoynovska, 2016; Jarzabkowski et al., 2013)","plainTextFormattedCitation":"(Ocasio &amp; Radoynovska, 2016; Jarzabkowski et al., 2013)","previouslyFormattedCitation":"(Ocasio &amp; Radoynovska, 2016; Jarzabkowski et al., 2013)"},"properties":{"noteIndex":0},"schema":"https://github.com/citation-style-language/schema/raw/master/csl-citation.json"}</w:instrText>
      </w:r>
      <w:r w:rsidR="00742FB7">
        <w:rPr>
          <w:rFonts w:cs="Calibri"/>
        </w:rPr>
        <w:fldChar w:fldCharType="separate"/>
      </w:r>
      <w:r w:rsidR="00742FB7">
        <w:rPr>
          <w:rFonts w:cs="Calibri"/>
          <w:noProof/>
        </w:rPr>
        <w:t>(Ocasio &amp; Radoynovska, 2016; Jarzabkowski et al., 2013)</w:t>
      </w:r>
      <w:r w:rsidR="00742FB7">
        <w:rPr>
          <w:rFonts w:cs="Calibri"/>
        </w:rPr>
        <w:fldChar w:fldCharType="end"/>
      </w:r>
      <w:r w:rsidR="00742FB7">
        <w:rPr>
          <w:rFonts w:cs="Calibri"/>
        </w:rPr>
        <w:t xml:space="preserve">. </w:t>
      </w:r>
    </w:p>
    <w:p w14:paraId="12BC6723" w14:textId="77777777" w:rsidR="00787F73" w:rsidRDefault="00787F73" w:rsidP="00866155">
      <w:pPr>
        <w:rPr>
          <w:rFonts w:cs="Calibri"/>
        </w:rPr>
      </w:pPr>
    </w:p>
    <w:p w14:paraId="60CD7371" w14:textId="06A86CCC" w:rsidR="00787F73" w:rsidRDefault="00742FB7" w:rsidP="00866155">
      <w:r>
        <w:rPr>
          <w:rFonts w:cs="Calibri"/>
        </w:rPr>
        <w:t xml:space="preserve">SYFR are influenced by other societal logics too, such as the community. This logic focuses predominantly on the normative and cultural-cognitive elements of the institution </w:t>
      </w:r>
      <w:r>
        <w:fldChar w:fldCharType="begin" w:fldLock="1"/>
      </w:r>
      <w:r w:rsidR="00974B75">
        <w:rPr>
          <w:rFonts w:cs="Calibri"/>
        </w:rPr>
        <w:instrText>ADDIN CSL_CITATION {"citationItems":[{"id":"ITEM-1","itemData":{"DOI":"10.1108/S0277-2833(2010)0000021006","ISBN":"0000021008","ISSN":"02772833","abstract":"Social science attention to the distinctive role played by the professions\\nin modern society dates, at least, from the 1930s, beginning with\\nthe pioneering research of Carr-Saunders and Wilson (1933) and the\\ntheorizing of Parsons (1939). A considerable body of work was produced\\nwell into the 1960s, most of which embraced what was subsequently\\ntermed a functionalist approach. It was argued that in return for\\nemploying their specialized knowledge in the client's interest, professionals\\nwere ceded the right to set standards of training and practice and\\nto exercise autonomy of decision making in their spheres of competence\\n(e.g., Goode, 1957; Goss, 1961; Greenwood, 1957; Hughes, 1958b).\\nConsiderable effort was expended in differentiating between more-\\nand less-fully developed types of professions (e.g., Etzioni, 1969;\\nScott, 1965), as well as identifying the stages and strategies by\\nwhich professions acquired their distinctive features and status\\n(e.g., Abbott, 1988; Freidson, 1986; Wilensky, 1964).","author":[{"dropping-particle":"","family":"Scott","given":"W. Richard","non-dropping-particle":"","parse-names":false,"suffix":""}],"container-title":"Institutions and Entrepreneurship (Research in the Sociology of Work, Vol. 21)","editor":[{"dropping-particle":"","family":"Wesley D. Sine","given":"Robert J. David","non-dropping-particle":"","parse-names":false,"suffix":""}],"id":"ITEM-1","issued":{"date-parts":[["2010"]]},"page":"27-49","publisher":"Emerald Group Publishing Limited","publisher-place":"Leeds","title":"Entrepreneurs and professionals: The mediating role of institutions","type":"chapter"},"uris":["http://www.mendeley.com/documents/?uuid=8748eab4-c587-451c-8f5e-723bdb377cea"]},{"id":"ITEM-2","itemData":{"DOI":"10.1111/joms.12070","ISBN":"7804923325","ISSN":"14676486","abstract":"In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Studies","id":"ITEM-2","issue":"7","issued":{"date-parts":[["2014"]]},"page":"1206-1220","title":"Rethinking institutions and organizations","type":"article-journal","volume":"51"},"uris":["http://www.mendeley.com/documents/?uuid=0af2a191-4e5d-48b8-8f8d-ce7200539d20"]},{"id":"ITEM-3","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Practice","id":"ITEM-3","issue":"3","issued":{"date-parts":[["2010"]]},"page":"421-440","title":"Institutional theory and entrepreneurship: Where are we now and where do we need to move in the future?","type":"article-journal","volume":"34"},"uris":["http://www.mendeley.com/documents/?uuid=e36ff41e-f87e-4ac2-ad15-cf1983b501ae"]},{"id":"ITEM-4","itemData":{"DOI":"10.1177/0170840607088151","ISBN":"0170-8406","ISSN":"01708406","PMID":"31323064","abstract":"More so than other types of social actors, the professions in modern society have assumed leading roles in the creation and tending of institutions. They are the preeminent institutional agents of our time. Different professions work in various ways: some attempt to create general cultural-cognitive frameworks; others to devise normative pre- scriptions to guide behavior; and still others to exercise coercive authority. Also, indi- vidual professionals assume varying roles within their professional community: some concentrate on devising and testing general principles, others transport these ideas to varying communities; and still others work to apply the principles to individual cases. Professions themselves adhere to an institutional model, but this model has undergone important changes over time.","author":[{"dropping-particle":"","family":"Scott","given":"W. Richard","non-dropping-particle":"","parse-names":false,"suffix":""}],"container-title":"Organization Studies","id":"ITEM-4","issue":"2","issued":{"date-parts":[["2008"]]},"page":"219-238","title":"Lords of the dance: Professionals as institutional agents","type":"article-journal","volume":"29"},"uris":["http://www.mendeley.com/documents/?uuid=08afe149-5ce2-4fa3-a5be-8ece63af6202"]},{"id":"ITEM-5","itemData":{"author":[{"dropping-particle":"","family":"Scott","given":"W. R.","non-dropping-particle":"","parse-names":false,"suffix":""}],"chapter-number":"22","container-title":"Great Minds in Management: The Process of Theory Development","editor":[{"dropping-particle":"","family":"Smith","given":"Ken G.","non-dropping-particle":"","parse-names":false,"suffix":""},{"dropping-particle":"","family":"Hitt","given":"Michael A.","non-dropping-particle":"","parse-names":false,"suffix":""}],"id":"ITEM-5","issued":{"date-parts":[["2005"]]},"page":"460-484","publisher":"Oxford University Press","publisher-place":"Oxford","title":"Institutional theory: Contributing to a theoretical research program","type":"chapter"},"uris":["http://www.mendeley.com/documents/?uuid=8de1c0a6-4550-442d-8529-9841b65f3d92"]}],"mendeley":{"formattedCitation":"(Greenwood, Hinings, &amp; Whetten, 2014; Bruton, Ahlstrom, &amp; Li, 2010; Scott, 2005, 2008b, 2010a)","plainTextFormattedCitation":"(Greenwood, Hinings, &amp; Whetten, 2014; Bruton, Ahlstrom, &amp; Li, 2010; Scott, 2005, 2008b, 2010a)","previouslyFormattedCitation":"(Greenwood, Hinings, &amp; Whetten, 2014; Bruton, Ahlstrom, &amp; Li, 2010; Scott, 2005, 2008b, 2010a)"},"properties":{"noteIndex":0},"schema":"https://github.com/citation-style-language/schema/raw/master/csl-citation.json"}</w:instrText>
      </w:r>
      <w:r>
        <w:rPr>
          <w:rFonts w:cs="Calibri"/>
        </w:rPr>
        <w:fldChar w:fldCharType="separate"/>
      </w:r>
      <w:r>
        <w:rPr>
          <w:rFonts w:cs="Calibri"/>
          <w:noProof/>
        </w:rPr>
        <w:t>(Greenwood, Hinings, &amp; Whetten, 2014; Bruton, Ahlstrom, &amp; Li, 2010; Scott, 2005, 2008b, 2010a)</w:t>
      </w:r>
      <w:r>
        <w:rPr>
          <w:rFonts w:cs="Calibri"/>
        </w:rPr>
        <w:fldChar w:fldCharType="end"/>
      </w:r>
      <w:r>
        <w:rPr>
          <w:rFonts w:cs="Calibri"/>
        </w:rPr>
        <w:t xml:space="preserve"> and influences how SYFR communicate on certain topics. The results explored in this section highlights that </w:t>
      </w:r>
      <w:r w:rsidR="00C84401">
        <w:rPr>
          <w:rFonts w:cs="Calibri"/>
        </w:rPr>
        <w:t>while</w:t>
      </w:r>
      <w:r w:rsidR="003E19CA">
        <w:rPr>
          <w:rFonts w:cs="Calibri"/>
        </w:rPr>
        <w:t xml:space="preserve"> </w:t>
      </w:r>
      <w:r>
        <w:rPr>
          <w:rFonts w:cs="Calibri"/>
        </w:rPr>
        <w:t xml:space="preserve">the community logic does not drive their messaging topics, it influences their approach and tone to the messaging, such as the perceived straight-talking nature of South Yorkshire. Similarly, to the state logics, this too has a temporal nature to it. During the COVID-19 pandemic, SYFR’s communication strategy was influenced by the community logics that they interpreted, such as by removing a light-hearted campaign about pets in the initial phases of the COVID-19 lockdown and switching to a more direct and official communication surrounding fire risk. Then when the initial shock of the pandemic had reduced, they again utilised the community logics of cohesion and community spirit, suggesting that the Community logics were influencing the tone of their messages. The institutional logics literature notes that there is an inherent temporality to logics, as they are socially constructed and therefore susceptible to change </w:t>
      </w:r>
      <w:r>
        <w:fldChar w:fldCharType="begin" w:fldLock="1"/>
      </w:r>
      <w:r w:rsidR="00E37B0E">
        <w:rPr>
          <w:rFonts w:cs="Calibri"/>
        </w:rPr>
        <w:instrText>ADDIN CSL_CITATION {"citationItems":[{"id":"ITEM-1","itemData":{"DOI":"10.1111/joms.12124","ISSN":"14676486","abstract":"Multinational enterprises (MNEs) operate in complex transnational organizational fields with multiple, diverse, and possibly conflicting institutional forces. This paper examines how such complex environments affect a firm's adoption of Corporate Social Responsibility (CSR) practices. To capture the effect of transnational fields, we consider the institutional influences of all country environments to which the firm is linked through its portfolio of operations and propose that these effects will be weighted depending on their relative salience. We identify a set of factors that make certain pressures more salient than others, including firm's economic dependence on a particular country, heterogeneity of institutional forces within the firm's transnational field, exposure to leading countries with more stringent CSR templates, and intensity and commitment to particular economic linkages (i.e., foreign direct investment versus international trade). Our hypotheses are tested and supported in a study of 710 US MNEs from 2007 to 2011 with global ties to over 100 countries.","author":[{"dropping-particle":"","family":"Marano","given":"Valentina","non-dropping-particle":"","parse-names":false,"suffix":""},{"dropping-particle":"","family":"Kostova","given":"Tatiana","non-dropping-particle":"","parse-names":false,"suffix":""}],"container-title":"Journal of Management Studies","id":"ITEM-1","issue":"1","issued":{"date-parts":[["2016"]]},"page":"28-54","title":"Unpacking the Institutional Complexity in Adoption of CSR Practices in Multinational Enterprises","type":"article-journal","volume":"53"},"uris":["http://www.mendeley.com/documents/?uuid=ded94b6d-fc3a-4b3c-b1d9-4f3038f2d4c1"]},{"id":"ITEM-2","itemData":{"DOI":"10.1057/jit.2009.11","ISSN":"02683962","abstract":"Institutional theory has proven to be a central analytical perspective for investigating the role of social and historical structures of information systems (IS) implementation. However, it does not explicitly account for how organisational actors make sense of and enact technologies in their local context. We address this limitation by exploring the potential of using institutional theory with sensemaking theory to study IS implementation in organisations. We argue that each theoretical perspective has its own explanatory power and that a combination of the two facilitates a much richer interpretation of IS implementation by linking macro- and micro-levels of analysis. To illustrate this, we report from an empirical study of the implementation of an Electronic Patient Record (EPR) system in a clinical setting. Using key constructs from the two theories, our findings address the phenomenon of implementing EPRs at three levels: the organisational field, the organisational/group, and the individual/socio-cognitive level. The study shows how a rationalised myth of an efficient EPR system has travelled from the organisational field to the hospital ward and on to individual doctors. The findings also provide evidence of a strong human agency by showing how doctors enact their work practices and shape the use of the EPR system. The study contributes to IS research by showing the need to address macro-level structures, as well as individual interpretations and practical use situations, in order to identify how and why information systems are adopted by users. © 2009 JIT Palgrave Macmillan All rights reserved.","author":[{"dropping-particle":"","family":"Jensen","given":"Tina Blegind","non-dropping-particle":"","parse-names":false,"suffix":""},{"dropping-particle":"","family":"Kjærgaard","given":"Annemette","non-dropping-particle":"","parse-names":false,"suffix":""},{"dropping-particle":"","family":"Svejvig","given":"Per","non-dropping-particle":"","parse-names":false,"suffix":""}],"container-title":"Journal of Information Technology","id":"ITEM-2","issue":"4","issued":{"date-parts":[["2009"]]},"page":"343-353","title":"Using institutional theory with sensemaking theory: A case study of information system implementation in healthcare","type":"article-journal","volume":"24"},"uris":["http://www.mendeley.com/documents/?uuid=ce64e0bb-77bf-416f-b59c-b4bbd65a84e8"]},{"id":"ITEM-3","itemData":{"author":[{"dropping-particle":"","family":"Besharov","given":"Marya L.","non-dropping-particle":"","parse-names":false,"suffix":""},{"dropping-particle":"","family":"Smith","given":"Wendy K.","non-dropping-particle":"","parse-names":false,"suffix":""}],"container-title":"The Academy of Management Review","id":"ITEM-3","issue":"3","issued":{"date-parts":[["2014"]]},"page":"364-381","title":"Multiple Institutional Logics In Organizations: Explaining Their Varied Nature And Implications","type":"article-journal","volume":"39"},"uris":["http://www.mendeley.com/documents/?uuid=57cbbf37-05be-48a2-ad9d-1095a2aeb8e5"]},{"id":"ITEM-4","itemData":{"DOI":"10.1111/j.1467-9299.2012.02105.x","ISBN":"00014273","ISSN":"0170-8406","PMID":"18837629","abstract":"Over recent decades, a number of managerial reform initiatives in continental Europe have aimed at moving away from the traditional Weberian model of public administration. Such shifting bases of legitimacy are brought about by changes in the institutional logics in place, which not only provide frames of reference but also social identities and vocabularies of motive for the actors in the field. In this article, we approach the expanding research on public service motivation (PSM) by employing an institutional prism. Based on an executive survey in a continental European context, we examine the assumption that high PSM is associated with the traditional ethos and social identity in the public sector. What we find is that a Weberian legalistic-bureaucratic logic supports neither a high attraction to policy-making nor a high level of compassion. A managerial orientation, on the other hand, entails significantly higher scores on these two dimensions, as well as on overall PSM.","author":[{"dropping-particle":"","family":"Dacin","given":"M Tina","non-dropping-particle":"","parse-names":false,"suffix":""},{"dropping-particle":"","family":"Goodstein","given":"Jerry","non-dropping-particle":"","parse-names":false,"suffix":""},{"dropping-particle":"","family":"Scott","given":"W Richard","non-dropping-particle":"","parse-names":false,"suffix":""}],"container-title":"The Academy of Management Journal","id":"ITEM-4","issue":"1","issued":{"date-parts":[["2002"]]},"page":"45-56","title":"Institutional Theory and Institutional Change: Introduction to the Special Research Forum","type":"article-journal","volume":"45"},"uris":["http://www.mendeley.com/documents/?uuid=ce784237-38a8-4089-a19f-9157aeaf33bb"]},{"id":"ITEM-5","itemData":{"DOI":"10.1093/acprof","ISBN":"9780199682676","ISSN":"0873626X","PMID":"16683413","abstract":"This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-5","issued":{"date-parts":[["2012"]]},"publisher":"Oxford Acdemic","publisher-place":"Oxford","title":"The Institutional Logics Perspective: A New Approach to Culture, Structure and Process","type":"book"},"uris":["http://www.mendeley.com/documents/?uuid=7afe7588-cd0b-4a95-b78a-3214c1130169"]},{"id":"ITEM-6","itemData":{"DOI":"10.1177/2631787720960487","ISSN":"26317877","abstract":"The institutional logics perspective has the explanatory power and potential to further contribute to our understanding of some of the most pressing societal concerns of our time. In this article, we develop the logics perspective along four analytical dimensions – macro-level positioning, contextuality, temporality and value plurality – which, we argue, can be leveraged to research and address grand challenges. We elaborate the currency of these dimensions in the context of the grand challenge of climate change. In doing so, we demonstrate the overall value of a logics perspective for engaging grand challenges.","author":[{"dropping-particle":"","family":"Gümüsay","given":"Ali Aslan","non-dropping-particle":"","parse-names":false,"suffix":""},{"dropping-particle":"","family":"Claus","given":"Laura","non-dropping-particle":"","parse-names":false,"suffix":""},{"dropping-particle":"","family":"Amis","given":"John","non-dropping-particle":"","parse-names":false,"suffix":""}],"container-title":"Organization Theory","id":"ITEM-6","issue":"3","issued":{"date-parts":[["2020"]]},"page":"1 - 20","title":"Engaging with Grand Challenges: An Institutional Logics Perspective","type":"article-journal","volume":"1"},"uris":["http://www.mendeley.com/documents/?uuid=dacf5638-66f7-4439-89e3-4c36bebc3e96"]}],"mendeley":{"formattedCitation":"(Gümüsay, Claus, &amp; Amis, 2020; Marano &amp; Kostova, 2016; Besharov &amp; Smith, 2014; Thornton, Ocasio, &amp; Lounsbury, 2012; Jensen, Kjærgaard, &amp; Svejvig, 2009; Dacin, Goodstein, &amp; Scott, 2002)","plainTextFormattedCitation":"(Gümüsay, Claus, &amp; Amis, 2020; Marano &amp; Kostova, 2016; Besharov &amp; Smith, 2014; Thornton, Ocasio, &amp; Lounsbury, 2012; Jensen, Kjærgaard, &amp; Svejvig, 2009; Dacin, Goodstein, &amp; Scott, 2002)","previouslyFormattedCitation":"(Gümüsay, Claus, &amp; Amis, 2020; Marano &amp; Kostova, 2016; Besharov &amp; Smith, 2014; Thornton, Ocasio, &amp; Lounsbury, 2012; Jensen, Kjærgaard, &amp; Svejvig, 2009; Dacin, Goodstein, &amp; Scott, 2002)"},"properties":{"noteIndex":0},"schema":"https://github.com/citation-style-language/schema/raw/master/csl-citation.json"}</w:instrText>
      </w:r>
      <w:r>
        <w:rPr>
          <w:rFonts w:cs="Calibri"/>
        </w:rPr>
        <w:fldChar w:fldCharType="separate"/>
      </w:r>
      <w:r w:rsidR="007C12EC" w:rsidRPr="007C12EC">
        <w:rPr>
          <w:rFonts w:cs="Calibri"/>
          <w:noProof/>
        </w:rPr>
        <w:t xml:space="preserve">(Gümüsay, Claus, &amp; Amis, 2020; Marano &amp; Kostova, 2016; Besharov &amp; Smith, 2014; Thornton, Ocasio, &amp; </w:t>
      </w:r>
      <w:r w:rsidR="007C12EC" w:rsidRPr="007C12EC">
        <w:rPr>
          <w:rFonts w:cs="Calibri"/>
          <w:noProof/>
        </w:rPr>
        <w:lastRenderedPageBreak/>
        <w:t>Lounsbury, 2012; Jensen, Kjærgaard, &amp; Svejvig, 2009; Dacin, Goodstein, &amp; Scott, 2002)</w:t>
      </w:r>
      <w:r>
        <w:rPr>
          <w:rFonts w:cs="Calibri"/>
        </w:rPr>
        <w:fldChar w:fldCharType="end"/>
      </w:r>
      <w:r w:rsidR="003E19CA">
        <w:rPr>
          <w:rFonts w:cs="Calibri"/>
        </w:rPr>
        <w:t>.</w:t>
      </w:r>
      <w:r>
        <w:rPr>
          <w:rFonts w:cs="Calibri"/>
        </w:rPr>
        <w:t xml:space="preserve"> </w:t>
      </w:r>
      <w:r w:rsidR="003E19CA">
        <w:rPr>
          <w:rFonts w:cs="Calibri"/>
        </w:rPr>
        <w:t>This is evident with</w:t>
      </w:r>
      <w:r>
        <w:rPr>
          <w:rFonts w:cs="Calibri"/>
        </w:rPr>
        <w:t xml:space="preserve"> the family logic, which has shifted over the years from a large patriarchal group, to smaller and less patriarchal groupings</w:t>
      </w:r>
      <w:r w:rsidR="003E19CA">
        <w:rPr>
          <w:rFonts w:cs="Calibri"/>
        </w:rPr>
        <w:t>,</w:t>
      </w:r>
      <w:r>
        <w:rPr>
          <w:rFonts w:cs="Calibri"/>
        </w:rPr>
        <w:t xml:space="preserve"> with this change being delivered evolutionary or revolutionary </w:t>
      </w:r>
      <w:r>
        <w:fldChar w:fldCharType="begin" w:fldLock="1"/>
      </w:r>
      <w:r w:rsidR="00974B75">
        <w:rPr>
          <w:rFonts w:cs="Calibri"/>
        </w:rPr>
        <w:instrText>ADDIN CSL_CITATION {"citationItems":[{"id":"ITEM-1","itemData":{"DOI":"10.1177/2631787720960487","ISSN":"26317877","abstract":"The institutional logics perspective has the explanatory power and potential to further contribute to our understanding of some of the most pressing societal concerns of our time. In this article, we develop the logics perspective along four analytical dimensions – macro-level positioning, contextuality, temporality and value plurality – which, we argue, can be leveraged to research and address grand challenges. We elaborate the currency of these dimensions in the context of the grand challenge of climate change. In doing so, we demonstrate the overall value of a logics perspective for engaging grand challenges.","author":[{"dropping-particle":"","family":"Gümüsay","given":"Ali Aslan","non-dropping-particle":"","parse-names":false,"suffix":""},{"dropping-particle":"","family":"Claus","given":"Laura","non-dropping-particle":"","parse-names":false,"suffix":""},{"dropping-particle":"","family":"Amis","given":"John","non-dropping-particle":"","parse-names":false,"suffix":""}],"container-title":"Organization Theory","id":"ITEM-1","issue":"3","issued":{"date-parts":[["2020"]]},"page":"1 - 20","title":"Engaging with Grand Challenges: An Institutional Logics Perspective","type":"article-journal","volume":"1"},"uris":["http://www.mendeley.com/documents/?uuid=dacf5638-66f7-4439-89e3-4c36bebc3e96"]}],"mendeley":{"formattedCitation":"(Gümüsay, Claus, &amp; Amis, 2020)","plainTextFormattedCitation":"(Gümüsay, Claus, &amp; Amis, 2020)","previouslyFormattedCitation":"(Gümüsay, Claus, &amp; Amis, 2020)"},"properties":{"noteIndex":0},"schema":"https://github.com/citation-style-language/schema/raw/master/csl-citation.json"}</w:instrText>
      </w:r>
      <w:r>
        <w:rPr>
          <w:rFonts w:cs="Calibri"/>
        </w:rPr>
        <w:fldChar w:fldCharType="separate"/>
      </w:r>
      <w:r>
        <w:rPr>
          <w:rFonts w:cs="Calibri"/>
          <w:noProof/>
        </w:rPr>
        <w:t>(Gümüsay, Claus, &amp; Amis, 2020)</w:t>
      </w:r>
      <w:r>
        <w:rPr>
          <w:rFonts w:cs="Calibri"/>
        </w:rPr>
        <w:fldChar w:fldCharType="end"/>
      </w:r>
    </w:p>
    <w:p w14:paraId="44D2AC10" w14:textId="77777777" w:rsidR="00787F73" w:rsidRDefault="00787F73" w:rsidP="00866155">
      <w:pPr>
        <w:rPr>
          <w:rFonts w:cs="Calibri"/>
        </w:rPr>
      </w:pPr>
    </w:p>
    <w:p w14:paraId="611FBEDF" w14:textId="77777777" w:rsidR="00787F73" w:rsidRDefault="00742FB7" w:rsidP="00866155">
      <w:r>
        <w:rPr>
          <w:rFonts w:cs="Calibri"/>
        </w:rPr>
        <w:t xml:space="preserve">SYFR are not only subject to macro societal but also smaller field level logics. These field logics are predominantly different professions, including the communications profession as well as the influence of training within journalism. Similarly, to the community logics, macro societal logics did not influence the content of their messaging but did influence their delivery of the messaging through the creation and publishing of material that could easily be shared with traditional media companies. This highlights the role of the individual within the interpretation of institutional logics, namely that organisational members actions are influenced by their identify, goals and cognition </w:t>
      </w:r>
      <w:r>
        <w:fldChar w:fldCharType="begin" w:fldLock="1"/>
      </w:r>
      <w:r w:rsidR="00E37B0E">
        <w:rPr>
          <w:rFonts w:cs="Calibri"/>
        </w:rPr>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Process","type":"book"},"uris":["http://www.mendeley.com/documents/?uuid=7afe7588-cd0b-4a95-b78a-3214c1130169"]}],"mendeley":{"formattedCitation":"(Thornton, Ocasio, &amp; Lounsbury, 2012)","plainTextFormattedCitation":"(Thornton, Ocasio, &amp; Lounsbury, 2012)","previouslyFormattedCitation":"(Thornton, Ocasio, &amp; Lounsbury, 2012)"},"properties":{"noteIndex":0},"schema":"https://github.com/citation-style-language/schema/raw/master/csl-citation.json"}</w:instrText>
      </w:r>
      <w:r>
        <w:rPr>
          <w:rFonts w:cs="Calibri"/>
        </w:rPr>
        <w:fldChar w:fldCharType="separate"/>
      </w:r>
      <w:r w:rsidR="007C12EC" w:rsidRPr="007C12EC">
        <w:rPr>
          <w:rFonts w:cs="Calibri"/>
          <w:noProof/>
        </w:rPr>
        <w:t>(Thornton, Ocasio, &amp; Lounsbury, 2012)</w:t>
      </w:r>
      <w:r>
        <w:rPr>
          <w:rFonts w:cs="Calibri"/>
        </w:rPr>
        <w:fldChar w:fldCharType="end"/>
      </w:r>
      <w:r>
        <w:rPr>
          <w:rFonts w:cs="Calibri"/>
        </w:rPr>
        <w:t>, therefore</w:t>
      </w:r>
      <w:r w:rsidR="003E19CA">
        <w:rPr>
          <w:rFonts w:cs="Calibri"/>
        </w:rPr>
        <w:t>,</w:t>
      </w:r>
      <w:r>
        <w:rPr>
          <w:rFonts w:cs="Calibri"/>
        </w:rPr>
        <w:t xml:space="preserve"> their specific training prior to the role (such as journalism) may influence how they interpret and implement different institutional logics.</w:t>
      </w:r>
    </w:p>
    <w:p w14:paraId="19EA61C8" w14:textId="77777777" w:rsidR="00787F73" w:rsidRDefault="00787F73" w:rsidP="00866155">
      <w:pPr>
        <w:rPr>
          <w:rFonts w:cs="Calibri"/>
        </w:rPr>
      </w:pPr>
    </w:p>
    <w:p w14:paraId="4FB5F74B" w14:textId="0D14DD87" w:rsidR="00787F73" w:rsidRDefault="00742FB7" w:rsidP="00866155">
      <w:r>
        <w:t>The institutional theory literature notes that organisations are influenced by institutional pluralism based on three different filters</w:t>
      </w:r>
      <w:r w:rsidR="003E19CA">
        <w:t>:</w:t>
      </w:r>
      <w:r>
        <w:t xml:space="preserve"> structure, relating to the number of external referents that are linked to the organisation and their ability to channel institutional demands into the organisation; ownership, how the organisation is created, be it a public or private organisation, influencing the power that organisations member ha</w:t>
      </w:r>
      <w:r w:rsidR="000E29C5">
        <w:t>v</w:t>
      </w:r>
      <w:r>
        <w:t>e to influence and change their approach</w:t>
      </w:r>
      <w:r w:rsidR="003E19CA">
        <w:t xml:space="preserve">; </w:t>
      </w:r>
      <w:r>
        <w:t>and finally, identity</w:t>
      </w:r>
      <w:r w:rsidR="003E19CA">
        <w:t>,</w:t>
      </w:r>
      <w:r>
        <w:t xml:space="preserve"> explaining how the organisation view themselves within the wider institutions </w:t>
      </w:r>
      <w:r>
        <w:fldChar w:fldCharType="begin" w:fldLock="1"/>
      </w:r>
      <w:r>
        <w:instrText>ADDIN CSL_CITATION {"citationItems":[{"id":"ITEM-1","itemData":{"DOI":"10.1111/soc4.12269","ISSN":"17519020","abstract":"The institutional logics perspective holds the promise of delivering where neo-institutionalist theory has disappointed - the ability to address key societal problems such as inequality, social discrimination, and economic insecurity - a promise that, as of yet, has been unrealized. In this review, I provide an overview of the body of work within the institutional logics perspective that addresses the co-existence of multiple institutional logics influencing identities, values, cognitive frameworks, and practices - institutional pluralism. I demonstrate how pluralism diverges from conventional neo-institutionalist theory in its view of institutional fields as heterogeneous spaces. I then review the implications for organizations and social actors responding to multiple logics in the institutional environment. In the discussion section, I argue that the study of pluralism, in acknowledging human agency, politics, and collective mobilization, opens the door for creative resolutions to societal problems hitherto overlooked in neo-institutional theory. Despite the promise, I address key research areas that remain unresolved or under-addressed in the institutional pluralism perspective.","author":[{"dropping-particle":"","family":"Yu","given":"Kyoung Hee","non-dropping-particle":"","parse-names":false,"suffix":""}],"container-title":"Sociology Compass","id":"ITEM-1","issue":"6","issued":{"date-parts":[["2015"]]},"page":"464-476","title":"Institutional Pluralism, Organizations, and Actors: A Review","type":"article-journal","volume":"9"},"uris":["http://www.mendeley.com/documents/?uuid=058e9d2a-fe79-4bc1-a00a-cbe69c5b928d"]},{"id":"ITEM-2","itemData":{"DOI":"10.1080/19416520.2011.590299","ISSN":"19416520","abstract":"Organizations face institutional complexity whenever they confront incompatible prescriptions from multiple institutional logics. Our interest is in how plural institutional logics, refracted through field-level structures and processes, are experienced within organizations and how organizations respond to such complexity. We draw on a variety of cognate literatures to discuss the field-level structural characteristics and organizational attributes that shape institutional complexity. We then explore the repertoire of strategies and structures that organizations deploy to cope with multiple, competing demands. The analytical framework developed herein is presented to guide future scholarship in the systematic analysis of institutional complexity. We conclude by suggesting avenues for future research. © 2011 Academy of Management.","author":[{"dropping-particle":"","family":"Greenwood","given":"Royston","non-dropping-particle":"","parse-names":false,"suffix":""},{"dropping-particle":"","family":"Raynard","given":"Mia","non-dropping-particle":"","parse-names":false,"suffix":""},{"dropping-particle":"","family":"Kodeih","given":"Farah","non-dropping-particle":"","parse-names":false,"suffix":""},{"dropping-particle":"","family":"Micelotta","given":"Evelyn R.","non-dropping-particle":"","parse-names":false,"suffix":""},{"dropping-particle":"","family":"Lounsbury","given":"Michael","non-dropping-particle":"","parse-names":false,"suffix":""}],"container-title":"Academy of Management Annals","id":"ITEM-2","issue":"1","issued":{"date-parts":[["2011"]]},"page":"317-371","title":"Institutional complexity and organizational responses","type":"article-journal","volume":"5"},"uris":["http://www.mendeley.com/documents/?uuid=72d52388-8162-42b1-8496-741e9c5b2b81"]}],"mendeley":{"formattedCitation":"(Yu, 2015; Greenwood et al., 2011)","plainTextFormattedCitation":"(Yu, 2015; Greenwood et al., 2011)","previouslyFormattedCitation":"(Yu, 2015; Greenwood et al., 2011)"},"properties":{"noteIndex":0},"schema":"https://github.com/citation-style-language/schema/raw/master/csl-citation.json"}</w:instrText>
      </w:r>
      <w:r>
        <w:fldChar w:fldCharType="separate"/>
      </w:r>
      <w:r>
        <w:rPr>
          <w:noProof/>
        </w:rPr>
        <w:t>(Yu, 2015; Greenwood et al., 2011)</w:t>
      </w:r>
      <w:r>
        <w:fldChar w:fldCharType="end"/>
      </w:r>
      <w:r>
        <w:t xml:space="preserve">. This suggests that SYFR’s structure opens the organisation to the influence of different field level institutions, specifically the journalism and communications profession logics. </w:t>
      </w:r>
    </w:p>
    <w:p w14:paraId="12DCD695" w14:textId="77777777" w:rsidR="00787F73" w:rsidRDefault="00787F73" w:rsidP="00866155">
      <w:pPr>
        <w:rPr>
          <w:rFonts w:cs="Calibri"/>
        </w:rPr>
      </w:pPr>
    </w:p>
    <w:p w14:paraId="3D20DFE8" w14:textId="748343CE" w:rsidR="00787F73" w:rsidRDefault="00C84401" w:rsidP="00866155">
      <w:r w:rsidRPr="00010F12">
        <w:rPr>
          <w:rFonts w:cs="Calibri"/>
        </w:rPr>
        <w:t>While</w:t>
      </w:r>
      <w:r w:rsidR="00742FB7">
        <w:rPr>
          <w:rFonts w:cs="Calibri"/>
        </w:rPr>
        <w:t xml:space="preserve"> SYFR’s communication is influenced by the state, community, and field logics daily, there are contextual logics that influence SYFR’s work, creating a short-term institutional complexity. The temporal shift in logics due to COVID-19 directly influenced their method of communication with an increased focus on social media, a switch in the topic of messaging moving away from fire risk to share information on preventing the spread of COVID-19, and finally a change in the tone of messaging. This indicated that each disaster has different </w:t>
      </w:r>
      <w:r w:rsidR="00742FB7">
        <w:rPr>
          <w:rFonts w:cs="Calibri"/>
        </w:rPr>
        <w:lastRenderedPageBreak/>
        <w:t xml:space="preserve">contextual factors which influence the mix of logics (state, community, and professional field logics). Each disaster will require a different strategy to communicate risk to activate the communities threat appraisal </w:t>
      </w:r>
      <w:r w:rsidR="00742FB7">
        <w:fldChar w:fldCharType="begin" w:fldLock="1"/>
      </w:r>
      <w:r w:rsidR="00974B75">
        <w:rPr>
          <w:rFonts w:cs="Calibri"/>
        </w:rPr>
        <w:instrText>ADDIN CSL_CITATION {"citationItems":[{"id":"ITEM-1","itemData":{"DOI":"10.1007/s11069-017-3111-0","ISSN":"15730840","abstract":"Communicating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Hazards","id":"ITEM-1","issued":{"date-parts":[["2018"]]},"page":"1461-1483","title":"How does information affect fire risk reduction behaviors? Mediating effects of cognitive processes and subjective knowledge","type":"article-journal","volume":"90"},"uris":["http://www.mendeley.com/documents/?uuid=b253cc58-5f59-4b2e-9c77-76be2b2788b4"]},{"id":"ITEM-2","itemData":{"DOI":"10.1061/(asce)nh.1527-6996.0000294","ISBN":"0000000167","ISSN":"1527-6988","abstract":"©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Review","id":"ITEM-2","issue":"3","issued":{"date-parts":[["2018"]]},"page":"1 - 21","title":"Flood Risk Assessment, Future Trend Modeling, and Risk Communication: A Review of Ongoing Research","type":"article-journal","volume":"19"},"uris":["http://www.mendeley.com/documents/?uuid=72f77961-1216-4228-ab43-b36cf7f2e2d4"]},{"id":"ITEM-3","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Hazards","id":"ITEM-3","issued":{"date-parts":[["2018"]]},"page":"1665-1686","publisher":"Springer Netherlands","title":"Rethinking flood risk communication","type":"article-journal","volume":"92"},"uris":["http://www.mendeley.com/documents/?uuid=a75b9d7a-46e6-41f1-a446-75375a9342c5"]},{"id":"ITEM-4","itemData":{"DOI":"10.1080/19371918.2021.2018082","ISSN":"1937190X","PMID":"34962187","abstract":"COVID-19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Health","id":"ITEM-4","issue":"5","issued":{"date-parts":[["2022"]]},"page":"419-434","title":"An Integrated Approach to COVID-19 Preventive Behaviour Intentions: Protection Motivation Theory, Information Acquisition, and Trust","type":"article-journal","volume":"37"},"uris":["http://www.mendeley.com/documents/?uuid=8abd72eb-8ae4-4af7-9da1-be357bf94394"]},{"id":"ITEM-5","itemData":{"DOI":"10.1016/j.ijdrr.2021.102759","ISSN":"22124209","abstract":"The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Reduction","id":"ITEM-5","issued":{"date-parts":[["2022"]]},"page":"1 - 16","title":"Determination of factors affecting the response efficacy of Filipinos under Typhoon Conson 2021 (Jolina): An extended protection motivation theory approach","type":"article-journal","volume":"70"},"uris":["http://www.mendeley.com/documents/?uuid=df8c524a-2262-493d-9e98-6620d59903d4"]}],"mendeley":{"formattedCitation":"(Acar &amp; Kıcali, 2022; Gumasing et al., 2022; Liu &amp; Jiao, 2018; Rollason et al., 2018; Salman &amp; Li, 2018)","plainTextFormattedCitation":"(Acar &amp; Kıcali, 2022; Gumasing et al., 2022; Liu &amp; Jiao, 2018; Rollason et al., 2018; Salman &amp; Li, 2018)","previouslyFormattedCitation":"(Acar &amp; Kıcali, 2022; Gumasing et al., 2022; Liu &amp; Jiao, 2018; Rollason et al., 2018; Salman &amp; Li, 2018)"},"properties":{"noteIndex":0},"schema":"https://github.com/citation-style-language/schema/raw/master/csl-citation.json"}</w:instrText>
      </w:r>
      <w:r w:rsidR="00742FB7">
        <w:rPr>
          <w:rFonts w:cs="Calibri"/>
        </w:rPr>
        <w:fldChar w:fldCharType="separate"/>
      </w:r>
      <w:r w:rsidR="00742FB7">
        <w:rPr>
          <w:rFonts w:cs="Calibri"/>
          <w:noProof/>
        </w:rPr>
        <w:t>(Acar &amp; Kıcali, 2022; Gumasing et al., 2022; Liu &amp; Jiao, 2018; Rollason et al., 2018; Salman &amp; Li, 2018)</w:t>
      </w:r>
      <w:r w:rsidR="00742FB7">
        <w:rPr>
          <w:rFonts w:cs="Calibri"/>
        </w:rPr>
        <w:fldChar w:fldCharType="end"/>
      </w:r>
      <w:r w:rsidR="00742FB7">
        <w:rPr>
          <w:rFonts w:cs="Calibri"/>
        </w:rPr>
        <w:t xml:space="preserve"> and work towards community resilience.</w:t>
      </w:r>
    </w:p>
    <w:p w14:paraId="313A8F97" w14:textId="77777777" w:rsidR="00787F73" w:rsidRDefault="00787F73" w:rsidP="00866155">
      <w:pPr>
        <w:rPr>
          <w:rFonts w:cs="Calibri"/>
        </w:rPr>
      </w:pPr>
    </w:p>
    <w:p w14:paraId="2EA35232" w14:textId="5184D172" w:rsidR="00787F73" w:rsidRDefault="00C84401" w:rsidP="00866155">
      <w:pPr>
        <w:rPr>
          <w:rFonts w:cs="Calibri"/>
        </w:rPr>
      </w:pPr>
      <w:r w:rsidRPr="00010F12">
        <w:rPr>
          <w:rFonts w:cs="Calibri"/>
        </w:rPr>
        <w:t>While</w:t>
      </w:r>
      <w:r w:rsidR="00742FB7">
        <w:rPr>
          <w:rFonts w:cs="Calibri"/>
        </w:rPr>
        <w:t xml:space="preserve"> the FRS have strict regulations on their operations, there is no such focus on their communications. This creates a space for institutional agency </w:t>
      </w:r>
      <w:r w:rsidR="00742FB7">
        <w:fldChar w:fldCharType="begin" w:fldLock="1"/>
      </w:r>
      <w:r w:rsidR="00742FB7">
        <w:rPr>
          <w:rFonts w:cs="Calibri"/>
        </w:rPr>
        <w:instrText>ADDIN CSL_CITATION {"citationItems":[{"id":"ITEM-1","itemData":{"DOI":"10.1177/0170840615604503","ISSN":"17413044","abstract":"Our study examines how interdependent actors in a professionalized context interpret the co-occurrence of a professional logic and a policy-driven logic. The empirical setting comprises two hospitals in the English National Health Service. Two issues stand out. First, our study shows that any logic is variegated and ambiguous, so policymakers and organizational managers cannot assume that they are easily blended. Second, it shows how nurse consultants exhibit agency in blending these two logics in pursuit of positional gain in professional and managerial organization. They can do so because of their ambiguous status level: in comparison to doctors, their status as nurses is low; within the nursing profession their status is high. Theoretically, by focusing upon interpretation of multiple institutional logics at the micro level, our study renders visible the agency of interpreting actors, interdependency of actors, their interpretation of institutional logics, situational context, and the effect of, and upon, social position of actors.","author":[{"dropping-particle":"","family":"Currie","given":"Graeme","non-dropping-particle":"","parse-names":false,"suffix":""},{"dropping-particle":"","family":"Spyridonidis","given":"Dimitrios","non-dropping-particle":"","parse-names":false,"suffix":""}],"container-title":"Organization Studies","id":"ITEM-1","issue":"1","issued":{"date-parts":[["2016"]]},"page":"77-97","title":"Interpretation of Multiple Institutional Logics on the Ground: Actors’ Position, their Agency and Situational Constraints in Professionalized Contexts","type":"article-journal","volume":"37"},"uris":["http://www.mendeley.com/documents/?uuid=be657142-d26b-4dc5-bf61-aff1e8d069fa"]}],"mendeley":{"formattedCitation":"(Currie &amp; Spyridonidis, 2016)","plainTextFormattedCitation":"(Currie &amp; Spyridonidis, 2016)","previouslyFormattedCitation":"(Currie &amp; Spyridonidis, 2016)"},"properties":{"noteIndex":0},"schema":"https://github.com/citation-style-language/schema/raw/master/csl-citation.json"}</w:instrText>
      </w:r>
      <w:r w:rsidR="00742FB7">
        <w:rPr>
          <w:rFonts w:cs="Calibri"/>
        </w:rPr>
        <w:fldChar w:fldCharType="separate"/>
      </w:r>
      <w:r w:rsidR="00742FB7">
        <w:rPr>
          <w:rFonts w:cs="Calibri"/>
          <w:noProof/>
        </w:rPr>
        <w:t>(Currie &amp; Spyridonidis, 2016)</w:t>
      </w:r>
      <w:r w:rsidR="00742FB7">
        <w:rPr>
          <w:rFonts w:cs="Calibri"/>
        </w:rPr>
        <w:fldChar w:fldCharType="end"/>
      </w:r>
      <w:r w:rsidR="00742FB7">
        <w:rPr>
          <w:rFonts w:cs="Calibri"/>
        </w:rPr>
        <w:t xml:space="preserve">, with SYFR being able to communicate on a range of topics. However, </w:t>
      </w:r>
      <w:r>
        <w:rPr>
          <w:rFonts w:cs="Calibri"/>
        </w:rPr>
        <w:t xml:space="preserve">while </w:t>
      </w:r>
      <w:r w:rsidR="00742FB7">
        <w:rPr>
          <w:rFonts w:cs="Calibri"/>
        </w:rPr>
        <w:t xml:space="preserve">this lack of regulation enables SYFR agency, there appears to be a constraint of institutional legitimacy </w:t>
      </w:r>
      <w:r w:rsidR="00742FB7">
        <w:fldChar w:fldCharType="begin" w:fldLock="1"/>
      </w:r>
      <w:r w:rsidR="00974B75">
        <w:rPr>
          <w:rFonts w:cs="Calibri"/>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Phenomena","type":"article-journal","volume":"47"},"uris":["http://www.mendeley.com/documents/?uuid=3561369e-31b0-40ce-940d-739bd34cab24"]},{"id":"ITEM-2","itemData":{"DOI":"10.1108/S0733-558X(2013)0039A&amp;B015","ISSN":"0733558X","abstract":"This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Organizations","id":"ITEM-2","issue":"B","issued":{"date-parts":[["2013"]]},"page":"37-61","publisher":"Emerald Group Publishing Limited","title":"Institutional ambidexterity: Leveraging institutional complexity in practice","type":"article-journal","volume":"39"},"uris":["http://www.mendeley.com/documents/?uuid=ff8dc873-f050-4c05-bdec-08925d6e6ab8"]}],"mendeley":{"formattedCitation":"(Lounsbury et al., 2021; Jarzabkowski et al., 2013)","plainTextFormattedCitation":"(Lounsbury et al., 2021; Jarzabkowski et al., 2013)","previouslyFormattedCitation":"(Lounsbury et al., 2021; Jarzabkowski et al., 2013)"},"properties":{"noteIndex":0},"schema":"https://github.com/citation-style-language/schema/raw/master/csl-citation.json"}</w:instrText>
      </w:r>
      <w:r w:rsidR="00742FB7">
        <w:rPr>
          <w:rFonts w:cs="Calibri"/>
        </w:rPr>
        <w:fldChar w:fldCharType="separate"/>
      </w:r>
      <w:r w:rsidR="00742FB7">
        <w:rPr>
          <w:rFonts w:cs="Calibri"/>
          <w:noProof/>
        </w:rPr>
        <w:t>(Lounsbury et al., 2021; Jarzabkowski et al., 2013)</w:t>
      </w:r>
      <w:r w:rsidR="00742FB7">
        <w:rPr>
          <w:rFonts w:cs="Calibri"/>
        </w:rPr>
        <w:fldChar w:fldCharType="end"/>
      </w:r>
      <w:r w:rsidR="00742FB7">
        <w:rPr>
          <w:rFonts w:cs="Calibri"/>
        </w:rPr>
        <w:t>. When SYFR communicated on topics which they did not have a statutory obligation for, there seemed to be a lack of confidence in their approach</w:t>
      </w:r>
      <w:r w:rsidR="003E19CA">
        <w:rPr>
          <w:rFonts w:cs="Calibri"/>
        </w:rPr>
        <w:t>.</w:t>
      </w:r>
      <w:r w:rsidR="00742FB7">
        <w:rPr>
          <w:rFonts w:cs="Calibri"/>
        </w:rPr>
        <w:t xml:space="preserve"> </w:t>
      </w:r>
      <w:r w:rsidR="003E19CA">
        <w:rPr>
          <w:rFonts w:cs="Calibri"/>
        </w:rPr>
        <w:t>This suggests</w:t>
      </w:r>
      <w:r w:rsidR="00742FB7">
        <w:rPr>
          <w:rFonts w:cs="Calibri"/>
        </w:rPr>
        <w:t xml:space="preserve"> that institutional pressures enable a sense of ownership and legitimacy when communicating different topics.</w:t>
      </w:r>
    </w:p>
    <w:p w14:paraId="47E29A90" w14:textId="77777777" w:rsidR="004F6AAA" w:rsidRDefault="004F6AAA" w:rsidP="00866155"/>
    <w:p w14:paraId="56FE49C2" w14:textId="23CDEAE4" w:rsidR="00787F73" w:rsidRDefault="00742FB7" w:rsidP="00866155">
      <w:r>
        <w:rPr>
          <w:rFonts w:cs="Calibri"/>
        </w:rPr>
        <w:t>This thesis presents an examination of SYFR’s communication and whether it can support community resilience. RQ1 questioned whether SYFR explicitly works towards community resilience or</w:t>
      </w:r>
      <w:r w:rsidRPr="00F84689">
        <w:t xml:space="preserve"> whether their focus </w:t>
      </w:r>
      <w:r w:rsidR="00F84689" w:rsidRPr="00F84689">
        <w:rPr>
          <w:rFonts w:cs="Calibri"/>
        </w:rPr>
        <w:t>is</w:t>
      </w:r>
      <w:r w:rsidRPr="00F84689">
        <w:t xml:space="preserve"> on</w:t>
      </w:r>
      <w:r w:rsidRPr="00F84689">
        <w:rPr>
          <w:rFonts w:cs="Calibri"/>
        </w:rPr>
        <w:t xml:space="preserve"> preventing</w:t>
      </w:r>
      <w:r>
        <w:rPr>
          <w:rFonts w:cs="Calibri"/>
        </w:rPr>
        <w:t xml:space="preserve"> fires and supporting and educating the communities about potential risks. This implies that they view their prevention work as building resilience, and with their focus on fire, they can work towards longer term fire risk reduction. Whereas when they message about the risk to floods or COVID-19, the incidents were about to happen or were already happening</w:t>
      </w:r>
      <w:r w:rsidR="004C672A">
        <w:rPr>
          <w:rFonts w:cs="Calibri"/>
        </w:rPr>
        <w:t>. This</w:t>
      </w:r>
      <w:r>
        <w:rPr>
          <w:rFonts w:cs="Calibri"/>
        </w:rPr>
        <w:t xml:space="preserve"> suggest</w:t>
      </w:r>
      <w:r w:rsidR="004C672A">
        <w:rPr>
          <w:rFonts w:cs="Calibri"/>
        </w:rPr>
        <w:t>s</w:t>
      </w:r>
      <w:r>
        <w:rPr>
          <w:rFonts w:cs="Calibri"/>
        </w:rPr>
        <w:t xml:space="preserve"> that </w:t>
      </w:r>
      <w:r w:rsidR="00C84401">
        <w:rPr>
          <w:rFonts w:cs="Calibri"/>
        </w:rPr>
        <w:t xml:space="preserve">while </w:t>
      </w:r>
      <w:r>
        <w:rPr>
          <w:rFonts w:cs="Calibri"/>
        </w:rPr>
        <w:t>they communicate risk and are aiming to increase resilience through education and information, the timing of the messages would not enable the community to develop any sustainable risk reduction strategies other than with fire.</w:t>
      </w:r>
    </w:p>
    <w:p w14:paraId="746075A9" w14:textId="77777777" w:rsidR="00787F73" w:rsidRDefault="00787F73" w:rsidP="00866155">
      <w:pPr>
        <w:rPr>
          <w:rFonts w:cs="Calibri"/>
        </w:rPr>
      </w:pPr>
    </w:p>
    <w:p w14:paraId="338EBA99" w14:textId="56CECCEA" w:rsidR="00787F73" w:rsidRDefault="00742FB7" w:rsidP="00866155">
      <w:r>
        <w:rPr>
          <w:rFonts w:cs="Calibri"/>
        </w:rPr>
        <w:t>As emphasised in Chapter 2, community resilience is a multifaceted concept, and one organisation would be challenged to deliver community resilience. This shows a potential opportunity for the LRF to focus on developing a longer-term community resilience communication strategy, communicating risk on a wide variety of disasters and risks</w:t>
      </w:r>
      <w:r w:rsidR="004C672A">
        <w:rPr>
          <w:rFonts w:cs="Calibri"/>
        </w:rPr>
        <w:t>.</w:t>
      </w:r>
      <w:r>
        <w:rPr>
          <w:rFonts w:cs="Calibri"/>
        </w:rPr>
        <w:t xml:space="preserve"> </w:t>
      </w:r>
      <w:r w:rsidR="004C672A">
        <w:rPr>
          <w:rFonts w:cs="Calibri"/>
        </w:rPr>
        <w:t>This</w:t>
      </w:r>
      <w:r>
        <w:rPr>
          <w:rFonts w:cs="Calibri"/>
        </w:rPr>
        <w:t xml:space="preserve"> would enable a greater focus on proactive resilience (Carmen et al., 2022). This is a challenge as the LRF is not a traditional organisation but a collaboration of team members across all the members of the LRF, and therefore for this communication strategy to take </w:t>
      </w:r>
      <w:r>
        <w:rPr>
          <w:rFonts w:cs="Calibri"/>
        </w:rPr>
        <w:lastRenderedPageBreak/>
        <w:t xml:space="preserve">place, those agencies would have to have the capacity to take on the additional work and would require additional resources and funding to conduct the required community engagement. This suggests a disjuncture between the state logics of the FRSA (2004) and CCA (2004) and the wider neoliberal approaches to governance, with these state regulatory logics and neoliberal logics actively competing, creating institutional complexity </w:t>
      </w:r>
      <w:r>
        <w:fldChar w:fldCharType="begin" w:fldLock="1"/>
      </w:r>
      <w:r w:rsidR="00D177B9">
        <w:rPr>
          <w:rFonts w:cs="Calibri"/>
        </w:rPr>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Process","type":"book"},"uris":["http://www.mendeley.com/documents/?uuid=7afe7588-cd0b-4a95-b78a-3214c1130169"]},{"id":"ITEM-2","itemData":{"DOI":"10.1177/017084069701800204","ISBN":"01708406","ISSN":"0170-8406","PMID":"9707225788","abstract":"The focus of this paper is to examine the responses to institutional isomorph ism in one area of the public sector — universities. As an example, one particu lar organizational practice is examined — performance appraisal — and its implications for one group of professionals — academics. In doing so, some of the sources of variation in responses to institutional pressures are illustrated and the strategies of resistance actors engage in to resist such pressures. It is suggested that the concept of institutional logic is an important element in influencing responses to isomorphism, providing a repertoire of beliefs with which to contest concepts of legitimacy.","author":[{"dropping-particle":"","family":"Townley","given":"Barbara","non-dropping-particle":"","parse-names":false,"suffix":""}],"container-title":"Organization Studies","id":"ITEM-2","issue":"2","issued":{"date-parts":[["1997"]]},"page":"261-285","title":"Logic of Performance Appraisal","type":"article-journal","volume":"18"},"uris":["http://www.mendeley.com/documents/?uuid=3956e178-7c7b-4649-90dd-0750fde9fde0"]},{"id":"ITEM-3","itemData":{"DOI":"10.1108/S0733-558X201600048A005","author":[{"dropping-particle":"","family":"Zilber","given":"Tammar B","non-dropping-particle":"","parse-names":false,"suffix":""}],"chapter-number":"5","container-title":"How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-3","issued":{"date-parts":[["2016"]]},"page":"137-155","publisher":"Emerald Group Publishing Limited","title":"How Institutional Logics Matter: A Bottom-Up Exploration","type":"chapter","volume":"48"},"uris":["http://www.mendeley.com/documents/?uuid=e4988de7-6965-4bc8-bedf-8392ba1d8d8c"]},{"id":"ITEM-4","itemData":{"DOI":"10.1108/S0733-558X201600048A001","author":[{"dropping-particle":"","family":"Glaser","given":"Vern L","non-dropping-particle":"","parse-names":false,"suffix":""},{"dropping-particle":"","family":"Fast","given":"Nathanael J","non-dropping-particle":"","parse-names":false,"suffix":""},{"dropping-particle":"","family":"Harmon","given":"Derek J","non-dropping-particle":"","parse-names":false,"suffix":""},{"dropping-particle":"","family":"Green","given":"Sandy E","non-dropping-particle":"","parse-names":false,"suffix":""}],"chapter-number":"2","container-title":"How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-4","issued":{"date-parts":[["2016"]]},"page":"35-70","publisher":"Emerald Group Publishing Limited","title":"Institutional Frame Switching: How Institutional Logics Shape Individual Action","type":"chapter","volume":"48A"},"uris":["http://www.mendeley.com/documents/?uuid=8ac9f37b-5be1-4297-bd70-0abc13a22de3"]},{"id":"ITEM-5","itemData":{"DOI":"10.1177/1476127015625040","author":[{"dropping-particle":"","family":"Ocasio","given":"William","non-dropping-particle":"","parse-names":false,"suffix":""},{"dropping-particle":"","family":"Radoynovska","given":"Nevena","non-dropping-particle":"","parse-names":false,"suffix":""}],"container-title":"Strategic Organization","id":"ITEM-5","issue":"4","issued":{"date-parts":[["2016"]]},"page":"287 - 309","title":"Strategy and commitments to institutional logics : Organizational heterogeneity in business models and governance","type":"article-journal","volume":"14"},"uris":["http://www.mendeley.com/documents/?uuid=eede86b6-3a39-4b52-acc9-94e8cc3fbd5e"]},{"id":"ITEM-6","itemData":{"DOI":"10.1177/0007650318789104","ISSN":"15524205","abstract":"Social innovations are urgently needed as we confront complex social problems. As these social problems feature substantial interdependencies among multiple systems and actors, developing and implementing innovative solutions involve the re-negotiating of settled institutions or the building of new ones. In this introductory article, we introduce a stylized three-cycle model highlighting the institutional nature of social innovation efforts. The model conceptualizes social innovation processes as the product of agentic, relational, and situated dynamics in three interrelated cycles that operate at the micro, meso, and macro levels of analysis. The five papers included in this special issue address one or more of these cycles. We draw on these papers and the model to stimulate and offer guidance to future conversations on social innovations from an institutional theory perspective.","author":[{"dropping-particle":"","family":"Wijk","given":"Jakomijn","non-dropping-particle":"van","parse-names":false,"suffix":""},{"dropping-particle":"","family":"Zietsma","given":"Charlene","non-dropping-particle":"","parse-names":false,"suffix":""},{"dropping-particle":"","family":"Dorado","given":"Silvia","non-dropping-particle":"","parse-names":false,"suffix":""},{"dropping-particle":"","family":"Bakker","given":"Frank G.A.","non-dropping-particle":"de","parse-names":false,"suffix":""},{"dropping-particle":"","family":"Martí","given":"Ignasi","non-dropping-particle":"","parse-names":false,"suffix":""}],"container-title":"Business and Society","id":"ITEM-6","issue":"5","issued":{"date-parts":[["2019"]]},"page":"887-918","title":"Social Innovation: Integrating Micro, Meso, and Macro Level Insights From Institutional Theory","type":"article-journal","volume":"58"},"uris":["http://www.mendeley.com/documents/?uuid=e7aea813-38d5-4cfc-809f-0f93b22a795c"]},{"id":"ITEM-7","itemData":{"DOI":"10.1111/soc4.12269","ISSN":"17519020","abstract":"The institutional logics perspective holds the promise of delivering where neo-institutionalist theory has disappointed - the ability to address key societal problems such as inequality, social discrimination, and economic insecurity - a promise that, as of yet, has been unrealized. In this review, I provide an overview of the body of work within the institutional logics perspective that addresses the co-existence of multiple institutional logics influencing identities, values, cognitive frameworks, and practices - institutional pluralism. I demonstrate how pluralism diverges from conventional neo-institutionalist theory in its view of institutional fields as heterogeneous spaces. I then review the implications for organizations and social actors responding to multiple logics in the institutional environment. In the discussion section, I argue that the study of pluralism, in acknowledging human agency, politics, and collective mobilization, opens the door for creative resolutions to societal problems hitherto overlooked in neo-institutional theory. Despite the promise, I address key research areas that remain unresolved or under-addressed in the institutional pluralism perspective.","author":[{"dropping-particle":"","family":"Yu","given":"Kyoung Hee","non-dropping-particle":"","parse-names":false,"suffix":""}],"container-title":"Sociology Compass","id":"ITEM-7","issue":"6","issued":{"date-parts":[["2015"]]},"page":"464-476","title":"Institutional Pluralism, Organizations, and Actors: A Review","type":"article-journal","volume":"9"},"uris":["http://www.mendeley.com/documents/?uuid=058e9d2a-fe79-4bc1-a00a-cbe69c5b928d"]}],"mendeley":{"formattedCitation":"(van Wijk et al., 2019; Glaser et al., 2016; Ocasio &amp; Radoynovska, 2016; Zilber, 2016; Yu, 2015; Thornton, Ocasio, &amp; Lounsbury, 2012; Townley, 1997)","plainTextFormattedCitation":"(van Wijk et al., 2019; Glaser et al., 2016; Ocasio &amp; Radoynovska, 2016; Zilber, 2016; Yu, 2015; Thornton, Ocasio, &amp; Lounsbury, 2012; Townley, 1997)","previouslyFormattedCitation":"(van Wijk et al., 2019; Glaser et al., 2016; Ocasio &amp; Radoynovska, 2016; Zilber, 2016; Yu, 2015; Thornton, Ocasio, &amp; Lounsbury, 2012; Townley, 1997)"},"properties":{"noteIndex":0},"schema":"https://github.com/citation-style-language/schema/raw/master/csl-citation.json"}</w:instrText>
      </w:r>
      <w:r>
        <w:rPr>
          <w:rFonts w:cs="Calibri"/>
        </w:rPr>
        <w:fldChar w:fldCharType="separate"/>
      </w:r>
      <w:r w:rsidR="00E37B0E" w:rsidRPr="00E37B0E">
        <w:rPr>
          <w:rFonts w:cs="Calibri"/>
          <w:noProof/>
        </w:rPr>
        <w:t>(van Wijk et al., 2019; Glaser et al., 2016; Ocasio &amp; Radoynovska, 2016; Zilber, 2016; Yu, 2015; Thornton, Ocasio, &amp; Lounsbury, 2012; Townley, 1997)</w:t>
      </w:r>
      <w:r>
        <w:rPr>
          <w:rFonts w:cs="Calibri"/>
        </w:rPr>
        <w:fldChar w:fldCharType="end"/>
      </w:r>
      <w:r>
        <w:rPr>
          <w:rFonts w:cs="Calibri"/>
        </w:rPr>
        <w:t xml:space="preserve"> within the emergency and disaster management institutional fields.  </w:t>
      </w:r>
    </w:p>
    <w:p w14:paraId="05995022" w14:textId="77777777" w:rsidR="00787F73" w:rsidRDefault="00787F73" w:rsidP="00866155">
      <w:pPr>
        <w:rPr>
          <w:rFonts w:cs="Calibri"/>
        </w:rPr>
      </w:pPr>
    </w:p>
    <w:p w14:paraId="65A3E5F1" w14:textId="5697FF5A" w:rsidR="00787F73" w:rsidRDefault="00742FB7" w:rsidP="00866155">
      <w:r>
        <w:rPr>
          <w:rFonts w:cs="Calibri"/>
        </w:rPr>
        <w:t xml:space="preserve">The evidence presented in this chapter indicates that institutional drivers are influencing SYFR’s strategy, with the largest influence being the national governmental logics which create the statutory obligations that determine their wider communication strategy, and with a focus on prevention of fire. However, this section has shown that when state logics are combined with other state, community, or field logics, there is a sense of institutional agency within the team which results in the core statutory obligation messages being framed or delivered in a slightly different way. This provides a contribution not only to the wider literature, but also to policy and the inner workings of SYFR. </w:t>
      </w:r>
    </w:p>
    <w:p w14:paraId="5BB9343A" w14:textId="77777777" w:rsidR="00787F73" w:rsidRDefault="00787F73" w:rsidP="00866155">
      <w:pPr>
        <w:rPr>
          <w:rFonts w:cs="Calibri"/>
        </w:rPr>
      </w:pPr>
    </w:p>
    <w:p w14:paraId="6B158190" w14:textId="55A5C52F" w:rsidR="004C672A" w:rsidRDefault="00742FB7" w:rsidP="00866155">
      <w:pPr>
        <w:rPr>
          <w:rFonts w:cs="Calibri"/>
          <w:lang w:eastAsia="ko-KR"/>
        </w:rPr>
      </w:pPr>
      <w:r>
        <w:rPr>
          <w:rFonts w:cs="Calibri"/>
        </w:rPr>
        <w:t>This chapter was focused on answering RQ2 (</w:t>
      </w:r>
      <w:r>
        <w:rPr>
          <w:rFonts w:cs="Calibri"/>
          <w:i/>
          <w:iCs/>
          <w:lang w:eastAsia="ko-KR"/>
        </w:rPr>
        <w:t xml:space="preserve">what influences and shapes SYFR’s communication strategy?) </w:t>
      </w:r>
      <w:r>
        <w:rPr>
          <w:rFonts w:cs="Calibri"/>
          <w:lang w:eastAsia="ko-KR"/>
        </w:rPr>
        <w:t xml:space="preserve">and has provided an analysis of some of the different institutional logics which I interpreted from the data. The institutional pluralism literature notes that when organisations are within institutionally complex environments, there needs to be an assessment of the role of each of the logics, focusing on the centrality (how crucial they are to the functioning of the organisation) and the compatibility (whether the logics work together or conflict) </w:t>
      </w:r>
      <w:r>
        <w:fldChar w:fldCharType="begin" w:fldLock="1"/>
      </w:r>
      <w:r w:rsidR="003A5C93">
        <w:rPr>
          <w:rFonts w:cs="Calibri"/>
          <w:lang w:eastAsia="ko-KR"/>
        </w:rPr>
        <w:instrText>ADDIN CSL_CITATION {"citationItems":[{"id":"ITEM-1","itemData":{"author":[{"dropping-particle":"","family":"Besharov","given":"Marya L.","non-dropping-particle":"","parse-names":false,"suffix":""},{"dropping-particle":"","family":"Smith","given":"Wendy K.","non-dropping-particle":"","parse-names":false,"suffix":""}],"container-title":"The Academy of Management Review","id":"ITEM-1","issue":"3","issued":{"date-parts":[["2014"]]},"page":"364-381","title":"Multiple Institutional Logics In Organizations: Explaining Their Varied Nature And Implications","type":"article-journal","volume":"39"},"uris":["http://www.mendeley.com/documents/?uuid=57cbbf37-05be-48a2-ad9d-1095a2aeb8e5"]}],"mendeley":{"formattedCitation":"(Besharov &amp; Smith, 2014)","plainTextFormattedCitation":"(Besharov &amp; Smith, 2014)","previouslyFormattedCitation":"(Besharov &amp; Smith, 2014)"},"properties":{"noteIndex":0},"schema":"https://github.com/citation-style-language/schema/raw/master/csl-citation.json"}</w:instrText>
      </w:r>
      <w:r>
        <w:rPr>
          <w:rFonts w:cs="Calibri"/>
          <w:lang w:eastAsia="ko-KR"/>
        </w:rPr>
        <w:fldChar w:fldCharType="separate"/>
      </w:r>
      <w:r w:rsidR="00C541CC" w:rsidRPr="00C541CC">
        <w:rPr>
          <w:rFonts w:cs="Calibri"/>
          <w:noProof/>
          <w:lang w:eastAsia="ko-KR"/>
        </w:rPr>
        <w:t>(Besharov &amp; Smith, 2014)</w:t>
      </w:r>
      <w:r>
        <w:rPr>
          <w:rFonts w:cs="Calibri"/>
          <w:lang w:eastAsia="ko-KR"/>
        </w:rPr>
        <w:fldChar w:fldCharType="end"/>
      </w:r>
      <w:r>
        <w:rPr>
          <w:rFonts w:cs="Calibri"/>
          <w:lang w:eastAsia="ko-KR"/>
        </w:rPr>
        <w:t>. Examining the various institutional logics influencing SYFR, the data suggest</w:t>
      </w:r>
      <w:r>
        <w:t xml:space="preserve"> that the state logics, specifically the FRSA has a high degree of centrality, with the focus on prevention being very centra</w:t>
      </w:r>
      <w:r>
        <w:rPr>
          <w:rFonts w:cs="Calibri"/>
          <w:lang w:eastAsia="ko-KR"/>
        </w:rPr>
        <w:t xml:space="preserve">l to the working of the SYFR Communications team. However, </w:t>
      </w:r>
      <w:r w:rsidR="00C84401">
        <w:rPr>
          <w:rFonts w:cs="Calibri"/>
          <w:lang w:eastAsia="ko-KR"/>
        </w:rPr>
        <w:t xml:space="preserve">while </w:t>
      </w:r>
      <w:r>
        <w:rPr>
          <w:rFonts w:cs="Calibri"/>
          <w:lang w:eastAsia="ko-KR"/>
        </w:rPr>
        <w:t xml:space="preserve">this logic was central to the workings of the team, there was a temporality in their interactions with other logics </w:t>
      </w:r>
      <w:r>
        <w:fldChar w:fldCharType="begin" w:fldLock="1"/>
      </w:r>
      <w:r w:rsidR="00974B75">
        <w:rPr>
          <w:rFonts w:cs="Calibri"/>
          <w:lang w:eastAsia="ko-KR"/>
        </w:rPr>
        <w:instrText>ADDIN CSL_CITATION {"citationItems":[{"id":"ITEM-1","itemData":{"DOI":"10.1177/0170840615604503","ISSN":"17413044","abstract":"Our study examines how interdependent actors in a professionalized context interpret the co-occurrence of a professional logic and a policy-driven logic. The empirical setting comprises two hospitals in the English National Health Service. Two issues stand out. First, our study shows that any logic is variegated and ambiguous, so policymakers and organizational managers cannot assume that they are easily blended. Second, it shows how nurse consultants exhibit agency in blending these two logics in pursuit of positional gain in professional and managerial organization. They can do so because of their ambiguous status level: in comparison to doctors, their status as nurses is low; within the nursing profession their status is high. Theoretically, by focusing upon interpretation of multiple institutional logics at the micro level, our study renders visible the agency of interpreting actors, interdependency of actors, their interpretation of institutional logics, situational context, and the effect of, and upon, social position of actors.","author":[{"dropping-particle":"","family":"Currie","given":"Graeme","non-dropping-particle":"","parse-names":false,"suffix":""},{"dropping-particle":"","family":"Spyridonidis","given":"Dimitrios","non-dropping-particle":"","parse-names":false,"suffix":""}],"container-title":"Organization Studies","id":"ITEM-1","issue":"1","issued":{"date-parts":[["2016"]]},"page":"77-97","title":"Interpretation of Multiple Institutional Logics on the Ground: Actors’ Position, their Agency and Situational Constraints in Professionalized Contexts","type":"article-journal","volume":"37"},"uris":["http://www.mendeley.com/documents/?uuid=be657142-d26b-4dc5-bf61-aff1e8d069fa"]},{"id":"ITEM-2","itemData":{"DOI":"10.1007/s10551-017-3775-0","ISBN":"1055101737750","ISSN":"15730697","abstract":"This study examines how institutional logics interplay in a cross-sector social partnership that manages refugee integration in a rural district in Germany. In an inductive 15-month case study that drew on interviews and observations, we observe the dynamic materialization of institutional logics in day-to-day practices and an increasing contradiction and even rivalry between community- and market-based institutional logics over time. As a result, we delineate a model explaining the interplay of institutional logics along two dimensions: the dominance of one salient logic and whether conflicts arise among logics. Our analysis also addresses the unifying properties of community as an institutional logic, especially in the context of urgency conditions. In addition, we show the influence of exogenous events and their media coverage on the interplay and conflicts of institutional logics. By unfolding the complexity of refugee integration—one of the global grand challenges of the present—we deepen the current understanding of the specific challenges addressed by cross-sector social partnerships.","author":[{"dropping-particle":"","family":"Hesse","given":"Andreas","non-dropping-particle":"","parse-names":false,"suffix":""},{"dropping-particle":"","family":"Kreutzer","given":"Karin","non-dropping-particle":"","parse-names":false,"suffix":""},{"dropping-particle":"","family":"Diehl","given":"Marjo Riitta","non-dropping-particle":"","parse-names":false,"suffix":""}],"container-title":"Journal of Business Ethics","id":"ITEM-2","issued":{"date-parts":[["2019"]]},"page":"679-704","title":"Dynamics of Institutional Logics in a Cross-Sector Social Partnership: The Case of Refugee Integration in Germany","type":"article-journal","volume":"159"},"uris":["http://www.mendeley.com/documents/?uuid=72ea7223-f32f-42e0-8843-5be6e7e0fe2e"]}],"mendeley":{"formattedCitation":"(Hesse, Kreutzer, &amp; Diehl, 2019; Currie &amp; Spyridonidis, 2016)","plainTextFormattedCitation":"(Hesse, Kreutzer, &amp; Diehl, 2019; Currie &amp; Spyridonidis, 2016)","previouslyFormattedCitation":"(Hesse, Kreutzer, &amp; Diehl, 2019; Currie &amp; Spyridonidis, 2016)"},"properties":{"noteIndex":0},"schema":"https://github.com/citation-style-language/schema/raw/master/csl-citation.json"}</w:instrText>
      </w:r>
      <w:r>
        <w:rPr>
          <w:rFonts w:cs="Calibri"/>
          <w:lang w:eastAsia="ko-KR"/>
        </w:rPr>
        <w:fldChar w:fldCharType="separate"/>
      </w:r>
      <w:r>
        <w:rPr>
          <w:rFonts w:cs="Calibri"/>
          <w:noProof/>
          <w:lang w:eastAsia="ko-KR"/>
        </w:rPr>
        <w:t>(Hesse, Kreutzer, &amp; Diehl, 2019; Currie &amp; Spyridonidis, 2016)</w:t>
      </w:r>
      <w:r>
        <w:rPr>
          <w:rFonts w:cs="Calibri"/>
          <w:lang w:eastAsia="ko-KR"/>
        </w:rPr>
        <w:fldChar w:fldCharType="end"/>
      </w:r>
      <w:r>
        <w:rPr>
          <w:rFonts w:cs="Calibri"/>
          <w:lang w:eastAsia="ko-KR"/>
        </w:rPr>
        <w:t xml:space="preserve"> as examined with COVID-19 and the increasing centrality of the CCA (2004) logic. </w:t>
      </w:r>
    </w:p>
    <w:p w14:paraId="3318721E" w14:textId="77777777" w:rsidR="004C672A" w:rsidRDefault="004C672A" w:rsidP="00866155">
      <w:pPr>
        <w:rPr>
          <w:rFonts w:cs="Calibri"/>
          <w:lang w:eastAsia="ko-KR"/>
        </w:rPr>
      </w:pPr>
    </w:p>
    <w:p w14:paraId="4BDEA5AA" w14:textId="05FF13F6" w:rsidR="00787F73" w:rsidRDefault="00742FB7" w:rsidP="00866155">
      <w:r>
        <w:rPr>
          <w:rFonts w:cs="Calibri"/>
          <w:lang w:eastAsia="ko-KR"/>
        </w:rPr>
        <w:lastRenderedPageBreak/>
        <w:t>These institutional logics influence SYFR’s approach to communication, with their communication strategy being heavily constrained by the regulative state logics of the FRSA (2004) and the CCA (2004) with a direct influenc</w:t>
      </w:r>
      <w:r w:rsidR="00FD024B">
        <w:rPr>
          <w:rFonts w:cs="Calibri"/>
          <w:lang w:eastAsia="ko-KR"/>
        </w:rPr>
        <w:t>e on</w:t>
      </w:r>
      <w:r>
        <w:rPr>
          <w:rFonts w:cs="Calibri"/>
          <w:lang w:eastAsia="ko-KR"/>
        </w:rPr>
        <w:t xml:space="preserve"> the content of their messages. This chapter also examined other field level logics which appeared to have a lower degree of centrality (journalism and communications profession logics), however, </w:t>
      </w:r>
      <w:r w:rsidR="00C84401">
        <w:rPr>
          <w:rFonts w:cs="Calibri"/>
          <w:lang w:eastAsia="ko-KR"/>
        </w:rPr>
        <w:t xml:space="preserve">while </w:t>
      </w:r>
      <w:r>
        <w:rPr>
          <w:rFonts w:cs="Calibri"/>
          <w:lang w:eastAsia="ko-KR"/>
        </w:rPr>
        <w:t xml:space="preserve">they had a lower level of centrality, they appeared to be compatible with the state logics, merely influencing the tone and approach to the communication. </w:t>
      </w:r>
    </w:p>
    <w:p w14:paraId="37865083" w14:textId="77777777" w:rsidR="00787F73" w:rsidRDefault="00787F73" w:rsidP="00866155">
      <w:pPr>
        <w:rPr>
          <w:rFonts w:cs="Calibri"/>
          <w:lang w:eastAsia="ko-KR"/>
        </w:rPr>
      </w:pPr>
    </w:p>
    <w:p w14:paraId="37C8229E" w14:textId="25AD8542" w:rsidR="00787F73" w:rsidRDefault="00742FB7" w:rsidP="00D95AFA">
      <w:pPr>
        <w:rPr>
          <w:rFonts w:cs="Calibri"/>
        </w:rPr>
      </w:pPr>
      <w:r>
        <w:rPr>
          <w:rFonts w:cs="Calibri"/>
          <w:lang w:eastAsia="ko-KR"/>
        </w:rPr>
        <w:t xml:space="preserve">This chapter has therefore been able to support the aim of the thesis to </w:t>
      </w:r>
      <w:r>
        <w:rPr>
          <w:rFonts w:cs="Calibri"/>
          <w:i/>
          <w:iCs/>
          <w:lang w:eastAsia="ko-KR"/>
        </w:rPr>
        <w:t>critically evaluate the use of social media and its ability to develop community disaster resilience (CDR)</w:t>
      </w:r>
      <w:r>
        <w:rPr>
          <w:rFonts w:cs="Calibri"/>
          <w:lang w:eastAsia="ko-KR"/>
        </w:rPr>
        <w:t xml:space="preserve">, by evaluating why SYFR communicate in the way that they do. </w:t>
      </w:r>
      <w:r>
        <w:rPr>
          <w:rFonts w:cs="Calibri"/>
        </w:rPr>
        <w:t>Examining the institutions and situational contexts influencing SYFR helps us to understand how and why SYFR developed their strategy in this manner. The next focal point is to explore how this strategy works in practice, examining their social media channels and their interactions with the surrounding communities of South Yorkshire to examine whether this strategy can work towards community resilience.</w:t>
      </w:r>
      <w:r>
        <w:br w:type="page"/>
      </w:r>
    </w:p>
    <w:p w14:paraId="13E4EAD5" w14:textId="77777777" w:rsidR="00787F73" w:rsidRDefault="00742FB7" w:rsidP="00A0151B">
      <w:pPr>
        <w:pStyle w:val="Heading1"/>
        <w:spacing w:before="0"/>
        <w:jc w:val="center"/>
      </w:pPr>
      <w:bookmarkStart w:id="962" w:name="_Hlk1616755901"/>
      <w:bookmarkStart w:id="963" w:name="_Toc158371081"/>
      <w:bookmarkStart w:id="964" w:name="_Toc156227640"/>
      <w:bookmarkStart w:id="965" w:name="_Toc158371013"/>
      <w:bookmarkStart w:id="966" w:name="_Toc193367251"/>
      <w:bookmarkEnd w:id="962"/>
      <w:r>
        <w:lastRenderedPageBreak/>
        <w:t>Chapter 6: Who is engaging with SYFR’s content on social media and what implications are there for community resilience?</w:t>
      </w:r>
      <w:bookmarkEnd w:id="963"/>
      <w:bookmarkEnd w:id="964"/>
      <w:bookmarkEnd w:id="965"/>
      <w:bookmarkEnd w:id="966"/>
    </w:p>
    <w:p w14:paraId="5011A247" w14:textId="77777777" w:rsidR="00787F73" w:rsidRDefault="00742FB7" w:rsidP="00866155">
      <w:pPr>
        <w:pStyle w:val="Heading2"/>
      </w:pPr>
      <w:bookmarkStart w:id="967" w:name="_Toc158371082"/>
      <w:bookmarkStart w:id="968" w:name="_Toc158371014"/>
      <w:bookmarkStart w:id="969" w:name="_Toc156227641"/>
      <w:bookmarkStart w:id="970" w:name="_Toc193367252"/>
      <w:r>
        <w:t>6.1: Introduction</w:t>
      </w:r>
      <w:bookmarkEnd w:id="967"/>
      <w:bookmarkEnd w:id="968"/>
      <w:bookmarkEnd w:id="969"/>
      <w:bookmarkEnd w:id="970"/>
    </w:p>
    <w:p w14:paraId="4F8B60C6" w14:textId="1A50A4C9" w:rsidR="00787F73" w:rsidRDefault="00742FB7" w:rsidP="00866155">
      <w:r>
        <w:rPr>
          <w:rFonts w:cs="Calibri"/>
        </w:rPr>
        <w:t xml:space="preserve">The previous two chapters examined SYFR’s communication strategy for community resilience. Chapter 4 presented an answer to </w:t>
      </w:r>
      <w:r>
        <w:rPr>
          <w:rFonts w:cs="Calibri"/>
          <w:lang w:eastAsia="en-US"/>
        </w:rPr>
        <w:t>RQ1 and examined SYFR’s communication strategy and their evaluations of their risk communication Public Information Campaigns (PICs)</w:t>
      </w:r>
      <w:r w:rsidR="00FB37C7">
        <w:rPr>
          <w:rFonts w:cs="Calibri"/>
          <w:lang w:eastAsia="en-US"/>
        </w:rPr>
        <w:t>.</w:t>
      </w:r>
      <w:r>
        <w:rPr>
          <w:rFonts w:cs="Calibri"/>
          <w:lang w:eastAsia="en-US"/>
        </w:rPr>
        <w:t xml:space="preserve"> </w:t>
      </w:r>
      <w:r w:rsidR="00FB37C7">
        <w:rPr>
          <w:rFonts w:cs="Calibri"/>
          <w:lang w:eastAsia="en-US"/>
        </w:rPr>
        <w:t>This</w:t>
      </w:r>
      <w:r>
        <w:rPr>
          <w:rFonts w:cs="Calibri"/>
          <w:lang w:eastAsia="en-US"/>
        </w:rPr>
        <w:t xml:space="preserve"> included a series of quantifiable metrics, including incident data and social media metrics, to gauge success of their PICs. Chapter 5 presented a discussion and answer to RQ2 where a range of institutional logics, including state logics from the FRSA (2004) and wider New Public Management (NPM) logics were found to be associated with the growing neoliberal agenda. </w:t>
      </w:r>
      <w:r>
        <w:rPr>
          <w:rFonts w:cs="Calibri"/>
        </w:rPr>
        <w:t>This chapter continues the analysis of SYFR’s communication surrounding community resilience, with a focus on their interactions with communities, predominantly focussing on their Twitter account and two community groups in South Yorkshire.</w:t>
      </w:r>
    </w:p>
    <w:p w14:paraId="310C63BF" w14:textId="77777777" w:rsidR="00787F73" w:rsidRDefault="00787F73" w:rsidP="00866155">
      <w:pPr>
        <w:rPr>
          <w:rFonts w:cs="Calibri"/>
        </w:rPr>
      </w:pPr>
    </w:p>
    <w:p w14:paraId="435B6BBB" w14:textId="77777777" w:rsidR="00787F73" w:rsidRDefault="00742FB7" w:rsidP="00866155">
      <w:r>
        <w:rPr>
          <w:rFonts w:cs="Calibri"/>
        </w:rPr>
        <w:t>This chapter draws on data collected from two communities within South Yorkshire: one categorised by SYFR as high risk</w:t>
      </w:r>
      <w:r w:rsidR="00FB37C7">
        <w:rPr>
          <w:rFonts w:cs="Calibri"/>
        </w:rPr>
        <w:t>;</w:t>
      </w:r>
      <w:r>
        <w:rPr>
          <w:rFonts w:cs="Calibri"/>
        </w:rPr>
        <w:t xml:space="preserve"> and another community categorised by SYFR as low risk. These two case studies provide a community voice to this research and an insight into how communities relate to disasters, community resilience, and the role of external agencies. </w:t>
      </w:r>
    </w:p>
    <w:p w14:paraId="2540BA81" w14:textId="77777777" w:rsidR="00787F73" w:rsidRDefault="00787F73" w:rsidP="00866155">
      <w:pPr>
        <w:rPr>
          <w:rFonts w:cs="Calibri"/>
        </w:rPr>
      </w:pPr>
    </w:p>
    <w:p w14:paraId="3F3FAAF9" w14:textId="0291F832" w:rsidR="00787F73" w:rsidRDefault="00742FB7" w:rsidP="00557805">
      <w:r>
        <w:rPr>
          <w:rFonts w:cs="Calibri"/>
        </w:rPr>
        <w:t xml:space="preserve">As discussed in chapter 2, the use of the word </w:t>
      </w:r>
      <w:r>
        <w:rPr>
          <w:rFonts w:cs="Calibri"/>
          <w:i/>
          <w:iCs/>
        </w:rPr>
        <w:t>community</w:t>
      </w:r>
      <w:r>
        <w:rPr>
          <w:rFonts w:cs="Calibri"/>
        </w:rPr>
        <w:t xml:space="preserve"> can be misleading as it suggests a cohesive group of people when in fact communities are made up of a wide variety of social intersections </w:t>
      </w:r>
      <w:r w:rsidRPr="00F84689">
        <w:rPr>
          <w:rFonts w:cs="Calibri"/>
        </w:rPr>
        <w:t>and</w:t>
      </w:r>
      <w:r w:rsidRPr="00F84689">
        <w:t xml:space="preserve"> lived experiences </w:t>
      </w:r>
      <w:r w:rsidRPr="00F84689">
        <w:fldChar w:fldCharType="begin" w:fldLock="1"/>
      </w:r>
      <w:r w:rsidR="00974B75">
        <w:rPr>
          <w:rFonts w:cs="Calibri"/>
        </w:rPr>
        <w:instrText>ADDIN CSL_CITATION {"citationItems":[{"id":"ITEM-1","itemData":{"DOI":"10.1007/s11199-008-9504-5","ISBN":"0360-0025","ISSN":"03600025","PMID":"87372200","abstract":"This paper serves as a “best practices guide” for researchers interested in applying intersectionality theory to psychological research. Intersectionality, the mutually constitutive relations among social identities, presents several issues to researchers interested in applying it to research. I highlight three central issues and provide guidelines for how to address them. First, I discuss the constraints in the number of identities that researchers are able to test in an empirical study, and highlight relevant decision rules. Second, I discuss when to focus on “master” identities (e.g., gender) versus “emergent” identities (i.e., White lesbian). Third, I argue that treating identity as a process situated within social structural contexts facilitates the research process. I end with a brief discussion of the implications for the study of intersectionality.","author":[{"dropping-particle":"","family":"Warner","given":"Leah R.","non-dropping-particle":"","parse-names":false,"suffix":""}],"container-title":"Sex Roles","id":"ITEM-1","issued":{"date-parts":[["2008"]]},"page":"454-463","title":"A best practices guide to intersectional approaches in psychological research","type":"article-journal","volume":"59"},"uris":["http://www.mendeley.com/documents/?uuid=8e851e26-4ae8-4ad4-a56b-d76e0f8ea539"]},{"id":"ITEM-2","itemData":{"DOI":"10.1111/j.1467-9272.2007.00587.x","ISBN":"00330124","ISSN":"00330124","PMID":"23750159","abstract":"This article focuses on the concept of intersectionality, which is being used within the wider social sciences by feminists to theorize the relationship between different social categories: gender, race, sexuality, and so forth. Although research within the field of feminist geography has explored particular interconnections such as those between gender and race, the theoretical concept of intersectionality as debated in the wider social sciences has not been addressed. This article attempts to respond to that omission. It begins by tracing the emergence of debates about the interconnections between gender and other identities. It goes on to reflect on attempts tomap geometries of oppressions.Theemphasis thenmovesfromtheorizing intersectionality to questioninghowit can be researched in practice by presenting a case study to illustrate intersectionality as lived experience. The conclusion demonstrates the contribution that feminist geography can make to advance the theorization of intersectionality throughits appreciation of the significance of space in processes of subject formation. It calls for feminist geography to pay more attention to questions of power and social inequalities.","author":[{"dropping-particle":"","family":"Valentine","given":"Gill","non-dropping-particle":"","parse-names":false,"suffix":""}],"container-title":"The Professional Geographer","id":"ITEM-2","issue":"1","issued":{"date-parts":[["2007"]]},"page":"10 - 21","title":"Theorizing and Researching Intersectionality: A Challenge for Feminist Geography","type":"article-journal","volume":"59"},"uris":["http://www.mendeley.com/documents/?uuid=33533b8f-b858-4321-96f6-432feeb05d24"]},{"id":"ITEM-3","itemData":{"DOI":"10.4324/9780203578988","ISBN":"9780203578988","ISSN":"978-0-415-81890-2 (Hardcover); 978-0-203-57898-8 (Digital (undefined format))","PMID":"17972902","abstract":"This edited collection brings together many of the world's leading experts, both academic and practitioner, in a single volume handbook that examines key international issues in the field of hate crime. Collectively it examines a range of pertinent areas with the ultimate aim of providing a detailed picture of the hate crime 'problem' in different parts of the world. Offering a strong international focus and comprehensive coverage of a wide range of hate crime issues, this book is an important contribution to hate crime studies and will be essential reading for academics, students and practitioners interested in this field. The book is divided into four parts: An examination, covering theories and concepts, of issues relating to definitions of hate crime, the individual and community impacts of hate crime, the controversies of hate crime legislation and theoretical approaches to understanding offending. An exploration of the international geography of hate, in which each chapter examines a range of hate crime issues in different parts of the world, including the UK, wider Europe, North America, Australia and New Zealand. Reflections on a number of different perspectives across a range of key issues in hate crime, examining areas including particular issues affecting different victim groups, the increasingly important influence of the Internet and hate crimes in sport. A discussion of a range of international efforts being utilised to combat hate and hate crime. (PsycINFO Database Record (c) 2016 APA, all rights reserved)","author":[{"dropping-particle":"","family":"Mason-Bish","given":"Hannah","non-dropping-particle":"","parse-names":false,"suffix":""}],"chapter-number":"3","container-title":"The Routledge International Handbook on Hate Crime","editor":[{"dropping-particle":"","family":"Hall","given":"Nathan","non-dropping-particle":"","parse-names":false,"suffix":""},{"dropping-particle":"","family":"Corb","given":"Abbee","non-dropping-particle":"","parse-names":false,"suffix":""},{"dropping-particle":"","family":"Giannasi","given":"Paul","non-dropping-particle":"","parse-names":false,"suffix":""},{"dropping-particle":"","family":"Grieve","given":"John G D","non-dropping-particle":"","parse-names":false,"suffix":""}],"id":"ITEM-3","issued":{"date-parts":[["2014"]]},"page":"1-33","title":"Beyond the Silo","type":"chapter"},"uris":["http://www.mendeley.com/documents/?uuid=6a96c44a-dc08-4bfb-9a6b-c0bc3ef8505d"]},{"id":"ITEM-4","itemData":{"DOI":"10.1080/13698230701660220","ISBN":"1369-8230\\r1743-8772","ISSN":"1369-8230","PMID":"25650308","abstract":"The paper examines the effects of intersecting social divisions on constructions of multi-layered citizenships and the politics of belonging in contemporary Britain. It starts with conceptual clarifications of the notions of citizenship, belonging and intersectionality and then turns to examine contemporary politics of belonging in contemporary Britain, focus- ing on the current debate on the ‘death of multiculturalism’ and on ‘social cohesion’. It illus- trates how the use of civic and democratic values as signifiers of belonging can end up as exclusionary, rather than inclusionary in that discourse. K","author":[{"dropping-particle":"","family":"Yuval‐Davis","given":"Nira","non-dropping-particle":"","parse-names":false,"suffix":""}],"container-title":"Critical Review of International Social and Political Philosophy","id":"ITEM-4","issue":"4","issued":{"date-parts":[["2007"]]},"page":"561-574","title":"Intersectionality, Citizenship and Contemporary Politics of Belonging","type":"article-journal","volume":"10"},"uris":["http://www.mendeley.com/documents/?uuid=553a05d6-78f0-4a87-8a7f-d7dd1694f17a"]},{"id":"ITEM-5","itemData":{"DOI":"10.3390/soc8030071","ISSN":"2075-4698","abstract":"In all areas of academic or practical work related to disaster risk, climate change and development more generally, community and its adjunct community-based have become the default terminology when referring to the local level or working ‘with the people’. The terms are applied extensively to highlight what is believed to be a people-centred, participatory, or grassroot-level approach. Today, despite, or because of, its inherent ambiguity, ‘community’ tends to be used almost inflationarily. This paper aims to analyse the way the concept of ‘community’ has come into fashion, and to critically reflect on the problems that come with it. We are raising significant doubts about the usefulness of ‘community’ in development- and disaster-related work. Our approach is to first consider how ‘community’ has become popular in research and with humanitarian agencies and other organisations based on what can be considered a ‘moral licence’ that supposedly guarantees that the actions being taken are genuinely people-centred and ethically justified. We then explore several theoretical approaches to ‘community’, highlight the vast scope of different (and contested) views on what ‘community’ entails, and explain how ‘community’ is framing practical attempts to mitigate vulnerability and inequity. We demonstrate how these attempts are usually futile, and sometimes harmful, due to the blurriness of ‘community’ concepts and their inherent failure to address the root causes of vulnerability. From two antagonistic positions, we finally advocate more meaningful ways to acknowledge vulnerable people’s views and needs appropriately.","author":[{"dropping-particle":"","family":"Titz","given":"Alexandra","non-dropping-particle":"","parse-names":false,"suffix":""},{"dropping-particle":"","family":"Cannon","given":"Terry","non-dropping-particle":"","parse-names":false,"suffix":""},{"dropping-particle":"","family":"Krüger","given":"Fred","non-dropping-particle":"","parse-names":false,"suffix":""}],"container-title":"Societies","id":"ITEM-5","issue":"3","issued":{"date-parts":[["2018"]]},"page":"1 - 28","title":"Uncovering ‘Community’: Challenging an Elusive Concept in Development and Disaster Related Work","type":"article-journal","volume":"8"},"uris":["http://www.mendeley.com/documents/?uuid=f9599f8d-2339-4d46-9072-6514bdefdc30"]}],"mendeley":{"formattedCitation":"(Titz, Cannon, &amp; Krüger, 2018; Mason-Bish, 2014; Warner, 2008; Valentine, 2007; Yuval‐Davis, 2007)","plainTextFormattedCitation":"(Titz, Cannon, &amp; Krüger, 2018; Mason-Bish, 2014; Warner, 2008; Valentine, 2007; Yuval‐Davis, 2007)","previouslyFormattedCitation":"(Titz, Cannon, &amp; Krüger, 2018; Mason-Bish, 2014; Warner, 2008; Valentine, 2007; Yuval‐Davis, 2007)"},"properties":{"noteIndex":0},"schema":"https://github.com/citation-style-language/schema/raw/master/csl-citation.json"}</w:instrText>
      </w:r>
      <w:r w:rsidRPr="00F84689">
        <w:rPr>
          <w:rFonts w:cs="Calibri"/>
        </w:rPr>
        <w:fldChar w:fldCharType="separate"/>
      </w:r>
      <w:r w:rsidRPr="00F84689">
        <w:rPr>
          <w:rFonts w:cs="Calibri"/>
          <w:noProof/>
        </w:rPr>
        <w:t>(Titz, Cannon, &amp; Krüger, 2018; Mason-Bish, 2014; Warner, 2008; Valentine, 2007; Yuval‐Davis, 2007)</w:t>
      </w:r>
      <w:r w:rsidRPr="00F84689">
        <w:rPr>
          <w:rFonts w:cs="Calibri"/>
        </w:rPr>
        <w:fldChar w:fldCharType="end"/>
      </w:r>
      <w:r>
        <w:rPr>
          <w:rFonts w:cs="Calibri"/>
        </w:rPr>
        <w:t>.</w:t>
      </w:r>
      <w:r w:rsidR="00557805">
        <w:rPr>
          <w:rFonts w:cs="Calibri"/>
        </w:rPr>
        <w:t>The definition from the UNHCR highlights the importance of shared goals and experiences. In the case of this research</w:t>
      </w:r>
      <w:r w:rsidR="007C6843">
        <w:rPr>
          <w:rFonts w:cs="Calibri"/>
        </w:rPr>
        <w:t>,</w:t>
      </w:r>
      <w:r w:rsidR="00557805">
        <w:rPr>
          <w:rFonts w:cs="Calibri"/>
        </w:rPr>
        <w:t xml:space="preserve"> the participants were invited to join the research based on their self-described membership to their geographical community’s</w:t>
      </w:r>
      <w:r w:rsidR="007F3EFD">
        <w:rPr>
          <w:rFonts w:cs="Calibri"/>
        </w:rPr>
        <w:t>.</w:t>
      </w:r>
      <w:r w:rsidR="00557805">
        <w:rPr>
          <w:rFonts w:cs="Calibri"/>
        </w:rPr>
        <w:t xml:space="preserve"> </w:t>
      </w:r>
      <w:r w:rsidR="00D95AFA">
        <w:rPr>
          <w:rFonts w:cs="Calibri"/>
        </w:rPr>
        <w:t xml:space="preserve">Therefore, in this chapter, when </w:t>
      </w:r>
      <w:r w:rsidR="00D95AFA">
        <w:rPr>
          <w:rFonts w:cs="Calibri"/>
          <w:i/>
          <w:iCs/>
        </w:rPr>
        <w:t>community</w:t>
      </w:r>
      <w:r w:rsidR="00D95AFA">
        <w:rPr>
          <w:rFonts w:cs="Calibri"/>
        </w:rPr>
        <w:t xml:space="preserve"> is written, the word refers to the geographical </w:t>
      </w:r>
      <w:r w:rsidR="007F3EFD">
        <w:rPr>
          <w:rFonts w:cs="Calibri"/>
        </w:rPr>
        <w:t>communities (high risk and low risk) which are based within</w:t>
      </w:r>
      <w:r w:rsidR="00D95AFA">
        <w:rPr>
          <w:rFonts w:cs="Calibri"/>
        </w:rPr>
        <w:t xml:space="preserve"> South Yorkshire, which SYFR has a statutory obligation to support.</w:t>
      </w:r>
      <w:r w:rsidR="009A5234">
        <w:rPr>
          <w:rFonts w:cs="Calibri"/>
        </w:rPr>
        <w:t xml:space="preserve"> </w:t>
      </w:r>
    </w:p>
    <w:p w14:paraId="088EF092" w14:textId="77777777" w:rsidR="00787F73" w:rsidRDefault="00787F73" w:rsidP="00866155">
      <w:pPr>
        <w:rPr>
          <w:rFonts w:cs="Calibri"/>
        </w:rPr>
      </w:pPr>
    </w:p>
    <w:p w14:paraId="6EAFC9E8" w14:textId="77777777" w:rsidR="00787F73" w:rsidRDefault="00742FB7" w:rsidP="00866155">
      <w:r>
        <w:rPr>
          <w:rFonts w:cs="Calibri"/>
        </w:rPr>
        <w:t xml:space="preserve">This chapter explores the actualities of SYFR’s relationship with the communities of South Yorkshire. As mentioned in chapter 3, many social media companies do not allow research </w:t>
      </w:r>
      <w:r>
        <w:rPr>
          <w:rFonts w:cs="Calibri"/>
        </w:rPr>
        <w:lastRenderedPageBreak/>
        <w:t xml:space="preserve">to be conducted on their platforms, however, at the time of the data collection, Twitter was relatively open to research. Since Twitter was bought by Elon Musk and rebranded as X, the business practices have changed </w:t>
      </w:r>
      <w:r>
        <w:fldChar w:fldCharType="begin" w:fldLock="1"/>
      </w:r>
      <w:r>
        <w:rPr>
          <w:rFonts w:cs="Calibri"/>
        </w:rPr>
        <w:instrText>ADDIN CSL_CITATION {"citationItems":[{"id":"ITEM-1","itemData":{"URL":"https://hbswk.hbs.edu/item/cold-call-elon-musks-twitter-takeover-lessons-in-strategic-change","author":[{"dropping-particle":"","family":"Kenny","given":"Brian","non-dropping-particle":"","parse-names":false,"suffix":""},{"dropping-particle":"","family":"Wu","given":"Andy","non-dropping-particle":"","parse-names":false,"suffix":""},{"dropping-particle":"","family":"Calic","given":"Goran","non-dropping-particle":"","parse-names":false,"suffix":""}],"container-title":"Harvard Business School - Cold Call Podcast","id":"ITEM-1","issued":{"date-parts":[["2023"]]},"title":"Elon Musk’s Twitter Takeover: Lessons in Strategic Change","type":"webpage"},"uris":["http://www.mendeley.com/documents/?uuid=18ebb2d5-b22d-44ac-9737-14cb8f625f61"]}],"mendeley":{"formattedCitation":"(Kenny, Wu, &amp; Calic, 2023)","plainTextFormattedCitation":"(Kenny, Wu, &amp; Calic, 2023)","previouslyFormattedCitation":"(Kenny, Wu, &amp; Calic, 2023)"},"properties":{"noteIndex":0},"schema":"https://github.com/citation-style-language/schema/raw/master/csl-citation.json"}</w:instrText>
      </w:r>
      <w:r>
        <w:rPr>
          <w:rFonts w:cs="Calibri"/>
        </w:rPr>
        <w:fldChar w:fldCharType="separate"/>
      </w:r>
      <w:r>
        <w:rPr>
          <w:rFonts w:cs="Calibri"/>
          <w:noProof/>
        </w:rPr>
        <w:t>(Kenny, Wu, &amp; Calic, 2023)</w:t>
      </w:r>
      <w:r>
        <w:rPr>
          <w:rFonts w:cs="Calibri"/>
        </w:rPr>
        <w:fldChar w:fldCharType="end"/>
      </w:r>
      <w:r>
        <w:rPr>
          <w:rFonts w:cs="Calibri"/>
        </w:rPr>
        <w:t>. This chapter discusses Twitter and their followers at the time of data collection.</w:t>
      </w:r>
    </w:p>
    <w:p w14:paraId="68E1C450" w14:textId="77777777" w:rsidR="00787F73" w:rsidRDefault="00787F73" w:rsidP="00866155">
      <w:pPr>
        <w:rPr>
          <w:rFonts w:cs="Calibri"/>
        </w:rPr>
      </w:pPr>
    </w:p>
    <w:p w14:paraId="383514CB" w14:textId="77777777" w:rsidR="00787F73" w:rsidRDefault="00742FB7" w:rsidP="00866155">
      <w:bookmarkStart w:id="971" w:name="_Toc153554362"/>
      <w:r>
        <w:rPr>
          <w:rFonts w:cs="Calibri"/>
        </w:rPr>
        <w:t>This chapter focuses on the interaction between SYFR and the ‘community’ and is divided into two sections. The first explores SYFR's online community, using data collected from Twitter and analysed in RStudio. It analyses their Twitter followers and Twitter mentions, exploring SYFR's audience on social media and whether they are in South Yorkshire. The second section uses data collected through focus groups and examines SYFR's offline community. It examines key themes which were interpreted in the research, such as the importance of community composition, community mentality, community logics, the importance of disaster and risk context, and the community's relationship to organisations. The final section provides a summary and draws out the main themes and contributions from this chapter.</w:t>
      </w:r>
      <w:bookmarkEnd w:id="971"/>
    </w:p>
    <w:p w14:paraId="676B8084" w14:textId="77777777" w:rsidR="00787F73" w:rsidRDefault="00787F73" w:rsidP="00866155">
      <w:pPr>
        <w:pStyle w:val="Heading3"/>
        <w:rPr>
          <w:rFonts w:ascii="Calibri" w:eastAsia="Times New Roman" w:hAnsi="Calibri" w:cs="Calibri"/>
          <w:color w:val="auto"/>
        </w:rPr>
      </w:pPr>
    </w:p>
    <w:p w14:paraId="222E40D1" w14:textId="77777777" w:rsidR="00787F73" w:rsidRDefault="00742FB7" w:rsidP="00866155">
      <w:pPr>
        <w:pStyle w:val="Heading3"/>
      </w:pPr>
      <w:bookmarkStart w:id="972" w:name="_Toc158371083"/>
      <w:bookmarkStart w:id="973" w:name="_Toc158371015"/>
      <w:bookmarkStart w:id="974" w:name="_Toc193367253"/>
      <w:r>
        <w:t>6.1.1: Contributions to the literature and policy.</w:t>
      </w:r>
      <w:bookmarkEnd w:id="972"/>
      <w:bookmarkEnd w:id="973"/>
      <w:bookmarkEnd w:id="974"/>
    </w:p>
    <w:p w14:paraId="637944E0" w14:textId="2F2F10C6" w:rsidR="00787F73" w:rsidRDefault="00742FB7" w:rsidP="00866155">
      <w:r>
        <w:rPr>
          <w:rFonts w:cs="Calibri"/>
        </w:rPr>
        <w:t xml:space="preserve">Due to COVID-19 there were significant challenges of collecting data. SYFR and I had planned to conduct a more in-depth community analysis, but this was not ethically viable due to the social distancing restrictions in place at the time. </w:t>
      </w:r>
      <w:r w:rsidR="00C422A8">
        <w:rPr>
          <w:rFonts w:cs="Calibri"/>
        </w:rPr>
        <w:t>This meant that the community data was limited. Not only were the focus groups not well attended, but they also lacked the required diversity to enable a greater analysis of the community’s resilience. The community literature notes the importance of acknowledging and including a range of lived experiences, however</w:t>
      </w:r>
      <w:r w:rsidR="007C6843">
        <w:rPr>
          <w:rFonts w:cs="Calibri"/>
        </w:rPr>
        <w:t>,</w:t>
      </w:r>
      <w:r w:rsidR="00C422A8">
        <w:rPr>
          <w:rFonts w:cs="Calibri"/>
        </w:rPr>
        <w:t xml:space="preserve"> due to the time constraints of the project and COVID-19 this was not possible. </w:t>
      </w:r>
      <w:r w:rsidR="00C84401" w:rsidRPr="00010F12">
        <w:rPr>
          <w:rFonts w:cs="Calibri"/>
        </w:rPr>
        <w:t>While</w:t>
      </w:r>
      <w:r>
        <w:rPr>
          <w:rFonts w:cs="Calibri"/>
        </w:rPr>
        <w:t xml:space="preserve"> the data are limited, there are still important and relevant findings and contributions to the literature. This analysis </w:t>
      </w:r>
      <w:r>
        <w:t xml:space="preserve">of a FRS social media </w:t>
      </w:r>
      <w:r>
        <w:rPr>
          <w:rFonts w:cs="Calibri"/>
        </w:rPr>
        <w:t>account is unique and highlights a large flaw within the NPM logics of quantification of engagement</w:t>
      </w:r>
      <w:r w:rsidR="00C91C1F">
        <w:rPr>
          <w:rFonts w:cs="Calibri"/>
        </w:rPr>
        <w:t xml:space="preserve">. </w:t>
      </w:r>
      <w:r>
        <w:rPr>
          <w:rFonts w:cs="Calibri"/>
        </w:rPr>
        <w:t xml:space="preserve"> </w:t>
      </w:r>
      <w:r w:rsidR="00C91C1F">
        <w:rPr>
          <w:rFonts w:cs="Calibri"/>
        </w:rPr>
        <w:t>This therefore builds upon the NPM literature, focusing on the challenges surrounding quantification of service. This research provides a new empirical context for the NPM literature, namely the FRS sector.</w:t>
      </w:r>
      <w:r>
        <w:rPr>
          <w:rFonts w:cs="Calibri"/>
        </w:rPr>
        <w:t xml:space="preserve">  </w:t>
      </w:r>
    </w:p>
    <w:p w14:paraId="3E5432FF" w14:textId="77777777" w:rsidR="00787F73" w:rsidRDefault="00787F73" w:rsidP="00866155">
      <w:pPr>
        <w:rPr>
          <w:rFonts w:cs="Calibri"/>
        </w:rPr>
      </w:pPr>
    </w:p>
    <w:p w14:paraId="3F353083" w14:textId="3BA33D1E" w:rsidR="00787F73" w:rsidRDefault="00742FB7" w:rsidP="00866155">
      <w:r>
        <w:rPr>
          <w:rFonts w:cs="Calibri"/>
        </w:rPr>
        <w:lastRenderedPageBreak/>
        <w:t xml:space="preserve">This chapter also adds to the disaster management literature, examining how social media can be used within communities and its effect on community resilience. The literature to date has predominantly focused on the use of social media in the post-disaster phases of the </w:t>
      </w:r>
      <w:r w:rsidR="0038275C">
        <w:rPr>
          <w:rFonts w:cs="Calibri"/>
        </w:rPr>
        <w:t xml:space="preserve">Disaster Management Cycle </w:t>
      </w:r>
      <w:r>
        <w:fldChar w:fldCharType="begin" w:fldLock="1"/>
      </w:r>
      <w:r w:rsidR="00974B75">
        <w:rPr>
          <w:rFonts w:cs="Calibri"/>
        </w:rPr>
        <w:instrText>ADDIN CSL_CITATION {"citationItems":[{"id":"ITEM-1","itemData":{"DOI":"10.1016/j.ijdrr.2022.102783","ISSN":"22124209","abstract":"Studies on the role of social media in disaster management have so far focused mainly on early phases of the disaster response process. Published evidence regarding the scope and effectiveness of social media use in the recovery phase is limited but promising. There is currently no study that provides a comprehensive picture of the current research landscape that can inform different groups who need to capitalise on social media for disaster recovery. The present study aims to address this research gap by conducting a systematic literature review of social media use in disaster recovery. The review analyses the relevant studies to identify any temporal variations in research activity, the social media platforms most frequently used in disaster recovery, their patterns of use by type of disaster as well as the geographical locations where the studies have focused. Importantly, the paper identifies and summarises research findings relating to social media use in various aspects of disaster recovery, including (1) donations and financial support, (2) solidarity and social cohesion, (3) post-disaster reconstruction and infrastructure services, (4) socioeconomic and physical wellbeing, (5) information support, (6) mental health and emotional support, and (7) business &amp; economic activities. We envisage that this comprehensive review will support the disaster risk reduction community with the requisite knowledge to better explore social media for disaster recovery. Similarly, future research may find the study helpful for understanding the state of knowledge and identifying research gaps around social media use for disaster recovery.","author":[{"dropping-particle":"","family":"Ogie","given":"R. I.","non-dropping-particle":"","parse-names":false,"suffix":""},{"dropping-particle":"","family":"James","given":"S.","non-dropping-particle":"","parse-names":false,"suffix":""},{"dropping-particle":"","family":"Moore","given":"A.","non-dropping-particle":"","parse-names":false,"suffix":""},{"dropping-particle":"","family":"Dilworth","given":"T.","non-dropping-particle":"","parse-names":false,"suffix":""},{"dropping-particle":"","family":"Amirghasemi","given":"M.","non-dropping-particle":"","parse-names":false,"suffix":""},{"dropping-particle":"","family":"Whittaker","given":"J.","non-dropping-particle":"","parse-names":false,"suffix":""}],"container-title":"International Journal of Disaster Risk Reduction","id":"ITEM-1","issued":{"date-parts":[["2022"]]},"page":"1 - 18","title":"Social media use in disaster recovery: A systematic literature review","type":"article-journal","volume":"70"},"uris":["http://www.mendeley.com/documents/?uuid=1bda90d3-961c-4bb6-9867-e482122058e3"]}],"mendeley":{"formattedCitation":"(Ogie et al., 2022)","plainTextFormattedCitation":"(Ogie et al., 2022)","previouslyFormattedCitation":"(Ogie et al., 2022)"},"properties":{"noteIndex":0},"schema":"https://github.com/citation-style-language/schema/raw/master/csl-citation.json"}</w:instrText>
      </w:r>
      <w:r>
        <w:rPr>
          <w:rFonts w:cs="Calibri"/>
        </w:rPr>
        <w:fldChar w:fldCharType="separate"/>
      </w:r>
      <w:r>
        <w:rPr>
          <w:rFonts w:cs="Calibri"/>
          <w:noProof/>
        </w:rPr>
        <w:t>(Ogie et al., 2022)</w:t>
      </w:r>
      <w:r>
        <w:rPr>
          <w:rFonts w:cs="Calibri"/>
        </w:rPr>
        <w:fldChar w:fldCharType="end"/>
      </w:r>
      <w:r>
        <w:rPr>
          <w:rFonts w:cs="Calibri"/>
        </w:rPr>
        <w:t xml:space="preserve">, including how social media can be used to support “underserved communities” </w:t>
      </w:r>
      <w:r>
        <w:fldChar w:fldCharType="begin" w:fldLock="1"/>
      </w:r>
      <w:r w:rsidR="00974B75">
        <w:rPr>
          <w:rFonts w:cs="Calibri"/>
        </w:rPr>
        <w:instrText>ADDIN CSL_CITATION {"citationItems":[{"id":"ITEM-1","itemData":{"DOI":"10.1007/s13753-022-00399-1","ISSN":"21926395","abstract":"This study examined the propensity of social media use by underserved communities by drawing on the literature on the digital divide and attribution theory. Specifically, this research explored the factors that can influence the use of social media for disaster management. The study used survey methodology to collect data and partial least squares structural equation modeling (PLS-SEM) to analyze the data and test the hypotheses. The results of the study indicate: (1) that the propensity of social media use for disaster management is low for underserved communities; (2) a positive relationship between an individual’s effort and the intention to use social media for disaster management; and (3) a negative relationship between task difficulty and the intention to use social media for disaster management. The study expanded the literature on the use of social media in disaster management. The article also provides both theoretical and practical implications.","author":[{"dropping-particle":"","family":"Ramakrishnan","given":"Thiagarajan","non-dropping-particle":"","parse-names":false,"suffix":""},{"dropping-particle":"","family":"Ngamassi","given":"Louis","non-dropping-particle":"","parse-names":false,"suffix":""},{"dropping-particle":"","family":"Rahman","given":"Shahedur","non-dropping-particle":"","parse-names":false,"suffix":""}],"container-title":"International Journal of Disaster Risk Science","id":"ITEM-1","issued":{"date-parts":[["2022"]]},"page":"52-65","title":"Examining the Factors that Influence the Use of Social Media for Disaster Management by Underserved Communities","type":"article-journal","volume":"13"},"locator":"53","uris":["http://www.mendeley.com/documents/?uuid=78f79e65-57eb-4b0f-a3c9-31e43d9f8e7c"]}],"mendeley":{"formattedCitation":"(Ramakrishnan, Ngamassi, &amp; Rahman, 2022, p. 53)","plainTextFormattedCitation":"(Ramakrishnan, Ngamassi, &amp; Rahman, 2022, p. 53)","previouslyFormattedCitation":"(Ramakrishnan, Ngamassi, &amp; Rahman, 2022, p. 53)"},"properties":{"noteIndex":0},"schema":"https://github.com/citation-style-language/schema/raw/master/csl-citation.json"}</w:instrText>
      </w:r>
      <w:r>
        <w:rPr>
          <w:rFonts w:cs="Calibri"/>
        </w:rPr>
        <w:fldChar w:fldCharType="separate"/>
      </w:r>
      <w:r>
        <w:rPr>
          <w:rFonts w:cs="Calibri"/>
          <w:noProof/>
        </w:rPr>
        <w:t>(Ramakrishnan, Ngamassi, &amp; Rahman, 2022, p. 53)</w:t>
      </w:r>
      <w:r>
        <w:rPr>
          <w:rFonts w:cs="Calibri"/>
        </w:rPr>
        <w:fldChar w:fldCharType="end"/>
      </w:r>
      <w:r>
        <w:rPr>
          <w:rFonts w:cs="Calibri"/>
        </w:rPr>
        <w:t xml:space="preserve">, (which refers to groups of people who are marginalised within society) with foci on the digital divide  and on the impact of social media use during emergency and disaster events, such as COVID-19 </w:t>
      </w:r>
      <w:r>
        <w:fldChar w:fldCharType="begin" w:fldLock="1"/>
      </w:r>
      <w:r>
        <w:rPr>
          <w:rFonts w:cs="Calibri"/>
        </w:rPr>
        <w:instrText>ADDIN CSL_CITATION {"citationItems":[{"id":"ITEM-1","itemData":{"DOI":"10.1007/s43076-022-00192-5","ISBN":"0123456789","ISSN":"23581883","abstract":"The coronavirus pandemic is a global pandemic of Coronavirus Disease 2019 (COVID-19) resulting from the Severe Acute Respiratory Syndrome Coronavirus 2 (SARS-CoV2). Despite its numerous benefits for sharing health information, social media has raised several concerns in terms of posing panic among the general population around the world during the COVID-19 pandemic. The main objective of this study was to investigate the negative impact of social media during the COVID-19 outbreak. A web-based poll was used to collect data from social media users. Snowball sampling was used to acquire information from participants for 1 month, from September 1 to September 30, 2020. To examine the effect of social media on fear among participants, the study employed Cohen’s d statistic, analysis of variance, Chi-squared test, and linear regression analysis. The study results showed that more than three-fourth (73.26%) used Facebook followed by Telegram by 14.49%. Health news was the most frequently seen, read, or heard with 88.20% of the total. Moreover, 86.73% of respondents experienced panic, while only 13.27% was not. Compared to males, females were more likely to follow health news (p &lt; 0.001). The majority of participants reported being psychologically affected, while only a few were physically affected. Females were substantially more affected mentally and reported significantly more fear than males (p &lt; 0.001). The effect of social media panic is associated with participants’ age, and gender at a 5% level of significance. A significant positive link between social media and the diffusion of COVID-19 fear has been shown in this study. According to the result of regression analysis, social media usage has a significant effect on the spread of panic among participants at a 5% level of significance. Study revealed that social media use has a significant impact on the development of panic among people regarding the COVID-19 epidemic, with possibly detrimental psychological and mental health repercussions.This study also discovered a strong correlation between COVID-19 fear and social media. According to the findings, the impact of social media on respondents’ terror levels differs depending on their age and gender. The government should take steps to punish those who spread false information or fake news to the public.","author":[{"dropping-particle":"","family":"Lelisho","given":"Mesfin Esayas","non-dropping-particle":"","parse-names":false,"suffix":""},{"dropping-particle":"","family":"Pandey","given":"Digvijay","non-dropping-particle":"","parse-names":false,"suffix":""},{"dropping-particle":"","family":"Alemu","given":"Bizuwork Derebew","non-dropping-particle":"","parse-names":false,"suffix":""},{"dropping-particle":"","family":"Pandey","given":"Binay Kumar","non-dropping-particle":"","parse-names":false,"suffix":""},{"dropping-particle":"","family":"Tareke","given":"Seid Ali","non-dropping-particle":"","parse-names":false,"suffix":""}],"container-title":"Trends in Psychology","id":"ITEM-1","issue":"1","issued":{"date-parts":[["2023"]]},"page":"123-142","title":"The Negative Impact of Social Media during COVID-19 Pandemic","type":"article-journal","volume":"31"},"uris":["http://www.mendeley.com/documents/?uuid=6bcb7d15-34b1-4aa7-ba02-82b4783f9455"]}],"mendeley":{"formattedCitation":"(Lelisho et al., 2023)","plainTextFormattedCitation":"(Lelisho et al., 2023)","previouslyFormattedCitation":"(Lelisho et al., 2023)"},"properties":{"noteIndex":0},"schema":"https://github.com/citation-style-language/schema/raw/master/csl-citation.json"}</w:instrText>
      </w:r>
      <w:r>
        <w:rPr>
          <w:rFonts w:cs="Calibri"/>
        </w:rPr>
        <w:fldChar w:fldCharType="separate"/>
      </w:r>
      <w:r>
        <w:rPr>
          <w:rFonts w:cs="Calibri"/>
          <w:noProof/>
        </w:rPr>
        <w:t>(Lelisho et al., 2023)</w:t>
      </w:r>
      <w:r>
        <w:rPr>
          <w:rFonts w:cs="Calibri"/>
        </w:rPr>
        <w:fldChar w:fldCharType="end"/>
      </w:r>
      <w:r>
        <w:rPr>
          <w:rFonts w:cs="Calibri"/>
        </w:rPr>
        <w:t xml:space="preserve">. This thesis adds to this literature by exploring experiences within communities and examines the challenges they face in connecting to organisations such as SYFR.  </w:t>
      </w:r>
    </w:p>
    <w:p w14:paraId="7692DD31" w14:textId="77777777" w:rsidR="00787F73" w:rsidRDefault="00787F73" w:rsidP="00866155">
      <w:pPr>
        <w:rPr>
          <w:rFonts w:cs="Calibri"/>
        </w:rPr>
      </w:pPr>
    </w:p>
    <w:p w14:paraId="7B3C8534" w14:textId="5DE23F85" w:rsidR="00787F73" w:rsidRDefault="00742FB7" w:rsidP="00866155">
      <w:r>
        <w:rPr>
          <w:rFonts w:cs="Calibri"/>
        </w:rPr>
        <w:t xml:space="preserve">This chapter focuses on the community’s interaction with SYFR and their experiences of disasters and resilience and contributes to the community resilience literature. As discussed in Chapter 2, there are a wide variety of definitions and theories about community resilience, what it includes and how it can be developed including studies on the sociological and cultural factors relating to how and why disasters affect people’s vulnerability in different ways across class and wealth </w:t>
      </w:r>
      <w:r>
        <w:fldChar w:fldCharType="begin" w:fldLock="1"/>
      </w:r>
      <w:r w:rsidR="00974B75">
        <w:rPr>
          <w:rFonts w:cs="Calibri"/>
        </w:rPr>
        <w:instrText>ADDIN CSL_CITATION {"citationItems":[{"id":"ITEM-1","itemData":{"DOI":"10.3763/ehaz.1999.0103","author":[{"dropping-particle":"","family":"Tobin","given":"Graham A","non-dropping-particle":"","parse-names":false,"suffix":""}],"container-title":"Environmental Hazards","id":"ITEM-1","issue":"1","issued":{"date-parts":[["1999"]]},"page":"13-25","title":"Sustainability and community resilience: the holy grail of hazards planning?","type":"article-journal","volume":"1"},"uris":["http://www.mendeley.com/documents/?uuid=8bf65d46-8190-4198-bf8c-df8928e2d260"]}],"mendeley":{"formattedCitation":"(Tobin, 1999)","plainTextFormattedCitation":"(Tobin, 1999)","previouslyFormattedCitation":"(Tobin, 1999)"},"properties":{"noteIndex":0},"schema":"https://github.com/citation-style-language/schema/raw/master/csl-citation.json"}</w:instrText>
      </w:r>
      <w:r>
        <w:rPr>
          <w:rFonts w:cs="Calibri"/>
        </w:rPr>
        <w:fldChar w:fldCharType="separate"/>
      </w:r>
      <w:r>
        <w:rPr>
          <w:rFonts w:cs="Calibri"/>
          <w:noProof/>
        </w:rPr>
        <w:t>(Tobin, 1999)</w:t>
      </w:r>
      <w:r>
        <w:rPr>
          <w:rFonts w:cs="Calibri"/>
        </w:rPr>
        <w:fldChar w:fldCharType="end"/>
      </w:r>
      <w:r>
        <w:rPr>
          <w:rFonts w:cs="Calibri"/>
        </w:rPr>
        <w:t xml:space="preserve"> and across socio-economic characteristics </w:t>
      </w:r>
      <w:r>
        <w:fldChar w:fldCharType="begin" w:fldLock="1"/>
      </w:r>
      <w:r>
        <w:rPr>
          <w:rFonts w:cs="Calibri"/>
        </w:rPr>
        <w:instrText>ADDIN CSL_CITATION {"citationItems":[{"id":"ITEM-1","itemData":{"DOI":"10.1093/cdj/bst042","abstract":"Enhancing inclusion and self-reliance at community level is gaining ground in policy terms, due – in part – to the need to increase the efficiency of public spend, associated with the global financial crisis. Within Scotland, this shift is manifested through multiple policy and community interventions seeking to enhance resilience of communities. Measuring community resilience remains challenging as there is a lack of practical tools and assessment methods to capture aspects of 'change'. The research presented here is based on the 'Capacity for Change' programme, which, through community engagement and empowerment, seeks to enhance the capacity of rural places and develop inclusive communities. The paper presents (i) an evaluation model for measuring community resilience and (ii) empirical findings that derive from deploying the model in a real-life scenario. Based on 155 face-to-face interviews with inhabitants from rural communities, resilience is revealed as being multi-scalar and interdependent, indicating the importance of 'unpacking' resilience by exploring different levels of its social and economic components. The findings indicate the significance of inter-connectivity of local and regional, and those less and more resilient areas. In addition, it shows that locations with more diversified services and resources are reported by their residents as being more resilient.","author":[{"dropping-particle":"","family":"Steiner","given":"Artur","non-dropping-particle":"","parse-names":false,"suffix":""},{"dropping-particle":"","family":"Markantoni","given":"Marianna","non-dropping-particle":"","parse-names":false,"suffix":""}],"container-title":"Community Development Journal","id":"ITEM-1","issue":"3","issued":{"date-parts":[["2014"]]},"note":"Good quote &amp;quot;We, therefore, argue that models for measuring community resilience should take into account local settings and socio-economic characteristics&amp;quot; Page 410\n\nAnalysis of other papers","page":"407 - 425","title":"Unpacking community resilience through Capacity for Change","type":"article-journal","volume":"49"},"uris":["http://www.mendeley.com/documents/?uuid=b50ce932-acdd-35c5-a5a9-bc5b4819b932"]},{"id":"ITEM-2","itemData":{"DOI":"10.1080/03003930.2019.1571999","ISSN":"17439388","abstract":"Scholars and practitioners have long noted the importance of community resilience to disaster recovery and environmental risk mitigation. Yet we know surprisingly little about how local residents perceive the resilience of their local communities, including how closely their perceptions align with objective measures of resilience or whether these perceptions affect community engagement and support for resilience building activities and policies. In this paper, we utilise the results of public opinion surveys of residents of four Texas coastal shoreline counties (Brazoria, Nueces, Galveston, and Cameron) to address this gap in the literature. The results reveal that perceptions of community preparedness largely reflect social trust and disaster awareness while perceptions of recovery reflect perceived risks and preparedness.","author":[{"dropping-particle":"","family":"Goidel","given":"Kirby","non-dropping-particle":"","parse-names":false,"suffix":""},{"dropping-particle":"","family":"Horney","given":"Jennifer A.","non-dropping-particle":"","parse-names":false,"suffix":""},{"dropping-particle":"","family":"Kellstedt","given":"Paul M.","non-dropping-particle":"","parse-names":false,"suffix":""},{"dropping-particle":"","family":"Sullivan","given":"Emily","non-dropping-particle":"","parse-names":false,"suffix":""},{"dropping-particle":"","family":"Brown","given":"Stephanie E.V.","non-dropping-particle":"","parse-names":false,"suffix":""}],"container-title":"Local Government Studies","id":"ITEM-2","issue":"3","issued":{"date-parts":[["2019"]]},"page":"413-432","title":"Perceptions of disaster resilience in four Texas coastal communities","type":"article-journal","volume":"45"},"uris":["http://www.mendeley.com/documents/?uuid=4033a276-60f2-438f-a557-0a555c5f96f4"]}],"mendeley":{"formattedCitation":"(Goidel et al., 2019; Steiner &amp; Markantoni, 2014)","plainTextFormattedCitation":"(Goidel et al., 2019; Steiner &amp; Markantoni, 2014)","previouslyFormattedCitation":"(Goidel et al., 2019; Steiner &amp; Markantoni, 2014)"},"properties":{"noteIndex":0},"schema":"https://github.com/citation-style-language/schema/raw/master/csl-citation.json"}</w:instrText>
      </w:r>
      <w:r>
        <w:rPr>
          <w:rFonts w:cs="Calibri"/>
        </w:rPr>
        <w:fldChar w:fldCharType="separate"/>
      </w:r>
      <w:r>
        <w:rPr>
          <w:rFonts w:cs="Calibri"/>
          <w:noProof/>
        </w:rPr>
        <w:t>(Goidel et al., 2019; Steiner &amp; Markantoni, 2014)</w:t>
      </w:r>
      <w:r>
        <w:rPr>
          <w:rFonts w:cs="Calibri"/>
        </w:rPr>
        <w:fldChar w:fldCharType="end"/>
      </w:r>
      <w:r>
        <w:rPr>
          <w:rFonts w:cs="Calibri"/>
        </w:rPr>
        <w:t xml:space="preserve">. This chapter contributes to the literature by examining some of the challenges and barriers communities face when developing community resilience and explores how they engage with organisations who are working towards improving community resilience. </w:t>
      </w:r>
    </w:p>
    <w:p w14:paraId="5BCF0503" w14:textId="77777777" w:rsidR="00787F73" w:rsidRDefault="00787F73" w:rsidP="00866155">
      <w:pPr>
        <w:rPr>
          <w:rFonts w:cs="Calibri"/>
        </w:rPr>
      </w:pPr>
    </w:p>
    <w:p w14:paraId="30003E4D" w14:textId="77777777" w:rsidR="00787F73" w:rsidRDefault="00742FB7" w:rsidP="00866155">
      <w:r>
        <w:rPr>
          <w:rFonts w:cs="Calibri"/>
        </w:rPr>
        <w:t>Finally, this chapter p</w:t>
      </w:r>
      <w:r>
        <w:rPr>
          <w:rFonts w:eastAsia="DengXian Light" w:cs="Calibri"/>
        </w:rPr>
        <w:t xml:space="preserve">resents findings with important implications for policy and practice. Specifically, it </w:t>
      </w:r>
      <w:r>
        <w:rPr>
          <w:rFonts w:cs="Calibri"/>
        </w:rPr>
        <w:t>analyses SYFR’s followers on Twitter to better understand who they are communicating with regularly. These findings can be used by FRS across England not only to understand the impact of New Public Management (NPM) logics and its influence on strategy, but also to help to tailor their social media strategy to communicate effectively with accounts that are following them.</w:t>
      </w:r>
    </w:p>
    <w:p w14:paraId="2D697382" w14:textId="77777777" w:rsidR="00787F73" w:rsidRDefault="00742FB7" w:rsidP="00866155">
      <w:pPr>
        <w:pStyle w:val="Heading2"/>
      </w:pPr>
      <w:bookmarkStart w:id="975" w:name="_Toc152953891"/>
      <w:bookmarkStart w:id="976" w:name="_Toc158371016"/>
      <w:bookmarkStart w:id="977" w:name="_Toc153205123"/>
      <w:bookmarkStart w:id="978" w:name="_Toc158371084"/>
      <w:bookmarkStart w:id="979" w:name="_Toc153554363"/>
      <w:bookmarkStart w:id="980" w:name="_Toc152952928"/>
      <w:bookmarkStart w:id="981" w:name="_Toc193367254"/>
      <w:r>
        <w:lastRenderedPageBreak/>
        <w:t>6.2: SYFR’s online community</w:t>
      </w:r>
      <w:bookmarkEnd w:id="975"/>
      <w:bookmarkEnd w:id="976"/>
      <w:bookmarkEnd w:id="977"/>
      <w:bookmarkEnd w:id="978"/>
      <w:bookmarkEnd w:id="979"/>
      <w:bookmarkEnd w:id="980"/>
      <w:bookmarkEnd w:id="981"/>
    </w:p>
    <w:p w14:paraId="418118D8" w14:textId="77777777" w:rsidR="00787F73" w:rsidRDefault="00742FB7" w:rsidP="00866155">
      <w:pPr>
        <w:pStyle w:val="Heading3"/>
      </w:pPr>
      <w:bookmarkStart w:id="982" w:name="_Toc149724681"/>
      <w:bookmarkStart w:id="983" w:name="_Toc152777233"/>
      <w:bookmarkStart w:id="984" w:name="_Toc152952929"/>
      <w:bookmarkStart w:id="985" w:name="_Toc98148472"/>
      <w:bookmarkStart w:id="986" w:name="_Toc152953892"/>
      <w:bookmarkStart w:id="987" w:name="_Toc93336066"/>
      <w:bookmarkStart w:id="988" w:name="_Toc153205124"/>
      <w:bookmarkStart w:id="989" w:name="_Toc158371085"/>
      <w:bookmarkStart w:id="990" w:name="_Toc158371017"/>
      <w:bookmarkStart w:id="991" w:name="_Toc193367255"/>
      <w:r>
        <w:t>6.2.1: SYFR’s Twitter followers</w:t>
      </w:r>
      <w:bookmarkEnd w:id="982"/>
      <w:bookmarkEnd w:id="983"/>
      <w:bookmarkEnd w:id="984"/>
      <w:bookmarkEnd w:id="985"/>
      <w:bookmarkEnd w:id="986"/>
      <w:bookmarkEnd w:id="987"/>
      <w:bookmarkEnd w:id="988"/>
      <w:bookmarkEnd w:id="989"/>
      <w:bookmarkEnd w:id="990"/>
      <w:bookmarkEnd w:id="991"/>
    </w:p>
    <w:p w14:paraId="10A2EF69" w14:textId="77777777" w:rsidR="00787F73" w:rsidRDefault="00742FB7" w:rsidP="00866155">
      <w:r>
        <w:rPr>
          <w:rFonts w:cs="Calibri"/>
        </w:rPr>
        <w:t xml:space="preserve">In SYFR’s communication strategy, campaign plans and evaluation, there was a large focus on social media metrics, with these figures often used to ascertain success of their campaigns or communication approach. Therefore, it is important to better understand these metrics, which can be done by assessing their followers’ location data. Examination of location data of Twitter accounts that follow SYFR can help to assess who SYFR are communicating with, and whether they are part of the South Yorkshire geographical community. However, this project took a more critical approach to the social media data, and as such does not view the data collected from Twitter to be definitive proof of engagement with SYFR. </w:t>
      </w:r>
    </w:p>
    <w:p w14:paraId="55C759EC" w14:textId="77777777" w:rsidR="00787F73" w:rsidRDefault="00787F73" w:rsidP="00866155">
      <w:pPr>
        <w:rPr>
          <w:rFonts w:cs="Calibri"/>
        </w:rPr>
      </w:pPr>
    </w:p>
    <w:p w14:paraId="5BD19736" w14:textId="5A80C240" w:rsidR="00787F73" w:rsidRDefault="00742FB7" w:rsidP="00866155">
      <w:r>
        <w:rPr>
          <w:rFonts w:cs="Calibri"/>
        </w:rPr>
        <w:t xml:space="preserve">As discussed within Chapter 3, there are numerous challenges with data collected from social media, and </w:t>
      </w:r>
      <w:r w:rsidR="00C84401">
        <w:rPr>
          <w:rFonts w:cs="Calibri"/>
        </w:rPr>
        <w:t xml:space="preserve">while </w:t>
      </w:r>
      <w:r>
        <w:rPr>
          <w:rFonts w:cs="Calibri"/>
        </w:rPr>
        <w:t xml:space="preserve">it is important to see who is following SYFR, it does not mean that they are engaging with what SYFR share, and their reasonings behind following SYFR cannot be ascertained. Readers also need to be aware of the challenges with using location data from Twitter, which has numerous limitations. First, not everyone completes the location data section of their profile, with under 14% of profiles containing this information, and 34% of the users who do complete this section of their profile providing false information </w:t>
      </w:r>
      <w:r>
        <w:fldChar w:fldCharType="begin" w:fldLock="1"/>
      </w:r>
      <w:r w:rsidR="00974B75">
        <w:rPr>
          <w:rFonts w:cs="Calibri"/>
        </w:rPr>
        <w:instrText>ADDIN CSL_CITATION {"citationItems":[{"id":"ITEM-1","itemData":{"DOI":"10.1177/0165551515602847","ISSN":"17416485","abstract":"The increasing popularity of the social networking service, Twitter, has made it more involved in day-to-day communications, strengthening social relationships and information dissemination. Conversations on Twitter are now being explored as indicators within early warning systems to alert of imminent natural disasters such as earthquakes and aid prompt emergency responses to crime. Producers are privileged to have limitless access to market perception from consumer comments on social media and microblogs. Targeted advertising can be made more effective based on user profile information such as demography, interests and location. While these applications have proven beneficial, the ability to effectively infer the location of Twitter users has even more immense value. However, accurately identifying where a message originated from or an author's location remains a challenge, thus essentially driving research in that regard. In this paper, we survey a range of techniques applied to infer the location of Twitter users from inception to state of the art. We find significant improvements over time in the granularity levels and better accuracy with results driven by refinements to algorithms and inclusion of more spatial features.","author":[{"dropping-particle":"","family":"Ajao","given":"Oluwaseun","non-dropping-particle":"","parse-names":false,"suffix":""},{"dropping-particle":"","family":"Hong","given":"Jun","non-dropping-particle":"","parse-names":false,"suffix":""},{"dropping-particle":"","family":"Liu","given":"Weiru","non-dropping-particle":"","parse-names":false,"suffix":""}],"container-title":"Journal of Information Science","id":"ITEM-1","issue":"6","issued":{"date-parts":[["2015"]]},"page":"855-864","title":"A survey of location inference techniques on Twitter","type":"article-journal","volume":"41"},"uris":["http://www.mendeley.com/documents/?uuid=c0052b93-ec8a-4101-8e2a-e2f2c352cb98"]},{"id":"ITEM-2","itemData":{"DOI":"10.1145/1978942.1978976","ISBN":"9781450302289","abstract":"Little research exists on one of the most common, oldest, and most utilized forms of online social geographic information: the \"location\" field found in most virtual community user profiles. We performed the first in-depth study of user behavior with regard to the location field in Twitter user profiles. We found that 34% of users did not provide real location information, frequently incorporating fake locations or sarcastic comments that can fool traditional geographic information tools. When users did input their location, they almost never specified it at a scale any more detailed than their city. In order to determine whether or not natural user behaviors have a real effect on the \"locatability\" of users, we performed a simple machine learning experiment to determine whether we can identify a user's location by only looking at what that user tweets. We found that a user's country and state can in fact be determined easily with decent accuracy, indicating that users implicitly reveal location information, with or without realizing it. Implications for location-based services and privacy are discussed. Copyright 2011 ACM.","author":[{"dropping-particle":"","family":"Hecht","given":"Brent","non-dropping-particle":"","parse-names":false,"suffix":""},{"dropping-particle":"","family":"Hong","given":"Lichan","non-dropping-particle":"","parse-names":false,"suffix":""},{"dropping-particle":"","family":"Suh","given":"Bongwon","non-dropping-particle":"","parse-names":false,"suffix":""},{"dropping-particle":"","family":"Chi","given":"Ed H.","non-dropping-particle":"","parse-names":false,"suffix":""}],"container-title":"Conference on Human Factors in Computing Systems - Proceedings","id":"ITEM-2","issued":{"date-parts":[["2011"]]},"page":"237-246","title":"Tweets from justin bieber's heart: The dynamics of the \"location\" field in user profiles","type":"paper-conference"},"uris":["http://www.mendeley.com/documents/?uuid=0791fd14-c1e8-4491-a9f7-3df96b7f1ef9"]}],"mendeley":{"formattedCitation":"(Ajao, Hong, &amp; Liu, 2015; Hecht et al., 2011)","plainTextFormattedCitation":"(Ajao, Hong, &amp; Liu, 2015; Hecht et al., 2011)","previouslyFormattedCitation":"(Ajao, Hong, &amp; Liu, 2015; Hecht et al., 2011)"},"properties":{"noteIndex":0},"schema":"https://github.com/citation-style-language/schema/raw/master/csl-citation.json"}</w:instrText>
      </w:r>
      <w:r>
        <w:rPr>
          <w:rFonts w:cs="Calibri"/>
        </w:rPr>
        <w:fldChar w:fldCharType="separate"/>
      </w:r>
      <w:r>
        <w:rPr>
          <w:rFonts w:cs="Calibri"/>
          <w:noProof/>
        </w:rPr>
        <w:t>(Ajao, Hong, &amp; Liu, 2015; Hecht et al., 2011)</w:t>
      </w:r>
      <w:r>
        <w:rPr>
          <w:rFonts w:cs="Calibri"/>
        </w:rPr>
        <w:fldChar w:fldCharType="end"/>
      </w:r>
      <w:r>
        <w:rPr>
          <w:rFonts w:cs="Calibri"/>
        </w:rPr>
        <w:t>. Of those who do complete their location data, some simply move away from an area and do not update their Twitter biography, meaning that th</w:t>
      </w:r>
      <w:r w:rsidR="00BC0904">
        <w:rPr>
          <w:rFonts w:cs="Calibri"/>
        </w:rPr>
        <w:t>ese</w:t>
      </w:r>
      <w:r>
        <w:rPr>
          <w:rFonts w:cs="Calibri"/>
        </w:rPr>
        <w:t xml:space="preserve"> data could be including people who no longer live in those locations </w:t>
      </w:r>
      <w:r>
        <w:fldChar w:fldCharType="begin" w:fldLock="1"/>
      </w:r>
      <w:r>
        <w:rPr>
          <w:rFonts w:cs="Calibri"/>
        </w:rPr>
        <w:instrText>ADDIN CSL_CITATION {"citationItems":[{"id":"ITEM-1","itemData":{"DOI":"10.1177/0165551515602847","ISSN":"17416485","abstract":"The increasing popularity of the social networking service, Twitter, has made it more involved in day-to-day communications, strengthening social relationships and information dissemination. Conversations on Twitter are now being explored as indicators within early warning systems to alert of imminent natural disasters such as earthquakes and aid prompt emergency responses to crime. Producers are privileged to have limitless access to market perception from consumer comments on social media and microblogs. Targeted advertising can be made more effective based on user profile information such as demography, interests and location. While these applications have proven beneficial, the ability to effectively infer the location of Twitter users has even more immense value. However, accurately identifying where a message originated from or an author's location remains a challenge, thus essentially driving research in that regard. In this paper, we survey a range of techniques applied to infer the location of Twitter users from inception to state of the art. We find significant improvements over time in the granularity levels and better accuracy with results driven by refinements to algorithms and inclusion of more spatial features.","author":[{"dropping-particle":"","family":"Ajao","given":"Oluwaseun","non-dropping-particle":"","parse-names":false,"suffix":""},{"dropping-particle":"","family":"Hong","given":"Jun","non-dropping-particle":"","parse-names":false,"suffix":""},{"dropping-particle":"","family":"Liu","given":"Weiru","non-dropping-particle":"","parse-names":false,"suffix":""}],"container-title":"Journal of Information Science","id":"ITEM-1","issue":"6","issued":{"date-parts":[["2015"]]},"page":"855-864","title":"A survey of location inference techniques on Twitter","type":"article-journal","volume":"41"},"uris":["http://www.mendeley.com/documents/?uuid=c0052b93-ec8a-4101-8e2a-e2f2c352cb98"]}],"mendeley":{"formattedCitation":"(Ajao, Hong, &amp; Liu, 2015)","plainTextFormattedCitation":"(Ajao, Hong, &amp; Liu, 2015)","previouslyFormattedCitation":"(Ajao, Hong, &amp; Liu, 2015)"},"properties":{"noteIndex":0},"schema":"https://github.com/citation-style-language/schema/raw/master/csl-citation.json"}</w:instrText>
      </w:r>
      <w:r>
        <w:rPr>
          <w:rFonts w:cs="Calibri"/>
        </w:rPr>
        <w:fldChar w:fldCharType="separate"/>
      </w:r>
      <w:r>
        <w:rPr>
          <w:rFonts w:cs="Calibri"/>
          <w:noProof/>
        </w:rPr>
        <w:t>(Ajao, Hong, &amp; Liu, 2015)</w:t>
      </w:r>
      <w:r>
        <w:rPr>
          <w:rFonts w:cs="Calibri"/>
        </w:rPr>
        <w:fldChar w:fldCharType="end"/>
      </w:r>
      <w:r>
        <w:rPr>
          <w:rFonts w:cs="Calibri"/>
        </w:rPr>
        <w:t xml:space="preserve">. Due to the ability to write anything within the location field, Twitter users may also put a location that is not their exact location, such as Sheffield, rather than one of the smaller towns surrounding the area, or as seen in </w:t>
      </w:r>
      <w:r w:rsidR="00BC0904">
        <w:rPr>
          <w:rFonts w:cs="Calibri"/>
        </w:rPr>
        <w:t>these</w:t>
      </w:r>
      <w:r>
        <w:rPr>
          <w:rFonts w:cs="Calibri"/>
        </w:rPr>
        <w:t xml:space="preserve"> data the use of “United Kingdom” or “England” </w:t>
      </w:r>
      <w:r>
        <w:fldChar w:fldCharType="begin" w:fldLock="1"/>
      </w:r>
      <w:r>
        <w:rPr>
          <w:rFonts w:cs="Calibri"/>
        </w:rPr>
        <w:instrText>ADDIN CSL_CITATION {"citationItems":[{"id":"ITEM-1","itemData":{"DOI":"10.1177/0165551515602847","ISSN":"17416485","abstract":"The increasing popularity of the social networking service, Twitter, has made it more involved in day-to-day communications, strengthening social relationships and information dissemination. Conversations on Twitter are now being explored as indicators within early warning systems to alert of imminent natural disasters such as earthquakes and aid prompt emergency responses to crime. Producers are privileged to have limitless access to market perception from consumer comments on social media and microblogs. Targeted advertising can be made more effective based on user profile information such as demography, interests and location. While these applications have proven beneficial, the ability to effectively infer the location of Twitter users has even more immense value. However, accurately identifying where a message originated from or an author's location remains a challenge, thus essentially driving research in that regard. In this paper, we survey a range of techniques applied to infer the location of Twitter users from inception to state of the art. We find significant improvements over time in the granularity levels and better accuracy with results driven by refinements to algorithms and inclusion of more spatial features.","author":[{"dropping-particle":"","family":"Ajao","given":"Oluwaseun","non-dropping-particle":"","parse-names":false,"suffix":""},{"dropping-particle":"","family":"Hong","given":"Jun","non-dropping-particle":"","parse-names":false,"suffix":""},{"dropping-particle":"","family":"Liu","given":"Weiru","non-dropping-particle":"","parse-names":false,"suffix":""}],"container-title":"Journal of Information Science","id":"ITEM-1","issue":"6","issued":{"date-parts":[["2015"]]},"page":"855-864","title":"A survey of location inference techniques on Twitter","type":"article-journal","volume":"41"},"uris":["http://www.mendeley.com/documents/?uuid=c0052b93-ec8a-4101-8e2a-e2f2c352cb98"]}],"mendeley":{"formattedCitation":"(Ajao, Hong, &amp; Liu, 2015)","plainTextFormattedCitation":"(Ajao, Hong, &amp; Liu, 2015)","previouslyFormattedCitation":"(Ajao, Hong, &amp; Liu, 2015)"},"properties":{"noteIndex":0},"schema":"https://github.com/citation-style-language/schema/raw/master/csl-citation.json"}</w:instrText>
      </w:r>
      <w:r>
        <w:rPr>
          <w:rFonts w:cs="Calibri"/>
        </w:rPr>
        <w:fldChar w:fldCharType="separate"/>
      </w:r>
      <w:r>
        <w:rPr>
          <w:rFonts w:cs="Calibri"/>
          <w:noProof/>
        </w:rPr>
        <w:t>(Ajao, Hong, &amp; Liu, 2015)</w:t>
      </w:r>
      <w:r>
        <w:rPr>
          <w:rFonts w:cs="Calibri"/>
        </w:rPr>
        <w:fldChar w:fldCharType="end"/>
      </w:r>
      <w:r>
        <w:rPr>
          <w:rFonts w:cs="Calibri"/>
        </w:rPr>
        <w:t xml:space="preserve">. It may also be that these Twitter accounts are not actual people but automated bots or individuals who have multiple accounts, thus counting the same individual more than once. Therefore, </w:t>
      </w:r>
      <w:r w:rsidR="00C84401">
        <w:rPr>
          <w:rFonts w:cs="Calibri"/>
        </w:rPr>
        <w:t xml:space="preserve">while </w:t>
      </w:r>
      <w:r w:rsidR="00BC0904">
        <w:rPr>
          <w:rFonts w:cs="Calibri"/>
        </w:rPr>
        <w:t>these</w:t>
      </w:r>
      <w:r>
        <w:rPr>
          <w:rFonts w:cs="Calibri"/>
        </w:rPr>
        <w:t xml:space="preserve"> data can potentially give an indication of location and the number of individuals engaging with the social media account, these are not precise measures.</w:t>
      </w:r>
    </w:p>
    <w:p w14:paraId="12A2E2B7" w14:textId="77777777" w:rsidR="00787F73" w:rsidRDefault="00787F73" w:rsidP="00866155">
      <w:pPr>
        <w:rPr>
          <w:rFonts w:cs="Calibri"/>
        </w:rPr>
      </w:pPr>
    </w:p>
    <w:p w14:paraId="0DE02FC5" w14:textId="77777777" w:rsidR="00787F73" w:rsidRDefault="00742FB7" w:rsidP="00866155">
      <w:r>
        <w:rPr>
          <w:rFonts w:cs="Calibri"/>
        </w:rPr>
        <w:lastRenderedPageBreak/>
        <w:t>The data collected from Twitter</w:t>
      </w:r>
      <w:r>
        <w:rPr>
          <w:rStyle w:val="CommentReference"/>
          <w:rFonts w:eastAsia="DengXian Light" w:cs="Calibri"/>
        </w:rPr>
        <w:t xml:space="preserve"> </w:t>
      </w:r>
      <w:r>
        <w:rPr>
          <w:rFonts w:cs="Calibri"/>
        </w:rPr>
        <w:t>only</w:t>
      </w:r>
      <w:r>
        <w:t xml:space="preserve"> provide a snapshot of SYFR’s 38,540 followers, </w:t>
      </w:r>
      <w:r>
        <w:rPr>
          <w:rFonts w:cs="Calibri"/>
        </w:rPr>
        <w:t>as it was collected on the 12</w:t>
      </w:r>
      <w:r>
        <w:rPr>
          <w:rFonts w:cs="Calibri"/>
          <w:vertAlign w:val="superscript"/>
        </w:rPr>
        <w:t>th of</w:t>
      </w:r>
      <w:r>
        <w:rPr>
          <w:rFonts w:cs="Calibri"/>
        </w:rPr>
        <w:t xml:space="preserve"> October 2020 at 19:00GMT, so it may not represent SYFR’s current followers. </w:t>
      </w:r>
    </w:p>
    <w:p w14:paraId="6C954F43" w14:textId="77777777" w:rsidR="00787F73" w:rsidRDefault="00787F73" w:rsidP="00866155">
      <w:pPr>
        <w:rPr>
          <w:rFonts w:cs="Calibri"/>
        </w:rPr>
      </w:pPr>
    </w:p>
    <w:p w14:paraId="370EAE1C" w14:textId="77777777" w:rsidR="00787F73" w:rsidRDefault="00742FB7" w:rsidP="00866155">
      <w:pPr>
        <w:pStyle w:val="Heading4"/>
        <w:spacing w:line="360" w:lineRule="auto"/>
      </w:pPr>
      <w:bookmarkStart w:id="992" w:name="_Toc152777234"/>
      <w:bookmarkStart w:id="993" w:name="_Toc158371018"/>
      <w:bookmarkStart w:id="994" w:name="_Toc152953893"/>
      <w:bookmarkStart w:id="995" w:name="_Toc93336067"/>
      <w:bookmarkStart w:id="996" w:name="_Toc98148473"/>
      <w:bookmarkStart w:id="997" w:name="_Toc152952930"/>
      <w:bookmarkStart w:id="998" w:name="_Toc153205125"/>
      <w:r>
        <w:t>Followers – Top Locations</w:t>
      </w:r>
      <w:bookmarkEnd w:id="992"/>
      <w:bookmarkEnd w:id="993"/>
      <w:bookmarkEnd w:id="994"/>
      <w:bookmarkEnd w:id="995"/>
      <w:bookmarkEnd w:id="996"/>
      <w:bookmarkEnd w:id="997"/>
      <w:bookmarkEnd w:id="998"/>
    </w:p>
    <w:p w14:paraId="493A29E2" w14:textId="77777777" w:rsidR="00787F73" w:rsidRDefault="00742FB7" w:rsidP="00866155">
      <w:r>
        <w:rPr>
          <w:rFonts w:cs="Calibri"/>
        </w:rPr>
        <w:t xml:space="preserve">To better understand where the followers are located, I created a bar graph of the top 20 locations, as shown in Figure 20. </w:t>
      </w:r>
    </w:p>
    <w:p w14:paraId="5765A867" w14:textId="77777777" w:rsidR="00787F73" w:rsidRDefault="00742FB7" w:rsidP="00866155">
      <w:pPr>
        <w:keepNext/>
      </w:pPr>
      <w:r>
        <w:rPr>
          <w:noProof/>
        </w:rPr>
        <w:drawing>
          <wp:inline distT="0" distB="0" distL="0" distR="0" wp14:anchorId="5381C1C0" wp14:editId="33F2D804">
            <wp:extent cx="5734050" cy="3848100"/>
            <wp:effectExtent l="0" t="0" r="0" b="0"/>
            <wp:docPr id="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7"/>
                    <pic:cNvPicPr>
                      <a:picLocks noChangeAspect="1" noChangeArrowheads="1"/>
                    </pic:cNvPicPr>
                  </pic:nvPicPr>
                  <pic:blipFill>
                    <a:blip r:embed="rId37"/>
                    <a:stretch>
                      <a:fillRect/>
                    </a:stretch>
                  </pic:blipFill>
                  <pic:spPr bwMode="auto">
                    <a:xfrm>
                      <a:off x="0" y="0"/>
                      <a:ext cx="5734050" cy="3848100"/>
                    </a:xfrm>
                    <a:prstGeom prst="rect">
                      <a:avLst/>
                    </a:prstGeom>
                  </pic:spPr>
                </pic:pic>
              </a:graphicData>
            </a:graphic>
          </wp:inline>
        </w:drawing>
      </w:r>
    </w:p>
    <w:p w14:paraId="71FA676F" w14:textId="7E37B757" w:rsidR="00787F73" w:rsidRDefault="00742FB7" w:rsidP="00A0151B">
      <w:pPr>
        <w:pStyle w:val="caption1"/>
        <w:jc w:val="center"/>
      </w:pPr>
      <w:bookmarkStart w:id="999" w:name="_Toc153554400"/>
      <w:bookmarkStart w:id="1000" w:name="_Toc193367298"/>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20</w:t>
      </w:r>
      <w:r>
        <w:rPr>
          <w:rFonts w:cs="Calibri"/>
        </w:rPr>
        <w:fldChar w:fldCharType="end"/>
      </w:r>
      <w:r>
        <w:rPr>
          <w:rFonts w:cs="Calibri"/>
        </w:rPr>
        <w:t>: SYFR’s Twitter Followers - Top Locations</w:t>
      </w:r>
      <w:bookmarkEnd w:id="999"/>
      <w:r>
        <w:rPr>
          <w:rFonts w:cs="Calibri"/>
        </w:rPr>
        <w:t>; Source: Author</w:t>
      </w:r>
      <w:r w:rsidR="00B82875">
        <w:rPr>
          <w:rFonts w:cs="Calibri"/>
        </w:rPr>
        <w:t xml:space="preserve"> (October 2020)</w:t>
      </w:r>
      <w:bookmarkEnd w:id="1000"/>
    </w:p>
    <w:p w14:paraId="2E5EFC5F" w14:textId="77777777" w:rsidR="00787F73" w:rsidRDefault="00742FB7" w:rsidP="00866155">
      <w:r>
        <w:rPr>
          <w:rFonts w:cs="Calibri"/>
        </w:rPr>
        <w:t xml:space="preserve">This graph highlights an issue with collecting data from Twitter, namely that not every account on Twitter includes their location, marked on this graph as “not declared”. This shows that 34.82% of their followers (13,418) have not included their location within their Twitter profile. </w:t>
      </w:r>
    </w:p>
    <w:p w14:paraId="0D04837C" w14:textId="77777777" w:rsidR="00787F73" w:rsidRDefault="00787F73" w:rsidP="00866155">
      <w:pPr>
        <w:rPr>
          <w:rFonts w:cs="Calibri"/>
        </w:rPr>
      </w:pPr>
    </w:p>
    <w:p w14:paraId="0134DDA7" w14:textId="77777777" w:rsidR="00787F73" w:rsidRDefault="00742FB7" w:rsidP="00866155">
      <w:r>
        <w:rPr>
          <w:rFonts w:cs="Calibri"/>
        </w:rPr>
        <w:t xml:space="preserve">The second highest unique location, after “not declared” was Sheffield, with 6,395 accounts (16.59%) reporting to be in Sheffield. This was to be expected as Sheffield has the largest population within the region, with the 2021 Census stating 556,500 people reside there </w:t>
      </w:r>
      <w:r>
        <w:fldChar w:fldCharType="begin" w:fldLock="1"/>
      </w:r>
      <w:r w:rsidR="00E07E4D">
        <w:rPr>
          <w:rFonts w:cs="Calibri"/>
        </w:rPr>
        <w:instrText>ADDIN CSL_CITATION {"citationItems":[{"id":"ITEM-1","itemData":{"URL":"https://www.ons.gov.uk/visualisations/censusareachanges/E08000019/","accessed":{"date-parts":[["2024","4","2"]]},"author":[{"dropping-particle":"","family":"Office for National Statistics","given":"","non-dropping-particle":"","parse-names":false,"suffix":""}],"container-title":"Census 2021","id":"ITEM-1","issued":{"date-parts":[["2023"]]},"title":"How life has changed in Sheffield: Census 2021","type":"webpage"},"uris":["http://www.mendeley.com/documents/?uuid=a2c23bdd-ce09-432f-b0a6-d32e77909aed"]}],"mendeley":{"formattedCitation":"(Office for National Statistics, 2023)","plainTextFormattedCitation":"(Office for National Statistics, 2023)","previouslyFormattedCitation":"(Office for National Statistics, 2023)"},"properties":{"noteIndex":0},"schema":"https://github.com/citation-style-language/schema/raw/master/csl-citation.json"}</w:instrText>
      </w:r>
      <w:r>
        <w:rPr>
          <w:rFonts w:cs="Calibri"/>
        </w:rPr>
        <w:fldChar w:fldCharType="separate"/>
      </w:r>
      <w:r>
        <w:rPr>
          <w:rFonts w:cs="Calibri"/>
          <w:noProof/>
        </w:rPr>
        <w:t>(Office for National Statistics, 2023)</w:t>
      </w:r>
      <w:r>
        <w:rPr>
          <w:rFonts w:cs="Calibri"/>
        </w:rPr>
        <w:fldChar w:fldCharType="end"/>
      </w:r>
      <w:r>
        <w:rPr>
          <w:rFonts w:cs="Calibri"/>
        </w:rPr>
        <w:t xml:space="preserve">. The other larger urban centres in South Yorkshire </w:t>
      </w:r>
      <w:r>
        <w:rPr>
          <w:rFonts w:cs="Calibri"/>
        </w:rPr>
        <w:lastRenderedPageBreak/>
        <w:t>(Doncaster, Barnsley, and Rotherham) also appear within the top seven unique locations, which suggests that a high proportion of the SYFR followers were located within their geographical area.</w:t>
      </w:r>
    </w:p>
    <w:p w14:paraId="64280C95" w14:textId="77777777" w:rsidR="00787F73" w:rsidRDefault="00787F73" w:rsidP="00866155">
      <w:pPr>
        <w:rPr>
          <w:rFonts w:cs="Calibri"/>
        </w:rPr>
      </w:pPr>
    </w:p>
    <w:p w14:paraId="6F77A3D1" w14:textId="77777777" w:rsidR="00787F73" w:rsidRDefault="00742FB7" w:rsidP="00866155">
      <w:r>
        <w:rPr>
          <w:rFonts w:cs="Calibri"/>
        </w:rPr>
        <w:t xml:space="preserve">This graph also shows how residents of cities, towns, and regions close to South Yorkshire, such as Manchester, Leeds, and Chesterfield, also followed SYFR. However, the challenge with any quantitative data is that you cannot provide the reasoning as to why those accounts follow SYFR. Therefore, these data </w:t>
      </w:r>
      <w:r w:rsidR="00AC774B">
        <w:rPr>
          <w:rFonts w:cs="Calibri"/>
        </w:rPr>
        <w:t>need</w:t>
      </w:r>
      <w:r>
        <w:rPr>
          <w:rFonts w:cs="Calibri"/>
        </w:rPr>
        <w:t xml:space="preserve"> to be supported by a larger qualitative study and indicates the need for further research. However, it is beyond the remit of this PhD to understand why people follow SYFR. Rather, the </w:t>
      </w:r>
      <w:r w:rsidR="00AC774B">
        <w:rPr>
          <w:rFonts w:cs="Calibri"/>
        </w:rPr>
        <w:t>focus</w:t>
      </w:r>
      <w:r>
        <w:rPr>
          <w:rFonts w:cs="Calibri"/>
        </w:rPr>
        <w:t xml:space="preserve"> is on who sees their communications on social media with a view to exploring the use of online platforms to develop community resilience within South Yorkshire. </w:t>
      </w:r>
    </w:p>
    <w:p w14:paraId="5BD47F9C" w14:textId="77777777" w:rsidR="00787F73" w:rsidRDefault="00787F73" w:rsidP="00866155">
      <w:pPr>
        <w:rPr>
          <w:rFonts w:cs="Calibri"/>
        </w:rPr>
      </w:pPr>
    </w:p>
    <w:p w14:paraId="02307917" w14:textId="77777777" w:rsidR="00787F73" w:rsidRDefault="00742FB7" w:rsidP="00866155">
      <w:r>
        <w:rPr>
          <w:rFonts w:cs="Calibri"/>
        </w:rPr>
        <w:t xml:space="preserve">Using this location data and an RStudio package called ggmap </w:t>
      </w:r>
      <w:r>
        <w:fldChar w:fldCharType="begin" w:fldLock="1"/>
      </w:r>
      <w:r>
        <w:rPr>
          <w:rFonts w:cs="Calibri"/>
        </w:rPr>
        <w:instrText>ADDIN CSL_CITATION {"citationItems":[{"id":"ITEM-1","itemData":{"author":[{"dropping-particle":"","family":"Kahle","given":"David","non-dropping-particle":"","parse-names":false,"suffix":""},{"dropping-particle":"","family":"Wickham","given":"Hadley","non-dropping-particle":"","parse-names":false,"suffix":""}],"container-title":"The R Journal","id":"ITEM-1","issue":"1","issued":{"date-parts":[["2013"]]},"page":"114-161","title":"ggmap: Spatial Visualization with ggplot2","type":"article-journal","volume":"5"},"uris":["http://www.mendeley.com/documents/?uuid=9ffb0a2a-7d21-497c-a561-a5dd349ccd5b"]}],"mendeley":{"formattedCitation":"(Kahle &amp; Wickham, 2013)","plainTextFormattedCitation":"(Kahle &amp; Wickham, 2013)","previouslyFormattedCitation":"(Kahle &amp; Wickham, 2013)"},"properties":{"noteIndex":0},"schema":"https://github.com/citation-style-language/schema/raw/master/csl-citation.json"}</w:instrText>
      </w:r>
      <w:r>
        <w:rPr>
          <w:rFonts w:cs="Calibri"/>
        </w:rPr>
        <w:fldChar w:fldCharType="separate"/>
      </w:r>
      <w:r>
        <w:rPr>
          <w:rFonts w:cs="Calibri"/>
          <w:noProof/>
        </w:rPr>
        <w:t>(Kahle &amp; Wickham, 2013)</w:t>
      </w:r>
      <w:r>
        <w:rPr>
          <w:rFonts w:cs="Calibri"/>
        </w:rPr>
        <w:fldChar w:fldCharType="end"/>
      </w:r>
      <w:r>
        <w:rPr>
          <w:rFonts w:cs="Calibri"/>
        </w:rPr>
        <w:t>, I was able to map the followers, providing a more visual understanding of where SYFR followers were located (Figure 21 and 22) with n representing the number of accounts from that specific area.</w:t>
      </w:r>
    </w:p>
    <w:p w14:paraId="18A20CAC" w14:textId="77777777" w:rsidR="00787F73" w:rsidRDefault="00787F73" w:rsidP="00866155">
      <w:pPr>
        <w:rPr>
          <w:rFonts w:cs="Calibri"/>
        </w:rPr>
      </w:pPr>
    </w:p>
    <w:p w14:paraId="1BCCE780" w14:textId="77777777" w:rsidR="00787F73" w:rsidRDefault="00742FB7" w:rsidP="00866155">
      <w:pPr>
        <w:pStyle w:val="caption1"/>
        <w:jc w:val="center"/>
      </w:pPr>
      <w:bookmarkStart w:id="1001" w:name="_Toc153554401"/>
      <w:r>
        <w:rPr>
          <w:noProof/>
        </w:rPr>
        <w:lastRenderedPageBreak/>
        <w:drawing>
          <wp:inline distT="0" distB="0" distL="0" distR="0" wp14:anchorId="0655CF33" wp14:editId="24FA7E6B">
            <wp:extent cx="6092190" cy="5438140"/>
            <wp:effectExtent l="0" t="0" r="0" b="0"/>
            <wp:docPr id="23" name="Picture 57" descr="A map of the worl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7" descr="A map of the world with red dots&#10;&#10;Description automatically generated"/>
                    <pic:cNvPicPr>
                      <a:picLocks noChangeAspect="1" noChangeArrowheads="1"/>
                    </pic:cNvPicPr>
                  </pic:nvPicPr>
                  <pic:blipFill>
                    <a:blip r:embed="rId38"/>
                    <a:srcRect r="2653"/>
                    <a:stretch>
                      <a:fillRect/>
                    </a:stretch>
                  </pic:blipFill>
                  <pic:spPr bwMode="auto">
                    <a:xfrm>
                      <a:off x="0" y="0"/>
                      <a:ext cx="6092190" cy="5438140"/>
                    </a:xfrm>
                    <a:prstGeom prst="rect">
                      <a:avLst/>
                    </a:prstGeom>
                  </pic:spPr>
                </pic:pic>
              </a:graphicData>
            </a:graphic>
          </wp:inline>
        </w:drawing>
      </w:r>
    </w:p>
    <w:p w14:paraId="1ED9C8C8" w14:textId="418540CB" w:rsidR="00787F73" w:rsidRDefault="00742FB7" w:rsidP="00866155">
      <w:pPr>
        <w:pStyle w:val="caption1"/>
        <w:jc w:val="center"/>
      </w:pPr>
      <w:bookmarkStart w:id="1002" w:name="_Toc193367299"/>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21</w:t>
      </w:r>
      <w:r>
        <w:rPr>
          <w:rFonts w:cs="Calibri"/>
        </w:rPr>
        <w:fldChar w:fldCharType="end"/>
      </w:r>
      <w:r>
        <w:rPr>
          <w:rFonts w:cs="Calibri"/>
        </w:rPr>
        <w:t>: A map the world showing SYFR’s Twitter Followers</w:t>
      </w:r>
      <w:bookmarkEnd w:id="1001"/>
      <w:r>
        <w:rPr>
          <w:rFonts w:cs="Calibri"/>
        </w:rPr>
        <w:t>; Source: Author</w:t>
      </w:r>
      <w:r w:rsidR="00B82875">
        <w:rPr>
          <w:rFonts w:cs="Calibri"/>
        </w:rPr>
        <w:t xml:space="preserve"> (October 2020)</w:t>
      </w:r>
      <w:r>
        <w:rPr>
          <w:rFonts w:cs="Calibri"/>
        </w:rPr>
        <w:t>.</w:t>
      </w:r>
      <w:bookmarkEnd w:id="1002"/>
    </w:p>
    <w:p w14:paraId="23F86BBD" w14:textId="77777777" w:rsidR="00787F73" w:rsidRDefault="00742FB7" w:rsidP="00866155">
      <w:pPr>
        <w:keepNext/>
        <w:jc w:val="center"/>
      </w:pPr>
      <w:r>
        <w:rPr>
          <w:noProof/>
        </w:rPr>
        <w:lastRenderedPageBreak/>
        <w:drawing>
          <wp:inline distT="0" distB="0" distL="0" distR="0" wp14:anchorId="38D08CC3" wp14:editId="33B4F007">
            <wp:extent cx="5362575" cy="5610860"/>
            <wp:effectExtent l="0" t="0" r="0" b="0"/>
            <wp:docPr id="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9"/>
                    <pic:cNvPicPr>
                      <a:picLocks noChangeAspect="1" noChangeArrowheads="1"/>
                    </pic:cNvPicPr>
                  </pic:nvPicPr>
                  <pic:blipFill>
                    <a:blip r:embed="rId39"/>
                    <a:srcRect l="13130" r="22716"/>
                    <a:stretch>
                      <a:fillRect/>
                    </a:stretch>
                  </pic:blipFill>
                  <pic:spPr bwMode="auto">
                    <a:xfrm>
                      <a:off x="0" y="0"/>
                      <a:ext cx="5362575" cy="5610860"/>
                    </a:xfrm>
                    <a:prstGeom prst="rect">
                      <a:avLst/>
                    </a:prstGeom>
                  </pic:spPr>
                </pic:pic>
              </a:graphicData>
            </a:graphic>
          </wp:inline>
        </w:drawing>
      </w:r>
    </w:p>
    <w:p w14:paraId="0C49E54A" w14:textId="60007BC6" w:rsidR="00787F73" w:rsidRDefault="00742FB7" w:rsidP="00866155">
      <w:pPr>
        <w:pStyle w:val="caption1"/>
        <w:jc w:val="center"/>
      </w:pPr>
      <w:bookmarkStart w:id="1003" w:name="_Toc153554402"/>
      <w:bookmarkStart w:id="1004" w:name="_Toc193367300"/>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22</w:t>
      </w:r>
      <w:r>
        <w:rPr>
          <w:rFonts w:cs="Calibri"/>
        </w:rPr>
        <w:fldChar w:fldCharType="end"/>
      </w:r>
      <w:r>
        <w:rPr>
          <w:rFonts w:cs="Calibri"/>
        </w:rPr>
        <w:t xml:space="preserve">: A map of the UK showing SYFR’s Twitter </w:t>
      </w:r>
      <w:r>
        <w:t>Followers</w:t>
      </w:r>
      <w:bookmarkEnd w:id="1003"/>
      <w:r>
        <w:rPr>
          <w:rFonts w:eastAsia="Calibri"/>
        </w:rPr>
        <w:t>; Source: Author</w:t>
      </w:r>
      <w:r w:rsidR="00B82875">
        <w:rPr>
          <w:rFonts w:eastAsia="Calibri"/>
        </w:rPr>
        <w:t xml:space="preserve"> (October 2020)</w:t>
      </w:r>
      <w:r>
        <w:rPr>
          <w:rFonts w:eastAsia="Calibri"/>
        </w:rPr>
        <w:t>.</w:t>
      </w:r>
      <w:bookmarkEnd w:id="1004"/>
    </w:p>
    <w:p w14:paraId="09EE0122" w14:textId="3997CBB3" w:rsidR="00787F73" w:rsidRDefault="00742FB7" w:rsidP="00866155">
      <w:r>
        <w:rPr>
          <w:rFonts w:cs="Calibri"/>
        </w:rPr>
        <w:t xml:space="preserve">Figures 21 and 22 provide a visual description of the data and suggests that SYFR’s Twitter account had followers beyond the South Yorkshire borders. This illustrates that </w:t>
      </w:r>
      <w:r w:rsidR="00C84401">
        <w:rPr>
          <w:rFonts w:cs="Calibri"/>
        </w:rPr>
        <w:t xml:space="preserve">while </w:t>
      </w:r>
      <w:r>
        <w:rPr>
          <w:rFonts w:cs="Calibri"/>
        </w:rPr>
        <w:t xml:space="preserve">they were aiming to communicate with residents from within South Yorkshire, they are also sharing their content and messages to accounts across the United Kingdom and the rest of the world. However, it is important to note that it is difficult to know if the people behind these accounts are actually located where their location data suggests; for instance, </w:t>
      </w:r>
      <w:r w:rsidR="007C6843">
        <w:rPr>
          <w:rFonts w:cs="Calibri"/>
        </w:rPr>
        <w:t xml:space="preserve">the </w:t>
      </w:r>
      <w:r>
        <w:rPr>
          <w:rFonts w:cs="Calibri"/>
        </w:rPr>
        <w:t xml:space="preserve">University of Sheffield has a large international student population, which means that people who once lived in Sheffield may have moved and not stopped following accounts that they had followed while they were a resident in Sheffield.  </w:t>
      </w:r>
    </w:p>
    <w:p w14:paraId="0AAE2024" w14:textId="77777777" w:rsidR="00787F73" w:rsidRDefault="00787F73" w:rsidP="00866155">
      <w:pPr>
        <w:rPr>
          <w:rFonts w:cs="Calibri"/>
        </w:rPr>
      </w:pPr>
    </w:p>
    <w:p w14:paraId="5513ADB0" w14:textId="77777777" w:rsidR="00787F73" w:rsidRDefault="00BC0904" w:rsidP="00866155">
      <w:r>
        <w:rPr>
          <w:rFonts w:cs="Calibri"/>
        </w:rPr>
        <w:lastRenderedPageBreak/>
        <w:t>The</w:t>
      </w:r>
      <w:r w:rsidR="00673B70">
        <w:rPr>
          <w:rFonts w:cs="Calibri"/>
        </w:rPr>
        <w:t xml:space="preserve"> findings </w:t>
      </w:r>
      <w:r>
        <w:rPr>
          <w:rFonts w:cs="Calibri"/>
        </w:rPr>
        <w:t xml:space="preserve">raise questions about how communities can be identified, namely whether an individual must be geographically located within South Yorkshire to be a member of the South Yorkshire community. The literature on communities suggests that there are two types, geographical and relational, but these are not mutually exclusive. Someone can identify as being part of the South Yorkshire community even if they do not reside within these geographical boundaries </w:t>
      </w:r>
      <w:r>
        <w:fldChar w:fldCharType="begin" w:fldLock="1"/>
      </w:r>
      <w:r w:rsidR="00974B75">
        <w:rPr>
          <w:rFonts w:cs="Calibri"/>
        </w:rPr>
        <w:instrText>ADDIN CSL_CITATION {"citationItems":[{"id":"ITEM-1","itemData":{"DOI":"10.1002/1520-6629(198601)14:1&lt;6::AID-JCOP2290140103&gt;3.0.CO;2-I","ISBN":"00904392","ISSN":"00904392","PMID":"276","author":[{"dropping-particle":"","family":"McMillan","given":"David W","non-dropping-particle":"","parse-names":false,"suffix":""},{"dropping-particle":"","family":"Chavis","given":"David M","non-dropping-particle":"","parse-names":false,"suffix":""}],"container-title":"Journal of Community Psychology","id":"ITEM-1","issue":"1","issued":{"date-parts":[["1986"]]},"page":"6-23","title":"Sense of Community - A Definition and Theory","type":"article-journal","volume":"14"},"uris":["http://www.mendeley.com/documents/?uuid=e5c3724d-bbdc-4841-bd4c-f274a8efad00"]}],"mendeley":{"formattedCitation":"(McMillan &amp; Chavis, 1986)","plainTextFormattedCitation":"(McMillan &amp; Chavis, 1986)","previouslyFormattedCitation":"(McMillan &amp; Chavis, 1986)"},"properties":{"noteIndex":0},"schema":"https://github.com/citation-style-language/schema/raw/master/csl-citation.json"}</w:instrText>
      </w:r>
      <w:r>
        <w:rPr>
          <w:rFonts w:cs="Calibri"/>
        </w:rPr>
        <w:fldChar w:fldCharType="separate"/>
      </w:r>
      <w:r>
        <w:rPr>
          <w:rFonts w:cs="Calibri"/>
          <w:noProof/>
        </w:rPr>
        <w:t>(McMillan &amp; Chavis, 1986)</w:t>
      </w:r>
      <w:r>
        <w:rPr>
          <w:rFonts w:cs="Calibri"/>
        </w:rPr>
        <w:fldChar w:fldCharType="end"/>
      </w:r>
      <w:r>
        <w:rPr>
          <w:rFonts w:cs="Calibri"/>
        </w:rPr>
        <w:t xml:space="preserve">. However, SYFR has a statutory obligation and institutional logic to support the people who reside within the South Yorkshire boundaries, which controls their level of funding, so the use of follower data as an indication of the efficacy of their communication might be misleading. </w:t>
      </w:r>
    </w:p>
    <w:p w14:paraId="6EFB2402" w14:textId="77777777" w:rsidR="00787F73" w:rsidRDefault="00787F73" w:rsidP="00866155">
      <w:pPr>
        <w:rPr>
          <w:rFonts w:cs="Calibri"/>
        </w:rPr>
      </w:pPr>
    </w:p>
    <w:p w14:paraId="33A15039" w14:textId="77777777" w:rsidR="00787F73" w:rsidRDefault="00742FB7" w:rsidP="00866155">
      <w:r>
        <w:rPr>
          <w:rFonts w:cs="Calibri"/>
        </w:rPr>
        <w:t xml:space="preserve">When focusing on the region data, one can start to see the spread across South Yorkshire. Figure 23 suggests that SYFR have followers across the whole region, however, the largest numbers of followers are located within the four main urban centres (Sheffield, Rotherham, Doncaster, and Barnsley), which is expected due to the higher population density of those cities and towns. </w:t>
      </w:r>
    </w:p>
    <w:p w14:paraId="4E8F58F9" w14:textId="77777777" w:rsidR="00787F73" w:rsidRDefault="00787F73" w:rsidP="00866155">
      <w:pPr>
        <w:rPr>
          <w:rFonts w:cs="Calibri"/>
        </w:rPr>
      </w:pPr>
    </w:p>
    <w:p w14:paraId="6C55201F" w14:textId="77777777" w:rsidR="00787F73" w:rsidRDefault="00742FB7" w:rsidP="00866155">
      <w:pPr>
        <w:keepNext/>
      </w:pPr>
      <w:r>
        <w:rPr>
          <w:noProof/>
        </w:rPr>
        <w:lastRenderedPageBreak/>
        <w:drawing>
          <wp:inline distT="0" distB="0" distL="0" distR="0" wp14:anchorId="3F69188E" wp14:editId="3DDFDB86">
            <wp:extent cx="5758815" cy="5067300"/>
            <wp:effectExtent l="0" t="0" r="0" b="0"/>
            <wp:docPr id="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0"/>
                    <pic:cNvPicPr>
                      <a:picLocks noChangeAspect="1" noChangeArrowheads="1"/>
                    </pic:cNvPicPr>
                  </pic:nvPicPr>
                  <pic:blipFill>
                    <a:blip r:embed="rId40"/>
                    <a:srcRect l="11138" r="12577"/>
                    <a:stretch>
                      <a:fillRect/>
                    </a:stretch>
                  </pic:blipFill>
                  <pic:spPr bwMode="auto">
                    <a:xfrm>
                      <a:off x="0" y="0"/>
                      <a:ext cx="5758815" cy="5067300"/>
                    </a:xfrm>
                    <a:prstGeom prst="rect">
                      <a:avLst/>
                    </a:prstGeom>
                  </pic:spPr>
                </pic:pic>
              </a:graphicData>
            </a:graphic>
          </wp:inline>
        </w:drawing>
      </w:r>
    </w:p>
    <w:p w14:paraId="18BE3309" w14:textId="4FC27F1D" w:rsidR="00787F73" w:rsidRDefault="00742FB7" w:rsidP="00A0151B">
      <w:pPr>
        <w:pStyle w:val="caption1"/>
        <w:jc w:val="center"/>
      </w:pPr>
      <w:bookmarkStart w:id="1005" w:name="_Toc153554403"/>
      <w:bookmarkStart w:id="1006" w:name="_Toc193367301"/>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23</w:t>
      </w:r>
      <w:r>
        <w:rPr>
          <w:rFonts w:cs="Calibri"/>
        </w:rPr>
        <w:fldChar w:fldCharType="end"/>
      </w:r>
      <w:r>
        <w:rPr>
          <w:rFonts w:cs="Calibri"/>
        </w:rPr>
        <w:t xml:space="preserve">: Map of South Yorkshire showing SYFR's Twitter followers; Source: </w:t>
      </w:r>
      <w:bookmarkEnd w:id="1005"/>
      <w:r>
        <w:rPr>
          <w:rFonts w:cs="Calibri"/>
        </w:rPr>
        <w:t>Author</w:t>
      </w:r>
      <w:r w:rsidR="00B82875">
        <w:rPr>
          <w:rFonts w:cs="Calibri"/>
        </w:rPr>
        <w:t xml:space="preserve"> (October 2020)</w:t>
      </w:r>
      <w:r>
        <w:rPr>
          <w:rFonts w:cs="Calibri"/>
        </w:rPr>
        <w:t>.</w:t>
      </w:r>
      <w:bookmarkEnd w:id="1006"/>
    </w:p>
    <w:p w14:paraId="53B897CA" w14:textId="6D20334A" w:rsidR="00AC774B" w:rsidRDefault="00742FB7" w:rsidP="00866155">
      <w:pPr>
        <w:rPr>
          <w:rFonts w:cs="Calibri"/>
        </w:rPr>
      </w:pPr>
      <w:r>
        <w:rPr>
          <w:rFonts w:cs="Calibri"/>
        </w:rPr>
        <w:t xml:space="preserve">The graphs and maps in this section show how SYFR had Twitter followers from across the world, and </w:t>
      </w:r>
      <w:r w:rsidR="00C84401">
        <w:rPr>
          <w:rFonts w:cs="Calibri"/>
        </w:rPr>
        <w:t xml:space="preserve">while </w:t>
      </w:r>
      <w:r>
        <w:rPr>
          <w:rFonts w:cs="Calibri"/>
        </w:rPr>
        <w:t xml:space="preserve">this enables SYFR to communicate risk messages to a large audience, it is not within their statutory duty to communicate with people outside of South Yorkshire. However, </w:t>
      </w:r>
      <w:r w:rsidR="00C84401">
        <w:rPr>
          <w:rFonts w:cs="Calibri"/>
        </w:rPr>
        <w:t>while</w:t>
      </w:r>
      <w:r>
        <w:rPr>
          <w:rFonts w:cs="Calibri"/>
        </w:rPr>
        <w:t xml:space="preserve"> it is not their statutory duty, this communication still provides benefit to SYFR and its followers; by showcasing their work beyond the South Yorkshire boundaries they are supporting the development of public relations and supporting a wider audience with risk communication. SYFR would be able to control who viewed their content if they made their account private, meaning that they would be able to vet any new followers. However, this would dramatically reduce their visibility on the site and their ability to reach accounts who weren’t actively following them. </w:t>
      </w:r>
    </w:p>
    <w:p w14:paraId="6BA41113" w14:textId="77777777" w:rsidR="00AC774B" w:rsidRDefault="00AC774B" w:rsidP="00866155">
      <w:pPr>
        <w:rPr>
          <w:rFonts w:cs="Calibri"/>
        </w:rPr>
      </w:pPr>
    </w:p>
    <w:p w14:paraId="102FE6F0" w14:textId="3DDE3081" w:rsidR="00787F73" w:rsidRDefault="00742FB7" w:rsidP="00866155">
      <w:r>
        <w:rPr>
          <w:rFonts w:cs="Calibri"/>
        </w:rPr>
        <w:lastRenderedPageBreak/>
        <w:t>SYFR do not conduct this level of analysis on their social media followers, and are unaware of who is following them, and the global spread of their communication.</w:t>
      </w:r>
      <w:r>
        <w:rPr>
          <w:rStyle w:val="CommentReference"/>
          <w:rFonts w:eastAsia="DengXian Light" w:cs="Calibri"/>
        </w:rPr>
        <w:t xml:space="preserve"> </w:t>
      </w:r>
      <w:r>
        <w:rPr>
          <w:rFonts w:cs="Calibri"/>
        </w:rPr>
        <w:t xml:space="preserve">This implies that any follower metrics that SYFR are using are not necessarily metrics for people within South Yorkshire and can be viewed as simply vanity metrics, meaning that their value is superficial, as the numbers imply </w:t>
      </w:r>
      <w:r w:rsidR="009C6BCC">
        <w:rPr>
          <w:rFonts w:cs="Calibri"/>
        </w:rPr>
        <w:t>engagement. However</w:t>
      </w:r>
      <w:r>
        <w:rPr>
          <w:rFonts w:cs="Calibri"/>
        </w:rPr>
        <w:t>, it does not show the true level of engagement. Therefore, within their PIC plans and evaluations, when they state that they have reached X number of people, these figures are misleading as they only count the number of accounts which have scrolled past it</w:t>
      </w:r>
      <w:r w:rsidR="009C6BCC">
        <w:rPr>
          <w:rFonts w:cs="Calibri"/>
        </w:rPr>
        <w:t>.</w:t>
      </w:r>
      <w:r>
        <w:rPr>
          <w:rFonts w:cs="Calibri"/>
        </w:rPr>
        <w:t xml:space="preserve"> </w:t>
      </w:r>
      <w:r w:rsidR="009C6BCC">
        <w:rPr>
          <w:rFonts w:cs="Calibri"/>
        </w:rPr>
        <w:t>This</w:t>
      </w:r>
      <w:r>
        <w:rPr>
          <w:rFonts w:cs="Calibri"/>
        </w:rPr>
        <w:t xml:space="preserve"> does not include whether the person behind the account engaged with the material, or whether they then shared that information with their network and actually the reach of the post is greater than stated. To ascertain the actual number of people who were reached by their messaging, a large scale and in-depth qualitative analysis would need to be conducted: to contact their followers and ask whether they had engaged with the material and whether they had shared it with their wider network. These metrics are commonly used across the communication sector to imply engagement, and can be viewed as part of a social media logic, encouraging organisations and individuals to engage on social media </w:t>
      </w:r>
      <w:r>
        <w:fldChar w:fldCharType="begin" w:fldLock="1"/>
      </w:r>
      <w:r>
        <w:rPr>
          <w:rFonts w:cs="Calibri"/>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Pr>
          <w:rFonts w:cs="Calibri"/>
        </w:rPr>
        <w:fldChar w:fldCharType="separate"/>
      </w:r>
      <w:r>
        <w:rPr>
          <w:rFonts w:cs="Calibri"/>
          <w:noProof/>
        </w:rPr>
        <w:t>(van Dijck &amp; Poell, 2013)</w:t>
      </w:r>
      <w:r>
        <w:rPr>
          <w:rFonts w:cs="Calibri"/>
        </w:rPr>
        <w:fldChar w:fldCharType="end"/>
      </w:r>
      <w:r>
        <w:rPr>
          <w:rFonts w:cs="Calibri"/>
        </w:rPr>
        <w:t xml:space="preserve">, and a NPM logic, namely the drive to measure performance, with a focus on quantitative measures of success </w:t>
      </w:r>
      <w:r>
        <w:fldChar w:fldCharType="begin" w:fldLock="1"/>
      </w:r>
      <w:r w:rsidR="00974B75">
        <w:rPr>
          <w:rFonts w:cs="Calibri"/>
        </w:rPr>
        <w:instrText>ADDIN CSL_CITATION {"citationItems":[{"id":"ITEM-1","itemData":{"DOI":"http://dx.doi.org/10.1108/MRR-09-2015-0216","ISBN":"0001253111116","ISSN":"0264-0473","PMID":"42012058","abstract":"Abstract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Journal","id":"ITEM-1","issue":"1/2","issued":{"date-parts":[["2019"]]},"page":"134-151","title":"The impact of new public management through outsourcing on the management of government information: The case of Sweden","type":"article-journal","volume":"29"},"uris":["http://www.mendeley.com/documents/?uuid=4524732a-155c-4c93-922f-cd3a912b45c2"]},{"id":"ITEM-2","itemData":{"DOI":"10.1016/0361-3682(93)E0001-W","ISSN":"03613682","abstract":"Changes in public sector accounting in a number of OECD countries over the 1980s were central to the rise of the \"New Public Management\" (NPM) and its associated doctrines of public accountability and organizational best practice. This paper discusses the rise of NPM as an alternative to the tradition of public accountability embodied in progressive-era public administration ideas. It argues that, in spite of allegations of internationalization and the adoption of a new global paradigm in public management, there was considerable variation in the extent to which different OECD countries adopted NPM over the 1980s. It further argues that conventional explanations of the rise of NPM (\"Englishness\", party political incumbency, economic performance record and government size) seem hard to sustain even from a relatively brief inspection of such cross-national data as are available, and that an explanation based on initial endowment may give us a different perspective on those changes. © 1995.","author":[{"dropping-particle":"","family":"Hood","given":"Christopher","non-dropping-particle":"","parse-names":false,"suffix":""}],"container-title":"Accounting, Organizations and Society","id":"ITEM-2","issue":"2/3","issued":{"date-parts":[["1995"]]},"page":"93-109","title":"The \"New Public Management\" in the 1980s: Variations on a theme","type":"article-journal","volume":"20"},"uris":["http://www.mendeley.com/documents/?uuid=7c2fc97b-7560-4c74-9a7c-9a0f44e73949"]},{"id":"ITEM-3","itemData":{"DOI":"10.1111/padm.12005","ISSN":"00333298","abstract":"Based on empirical research with two non-profit organizations, this article critiques structural explanations of non-profit service innovation, which portray innovation as a response to institutional contexts and downplay the power and role of human agents. We offer, instead, a conceptualization of non-profit innovation in which human agency - and its interplay with institutional logics - is an integral feature. Specifically, we outline the ways in which non-profit actors draw upon the competing institutional logics available to them to frame and serve their interests. We find that actors' assumptions and beliefs about the organization's role in the institutional field and the practice of normative, discursive work are central tenets of both the maintenance and transformation of institutions. We also find instances of service stability and service innovation ensuing from non-profit actors' agency in infusing organizational practices with interpretations and elaborations of institutional logics. © 2013 John Wiley &amp; Sons Ltd.","author":[{"dropping-particle":"","family":"Coule","given":"Tracey","non-dropping-particle":"","parse-names":false,"suffix":""},{"dropping-particle":"","family":"Patmore","given":"Beth","non-dropping-particle":"","parse-names":false,"suffix":""}],"container-title":"Public Administration","id":"ITEM-3","issue":"4","issued":{"date-parts":[["2013"]]},"page":"980-997","title":"Institutional logics, institutional work, and public service innovation in non-profit organizations","type":"article-journal","volume":"91"},"uris":["http://www.mendeley.com/documents/?uuid=5ee53fde-2479-4fb6-8060-8f41cf289650"]}],"mendeley":{"formattedCitation":"(Svärd, 2019; Coule &amp; Patmore, 2013; Hood, 1995)","plainTextFormattedCitation":"(Svärd, 2019; Coule &amp; Patmore, 2013; Hood, 1995)","previouslyFormattedCitation":"(Svärd, 2019; Coule &amp; Patmore, 2013; Hood, 1995)"},"properties":{"noteIndex":0},"schema":"https://github.com/citation-style-language/schema/raw/master/csl-citation.json"}</w:instrText>
      </w:r>
      <w:r>
        <w:rPr>
          <w:rFonts w:cs="Calibri"/>
        </w:rPr>
        <w:fldChar w:fldCharType="separate"/>
      </w:r>
      <w:r>
        <w:rPr>
          <w:rFonts w:cs="Calibri"/>
          <w:noProof/>
        </w:rPr>
        <w:t>(Svärd, 2019; Coule &amp; Patmore, 2013; Hood, 1995)</w:t>
      </w:r>
      <w:r>
        <w:rPr>
          <w:rFonts w:cs="Calibri"/>
        </w:rPr>
        <w:fldChar w:fldCharType="end"/>
      </w:r>
      <w:r>
        <w:rPr>
          <w:rFonts w:cs="Calibri"/>
        </w:rPr>
        <w:t>.</w:t>
      </w:r>
    </w:p>
    <w:p w14:paraId="18BB415C" w14:textId="77777777" w:rsidR="00787F73" w:rsidRDefault="00787F73" w:rsidP="00866155">
      <w:pPr>
        <w:rPr>
          <w:rFonts w:cs="Calibri"/>
        </w:rPr>
      </w:pPr>
    </w:p>
    <w:p w14:paraId="62C7146D" w14:textId="77777777" w:rsidR="00787F73" w:rsidRDefault="00742FB7" w:rsidP="00866155">
      <w:r>
        <w:rPr>
          <w:rFonts w:cs="Calibri"/>
        </w:rPr>
        <w:t xml:space="preserve">Another metric that is commonly used within SYFR’s social media performance is interactions. This project chose to focus on active interactions between the community and SYFR, focusing on </w:t>
      </w:r>
      <w:r>
        <w:rPr>
          <w:rFonts w:cs="Calibri"/>
          <w:i/>
        </w:rPr>
        <w:t>mentions.</w:t>
      </w:r>
      <w:r>
        <w:rPr>
          <w:rFonts w:cs="Calibri"/>
        </w:rPr>
        <w:t xml:space="preserve"> </w:t>
      </w:r>
    </w:p>
    <w:p w14:paraId="0A6787AC" w14:textId="77777777" w:rsidR="00787F73" w:rsidRDefault="00787F73" w:rsidP="00866155">
      <w:pPr>
        <w:rPr>
          <w:rFonts w:cs="Calibri"/>
        </w:rPr>
      </w:pPr>
    </w:p>
    <w:p w14:paraId="40CC7E71" w14:textId="77777777" w:rsidR="00787F73" w:rsidRDefault="00742FB7" w:rsidP="00866155">
      <w:pPr>
        <w:pStyle w:val="Heading3"/>
      </w:pPr>
      <w:bookmarkStart w:id="1007" w:name="_Toc152952931"/>
      <w:bookmarkStart w:id="1008" w:name="_Toc153205126"/>
      <w:bookmarkStart w:id="1009" w:name="_Toc93336068"/>
      <w:bookmarkStart w:id="1010" w:name="_Toc98148474"/>
      <w:bookmarkStart w:id="1011" w:name="_Toc158371019"/>
      <w:bookmarkStart w:id="1012" w:name="_Toc152777235"/>
      <w:bookmarkStart w:id="1013" w:name="_Toc158371086"/>
      <w:bookmarkStart w:id="1014" w:name="_Toc149724682"/>
      <w:bookmarkStart w:id="1015" w:name="_Toc152953894"/>
      <w:bookmarkStart w:id="1016" w:name="_Toc193367256"/>
      <w:r>
        <w:t>6.2.2: Twitter Mentions of SYFR</w:t>
      </w:r>
      <w:bookmarkEnd w:id="1007"/>
      <w:bookmarkEnd w:id="1008"/>
      <w:bookmarkEnd w:id="1009"/>
      <w:bookmarkEnd w:id="1010"/>
      <w:bookmarkEnd w:id="1011"/>
      <w:bookmarkEnd w:id="1012"/>
      <w:bookmarkEnd w:id="1013"/>
      <w:bookmarkEnd w:id="1014"/>
      <w:bookmarkEnd w:id="1015"/>
      <w:bookmarkEnd w:id="1016"/>
    </w:p>
    <w:p w14:paraId="001B8E4B" w14:textId="2A707DFB" w:rsidR="00787F73" w:rsidRDefault="00742FB7" w:rsidP="00866155">
      <w:r>
        <w:rPr>
          <w:rFonts w:cs="Calibri"/>
        </w:rPr>
        <w:t xml:space="preserve">There are various metrics which are assessed on different platforms, such as audience reach and interactions. Within the interaction metrics, one can include passive interactions such as likes, which require little engagement with the material and can signify an agreement or support of the post </w:t>
      </w:r>
      <w:r>
        <w:fldChar w:fldCharType="begin" w:fldLock="1"/>
      </w:r>
      <w:r>
        <w:rPr>
          <w:rFonts w:cs="Calibri"/>
        </w:rPr>
        <w:instrText>ADDIN CSL_CITATION {"citationItems":[{"id":"ITEM-1","itemData":{"DOI":"10.1371/journal.pone.0162765","ISSN":"19326203","abstract":"Facebook, the most widely used social media platform, has been adopted by public health organisations for health promotion and behaviour change campaigns and activities. However, limited information is available on the most effective and efficient use of Facebook for this purpose. This study sought to identify the features of Facebook posts that are associated with higher user engagement on Australian public health organisations' Facebook pages. We selected 20 eligible pages through a systematic search and coded 360-days of posts for each page. Posts were coded by: post type (e.g., photo, text only etc.), communication technique employed (e.g. testimonial, informative etc.) and use of marketing elements (e.g., branding, use of mascots). A series of negative binomial regressions were used to assess associations between post characteristics and user engagement as measured by the number of likes, shares and comments. Our results showed that video posts attracted the greatest amount of user engagement, although an analysis of a subset of the data suggested this may be a reflection of the Facebook algorithm, which governs what is and is not shown in user newsfeeds and appear to preference videos over other post types. Posts that featured a positive emotional appeal or provided factual information attracted higher levels of user engagement, while conventional marketing elements, such as sponsorships and the use of persons of authority, generally discouraged user engagement, with the exception of posts that included a celebrity or sportsperson. Our results give insight into post content that maximises user engagement and begins to fill the knowledge gap on effective use of Facebook by public health organisations.","author":[{"dropping-particle":"","family":"Kite","given":"James","non-dropping-particle":"","parse-names":false,"suffix":""},{"dropping-particle":"","family":"Foley","given":"Bridget C.","non-dropping-particle":"","parse-names":false,"suffix":""},{"dropping-particle":"","family":"Grunseit","given":"Anne C.","non-dropping-particle":"","parse-names":false,"suffix":""},{"dropping-particle":"","family":"Freeman","given":"Becky","non-dropping-particle":"","parse-names":false,"suffix":""}],"container-title":"PLoS ONE","id":"ITEM-1","issue":"9","issued":{"date-parts":[["2016"]]},"page":"1-16","title":"Please like me: Facebook and public health communication","type":"article-journal","volume":"11"},"uris":["http://www.mendeley.com/documents/?uuid=f74377df-9fe0-4362-a0e9-009cfbcd65bb"]}],"mendeley":{"formattedCitation":"(Kite et al., 2016)","plainTextFormattedCitation":"(Kite et al., 2016)","previouslyFormattedCitation":"(Kite et al., 2016)"},"properties":{"noteIndex":0},"schema":"https://github.com/citation-style-language/schema/raw/master/csl-citation.json"}</w:instrText>
      </w:r>
      <w:r>
        <w:rPr>
          <w:rFonts w:cs="Calibri"/>
        </w:rPr>
        <w:fldChar w:fldCharType="separate"/>
      </w:r>
      <w:r>
        <w:rPr>
          <w:rFonts w:cs="Calibri"/>
          <w:noProof/>
        </w:rPr>
        <w:t>(Kite et al., 2016)</w:t>
      </w:r>
      <w:r>
        <w:rPr>
          <w:rFonts w:cs="Calibri"/>
        </w:rPr>
        <w:fldChar w:fldCharType="end"/>
      </w:r>
      <w:r>
        <w:rPr>
          <w:rFonts w:cs="Calibri"/>
        </w:rPr>
        <w:t xml:space="preserve">. This project aims to understand how social media can be used for community resilience, which the literature notes requires a sustained level of communication in order to build linking social capital </w:t>
      </w:r>
      <w:r>
        <w:fldChar w:fldCharType="begin" w:fldLock="1"/>
      </w:r>
      <w:r>
        <w:rPr>
          <w:rFonts w:cs="Calibri"/>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India","type":"article-journal","volume":"19"},"uris":["http://www.mendeley.com/documents/?uuid=d8bcf27c-1efc-4c15-8204-cd8b37719dd2"]}],"mendeley":{"formattedCitation":"(Sanyal &amp; Routray, 2016)","plainTextFormattedCitation":"(Sanyal &amp; Routray, 2016)","previouslyFormattedCitation":"(Sanyal &amp; Routray, 2016)"},"properties":{"noteIndex":0},"schema":"https://github.com/citation-style-language/schema/raw/master/csl-citation.json"}</w:instrText>
      </w:r>
      <w:r>
        <w:rPr>
          <w:rFonts w:cs="Calibri"/>
        </w:rPr>
        <w:fldChar w:fldCharType="separate"/>
      </w:r>
      <w:r>
        <w:rPr>
          <w:rFonts w:cs="Calibri"/>
          <w:noProof/>
        </w:rPr>
        <w:t>(Sanyal &amp; Routray, 2016)</w:t>
      </w:r>
      <w:r>
        <w:rPr>
          <w:rFonts w:cs="Calibri"/>
        </w:rPr>
        <w:fldChar w:fldCharType="end"/>
      </w:r>
      <w:r>
        <w:rPr>
          <w:rFonts w:cs="Calibri"/>
        </w:rPr>
        <w:t xml:space="preserve">. To build linking social capital, there needs to be sustained contact and interaction between SYFR and the community, this interaction between SYFR and their social media followers on Twitter </w:t>
      </w:r>
      <w:r>
        <w:rPr>
          <w:rFonts w:cs="Calibri"/>
        </w:rPr>
        <w:lastRenderedPageBreak/>
        <w:t>can be viewed through mentions. Mentions can be viewed as active interactions, as this requires Twitter users to actively engage with SYFR</w:t>
      </w:r>
      <w:r w:rsidR="00332E2A">
        <w:rPr>
          <w:rFonts w:cs="Calibri"/>
        </w:rPr>
        <w:t>.</w:t>
      </w:r>
      <w:r>
        <w:rPr>
          <w:rFonts w:cs="Calibri"/>
        </w:rPr>
        <w:t xml:space="preserve"> </w:t>
      </w:r>
      <w:r w:rsidR="00332E2A">
        <w:rPr>
          <w:rFonts w:cs="Calibri"/>
        </w:rPr>
        <w:t>T</w:t>
      </w:r>
      <w:r>
        <w:rPr>
          <w:rFonts w:cs="Calibri"/>
        </w:rPr>
        <w:t xml:space="preserve">his includes adding SYFR into their tweet (@SYFR) or retweeting them and adding comments to those retweets. Again, the aim was to see whether people within South Yorkshire were actively engaging with SYFR’s tweets. </w:t>
      </w:r>
    </w:p>
    <w:p w14:paraId="3C2E9389" w14:textId="77777777" w:rsidR="00787F73" w:rsidRDefault="00787F73" w:rsidP="00866155">
      <w:pPr>
        <w:rPr>
          <w:rFonts w:cs="Calibri"/>
        </w:rPr>
      </w:pPr>
    </w:p>
    <w:p w14:paraId="61DEC2C4" w14:textId="77777777" w:rsidR="00787F73" w:rsidRDefault="00742FB7" w:rsidP="00866155">
      <w:r>
        <w:rPr>
          <w:rFonts w:cs="Calibri"/>
        </w:rPr>
        <w:t>To understand who is engaging with SYFR, I collected the location data of users who had interacted with them (@SYFR). It is important to note that th</w:t>
      </w:r>
      <w:r w:rsidR="00BC0904">
        <w:rPr>
          <w:rFonts w:cs="Calibri"/>
        </w:rPr>
        <w:t>e</w:t>
      </w:r>
      <w:r>
        <w:rPr>
          <w:rFonts w:cs="Calibri"/>
        </w:rPr>
        <w:t>s</w:t>
      </w:r>
      <w:r w:rsidR="00BC0904">
        <w:rPr>
          <w:rFonts w:cs="Calibri"/>
        </w:rPr>
        <w:t>e</w:t>
      </w:r>
      <w:r>
        <w:rPr>
          <w:rFonts w:cs="Calibri"/>
        </w:rPr>
        <w:t xml:space="preserve"> data were collected on the 12</w:t>
      </w:r>
      <w:r>
        <w:rPr>
          <w:rFonts w:cs="Calibri"/>
          <w:vertAlign w:val="superscript"/>
        </w:rPr>
        <w:t>th</w:t>
      </w:r>
      <w:r>
        <w:rPr>
          <w:rFonts w:cs="Calibri"/>
        </w:rPr>
        <w:t xml:space="preserve"> of October 2020, and the package that was used in RStudio only enables data from the last 30 days to be collected. Therefore, </w:t>
      </w:r>
      <w:r w:rsidR="00BC0904">
        <w:rPr>
          <w:rFonts w:cs="Calibri"/>
        </w:rPr>
        <w:t>these</w:t>
      </w:r>
      <w:r>
        <w:rPr>
          <w:rFonts w:cs="Calibri"/>
        </w:rPr>
        <w:t xml:space="preserve"> data can only show the interactions that SYFR had between the 12</w:t>
      </w:r>
      <w:r>
        <w:rPr>
          <w:rFonts w:cs="Calibri"/>
          <w:vertAlign w:val="superscript"/>
        </w:rPr>
        <w:t>th</w:t>
      </w:r>
      <w:r>
        <w:rPr>
          <w:rFonts w:cs="Calibri"/>
        </w:rPr>
        <w:t xml:space="preserve"> of September and the 12</w:t>
      </w:r>
      <w:r>
        <w:rPr>
          <w:rFonts w:cs="Calibri"/>
          <w:vertAlign w:val="superscript"/>
        </w:rPr>
        <w:t>th</w:t>
      </w:r>
      <w:r>
        <w:rPr>
          <w:rFonts w:cs="Calibri"/>
        </w:rPr>
        <w:t xml:space="preserve"> of October 2020. Figure 24 shows the locations of everyone who mentioned SYFR between September and October 2020. </w:t>
      </w:r>
    </w:p>
    <w:p w14:paraId="39E2B2D1" w14:textId="77777777" w:rsidR="00787F73" w:rsidRDefault="00787F73" w:rsidP="00866155">
      <w:pPr>
        <w:rPr>
          <w:rFonts w:cs="Calibri"/>
        </w:rPr>
      </w:pPr>
    </w:p>
    <w:p w14:paraId="48F2DF0E" w14:textId="77777777" w:rsidR="00787F73" w:rsidRDefault="00742FB7" w:rsidP="00866155">
      <w:r>
        <w:rPr>
          <w:noProof/>
        </w:rPr>
        <w:drawing>
          <wp:inline distT="0" distB="0" distL="0" distR="0" wp14:anchorId="4FF578A6" wp14:editId="17225166">
            <wp:extent cx="5742940" cy="3938270"/>
            <wp:effectExtent l="0" t="0" r="0" b="0"/>
            <wp:docPr id="2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8"/>
                    <pic:cNvPicPr>
                      <a:picLocks noChangeAspect="1" noChangeArrowheads="1"/>
                    </pic:cNvPicPr>
                  </pic:nvPicPr>
                  <pic:blipFill>
                    <a:blip r:embed="rId41"/>
                    <a:stretch>
                      <a:fillRect/>
                    </a:stretch>
                  </pic:blipFill>
                  <pic:spPr bwMode="auto">
                    <a:xfrm>
                      <a:off x="0" y="0"/>
                      <a:ext cx="5742940" cy="3938270"/>
                    </a:xfrm>
                    <a:prstGeom prst="rect">
                      <a:avLst/>
                    </a:prstGeom>
                  </pic:spPr>
                </pic:pic>
              </a:graphicData>
            </a:graphic>
          </wp:inline>
        </w:drawing>
      </w:r>
    </w:p>
    <w:p w14:paraId="286401D7" w14:textId="5BA8A2C9" w:rsidR="00787F73" w:rsidRDefault="00742FB7" w:rsidP="00A0151B">
      <w:pPr>
        <w:pStyle w:val="caption1"/>
        <w:jc w:val="center"/>
      </w:pPr>
      <w:bookmarkStart w:id="1017" w:name="_Toc153554404"/>
      <w:bookmarkStart w:id="1018" w:name="_Toc193367302"/>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24</w:t>
      </w:r>
      <w:r>
        <w:rPr>
          <w:rFonts w:cs="Calibri"/>
        </w:rPr>
        <w:fldChar w:fldCharType="end"/>
      </w:r>
      <w:r>
        <w:rPr>
          <w:rFonts w:cs="Calibri"/>
        </w:rPr>
        <w:t>: Mentions of @SYFR on Twitter - Unique locations; Source:</w:t>
      </w:r>
      <w:bookmarkEnd w:id="1017"/>
      <w:r>
        <w:rPr>
          <w:rFonts w:cs="Calibri"/>
        </w:rPr>
        <w:t xml:space="preserve"> Author</w:t>
      </w:r>
      <w:r w:rsidR="00B82875">
        <w:rPr>
          <w:rFonts w:cs="Calibri"/>
        </w:rPr>
        <w:t xml:space="preserve"> (October 2020)</w:t>
      </w:r>
      <w:r>
        <w:rPr>
          <w:rFonts w:cs="Calibri"/>
        </w:rPr>
        <w:t>.</w:t>
      </w:r>
      <w:bookmarkEnd w:id="1018"/>
    </w:p>
    <w:p w14:paraId="1FA76235" w14:textId="77777777" w:rsidR="00787F73" w:rsidRDefault="00742FB7" w:rsidP="00866155">
      <w:r>
        <w:rPr>
          <w:rFonts w:cs="Calibri"/>
        </w:rPr>
        <w:t xml:space="preserve">Similarly, to the follower data, a large proportion of those who interacted with SYFR did not declare their location, so it is unclear whether these are people who communicated with SYFR from within or outside of South Yorkshire. However, for the accounts that do list their </w:t>
      </w:r>
      <w:r>
        <w:rPr>
          <w:rFonts w:cs="Calibri"/>
        </w:rPr>
        <w:lastRenderedPageBreak/>
        <w:t xml:space="preserve">location, seven are within South Yorkshire (which repeats the trend from the followers’ data), with Sheffield being the largest declared location, followed by Rotherham. The unique locations were also collected for the mentions which were then retweeted, showing the spread of SYFR’s message and interactions. This graph also suggests that people who interacted with SYFR via mentions were from a variety of locations, both within the UK, but also across Europe, with individuals from Denmark tweeting using @SYFR. </w:t>
      </w:r>
      <w:r w:rsidR="00BC0904">
        <w:rPr>
          <w:rFonts w:cs="Calibri"/>
        </w:rPr>
        <w:t>These</w:t>
      </w:r>
      <w:r>
        <w:rPr>
          <w:rFonts w:cs="Calibri"/>
        </w:rPr>
        <w:t xml:space="preserve"> data also show some other locations, such as Moreton-in-Marsh, Gloucestershire, England, which is the location for the Fire Service College.</w:t>
      </w:r>
    </w:p>
    <w:p w14:paraId="736F6192" w14:textId="77777777" w:rsidR="00787F73" w:rsidRDefault="00787F73" w:rsidP="00866155">
      <w:pPr>
        <w:rPr>
          <w:rFonts w:cs="Calibri"/>
        </w:rPr>
      </w:pPr>
    </w:p>
    <w:p w14:paraId="12FF0179" w14:textId="389DC7F9" w:rsidR="00787F73" w:rsidRDefault="00C84401" w:rsidP="00866155">
      <w:pPr>
        <w:rPr>
          <w:rFonts w:cs="Calibri"/>
        </w:rPr>
      </w:pPr>
      <w:r w:rsidRPr="00010F12">
        <w:rPr>
          <w:rFonts w:cs="Calibri"/>
        </w:rPr>
        <w:t>While</w:t>
      </w:r>
      <w:r w:rsidR="00742FB7">
        <w:rPr>
          <w:rFonts w:cs="Calibri"/>
        </w:rPr>
        <w:t xml:space="preserve"> </w:t>
      </w:r>
      <w:r w:rsidR="00BC0904">
        <w:rPr>
          <w:rFonts w:cs="Calibri"/>
        </w:rPr>
        <w:t>these</w:t>
      </w:r>
      <w:r w:rsidR="00742FB7">
        <w:rPr>
          <w:rFonts w:cs="Calibri"/>
        </w:rPr>
        <w:t xml:space="preserve"> </w:t>
      </w:r>
      <w:r w:rsidR="00AC774B">
        <w:rPr>
          <w:rFonts w:cs="Calibri"/>
        </w:rPr>
        <w:t>findings</w:t>
      </w:r>
      <w:r w:rsidR="00742FB7">
        <w:rPr>
          <w:rFonts w:cs="Calibri"/>
        </w:rPr>
        <w:t xml:space="preserve"> suggest the location of the accounts who interacted with SYFR, </w:t>
      </w:r>
      <w:r w:rsidR="00673B70">
        <w:rPr>
          <w:rFonts w:cs="Calibri"/>
        </w:rPr>
        <w:t>these</w:t>
      </w:r>
      <w:r w:rsidR="00742FB7">
        <w:rPr>
          <w:rFonts w:cs="Calibri"/>
        </w:rPr>
        <w:t xml:space="preserve"> data do not include the type of account, namely whether they are a business account, personal, or spam/bot accounts. Further research could be conducted into the types of accounts which are following them to better understand whether they are sharing messages with individuals or businesses. Examining their follower base across all their social media accounts would enable them to target their messaging for different audiences and would enable SYFR to prioritise their communication to groups and individuals that require additional support to develop resilience. For instance, in conversations with SYFR, they noted that they have a different approach for other social media platforms, with their messaging on LinkedIn focusing more on recruitment and collaboration with other agencies, whereas Facebook is more about engaging with citizens. Within the social media logic this relates to </w:t>
      </w:r>
      <w:r w:rsidR="00742FB7">
        <w:rPr>
          <w:rFonts w:cs="Calibri"/>
          <w:i/>
          <w:iCs/>
        </w:rPr>
        <w:t>programmability</w:t>
      </w:r>
      <w:r w:rsidR="00742FB7">
        <w:rPr>
          <w:rFonts w:cs="Calibri"/>
        </w:rPr>
        <w:t xml:space="preserve"> </w:t>
      </w:r>
      <w:r w:rsidR="00742FB7">
        <w:fldChar w:fldCharType="begin" w:fldLock="1"/>
      </w:r>
      <w:r w:rsidR="00974B75">
        <w:rPr>
          <w:rFonts w:cs="Calibri"/>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sidR="00742FB7">
        <w:rPr>
          <w:rFonts w:cs="Calibri"/>
        </w:rPr>
        <w:fldChar w:fldCharType="separate"/>
      </w:r>
      <w:r w:rsidR="00742FB7">
        <w:rPr>
          <w:rFonts w:cs="Calibri"/>
          <w:noProof/>
        </w:rPr>
        <w:t>(van Dijck &amp; Poell, 2013)</w:t>
      </w:r>
      <w:r w:rsidR="00742FB7">
        <w:rPr>
          <w:rFonts w:cs="Calibri"/>
        </w:rPr>
        <w:fldChar w:fldCharType="end"/>
      </w:r>
      <w:r w:rsidR="00742FB7">
        <w:rPr>
          <w:rFonts w:cs="Calibri"/>
        </w:rPr>
        <w:t>, describing the platforms architecture and how it is used; for instance, YouTube is for watching and sharing videos and LinkedIn is for public relations and recruitment. SYFR had already started to change their strategy for each platform with each member of the Communications team taking on a different platform (Facebook, Twitter, LinkedIn, and Instagram) to ensure that the channels were effectively monitored:</w:t>
      </w:r>
    </w:p>
    <w:p w14:paraId="5BE833EE" w14:textId="77777777" w:rsidR="000717BA" w:rsidRDefault="000717BA" w:rsidP="00866155"/>
    <w:p w14:paraId="761D1B68" w14:textId="77777777" w:rsidR="00787F73" w:rsidRDefault="00742FB7" w:rsidP="00866155">
      <w:pPr>
        <w:ind w:left="709" w:right="663"/>
      </w:pPr>
      <w:r>
        <w:rPr>
          <w:rStyle w:val="QuoteChar"/>
        </w:rPr>
        <w:t xml:space="preserve">“we decided to have a go at having different people leading different channels… To make sure they’re updated, it might have a bit of a clearer tone of voice as well.” </w:t>
      </w:r>
      <w:r>
        <w:rPr>
          <w:rFonts w:cs="Calibri"/>
        </w:rPr>
        <w:t>(SM</w:t>
      </w:r>
      <w:r w:rsidR="0044412F">
        <w:rPr>
          <w:rFonts w:cs="Calibri"/>
        </w:rPr>
        <w:t xml:space="preserve"> interview</w:t>
      </w:r>
      <w:r>
        <w:rPr>
          <w:rFonts w:cs="Calibri"/>
        </w:rPr>
        <w:t xml:space="preserve"> 23.11.20)</w:t>
      </w:r>
    </w:p>
    <w:p w14:paraId="55B15ED7" w14:textId="77777777" w:rsidR="000717BA" w:rsidRDefault="000717BA" w:rsidP="00866155">
      <w:pPr>
        <w:rPr>
          <w:rFonts w:cs="Calibri"/>
        </w:rPr>
      </w:pPr>
    </w:p>
    <w:p w14:paraId="109033E7" w14:textId="77777777" w:rsidR="00787F73" w:rsidRDefault="00742FB7" w:rsidP="00866155">
      <w:pPr>
        <w:rPr>
          <w:rFonts w:cs="Calibri"/>
        </w:rPr>
      </w:pPr>
      <w:r>
        <w:rPr>
          <w:rFonts w:cs="Calibri"/>
        </w:rPr>
        <w:lastRenderedPageBreak/>
        <w:t xml:space="preserve">To examine the active engagement with SYFR, one can view mentions, and retweets. Retweets are when an account shares SYFR’s social media post to their own followers, and they can add their own comments. Figure 25 shows the retweet data. </w:t>
      </w:r>
    </w:p>
    <w:p w14:paraId="0723D793" w14:textId="77777777" w:rsidR="000717BA" w:rsidRDefault="000717BA" w:rsidP="00866155"/>
    <w:p w14:paraId="0511CDCA" w14:textId="77777777" w:rsidR="00787F73" w:rsidRDefault="00742FB7" w:rsidP="00866155">
      <w:r>
        <w:rPr>
          <w:noProof/>
        </w:rPr>
        <w:drawing>
          <wp:inline distT="0" distB="0" distL="0" distR="0" wp14:anchorId="1A996869" wp14:editId="0A473A06">
            <wp:extent cx="5730875" cy="3877310"/>
            <wp:effectExtent l="0" t="0" r="0" b="0"/>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pic:cNvPicPr>
                      <a:picLocks noChangeAspect="1" noChangeArrowheads="1"/>
                    </pic:cNvPicPr>
                  </pic:nvPicPr>
                  <pic:blipFill>
                    <a:blip r:embed="rId42"/>
                    <a:stretch>
                      <a:fillRect/>
                    </a:stretch>
                  </pic:blipFill>
                  <pic:spPr bwMode="auto">
                    <a:xfrm>
                      <a:off x="0" y="0"/>
                      <a:ext cx="5730875" cy="3877310"/>
                    </a:xfrm>
                    <a:prstGeom prst="rect">
                      <a:avLst/>
                    </a:prstGeom>
                  </pic:spPr>
                </pic:pic>
              </a:graphicData>
            </a:graphic>
          </wp:inline>
        </w:drawing>
      </w:r>
    </w:p>
    <w:p w14:paraId="17107861" w14:textId="4B23ACD1" w:rsidR="00787F73" w:rsidRDefault="00742FB7" w:rsidP="00A0151B">
      <w:pPr>
        <w:pStyle w:val="caption1"/>
        <w:jc w:val="center"/>
      </w:pPr>
      <w:bookmarkStart w:id="1019" w:name="_Toc153554405"/>
      <w:bookmarkStart w:id="1020" w:name="_Toc193367303"/>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25</w:t>
      </w:r>
      <w:r>
        <w:rPr>
          <w:rFonts w:cs="Calibri"/>
        </w:rPr>
        <w:fldChar w:fldCharType="end"/>
      </w:r>
      <w:r>
        <w:rPr>
          <w:rFonts w:cs="Calibri"/>
        </w:rPr>
        <w:t xml:space="preserve">: Mentions of @SYFR with retweets – unique locations; Source: </w:t>
      </w:r>
      <w:bookmarkEnd w:id="1019"/>
      <w:r>
        <w:rPr>
          <w:rFonts w:cs="Calibri"/>
        </w:rPr>
        <w:t>Author</w:t>
      </w:r>
      <w:r w:rsidR="00B82875">
        <w:rPr>
          <w:rFonts w:cs="Calibri"/>
        </w:rPr>
        <w:t xml:space="preserve"> (October 2020)</w:t>
      </w:r>
      <w:r>
        <w:rPr>
          <w:rFonts w:cs="Calibri"/>
        </w:rPr>
        <w:t>.</w:t>
      </w:r>
      <w:bookmarkEnd w:id="1020"/>
    </w:p>
    <w:p w14:paraId="6DE6EB57" w14:textId="77777777" w:rsidR="00787F73" w:rsidRDefault="00742FB7" w:rsidP="00866155">
      <w:r>
        <w:rPr>
          <w:rFonts w:cs="Calibri"/>
        </w:rPr>
        <w:t xml:space="preserve">Figure 25 shows the locations of accounts that retweets SYFR’s posts, and again shows how ‘Not Declared’ and Sheffield have most people interacting with SYFR. This again shows how the top interaction locations with SYFR were the South Yorkshire urban centres, such as Rotherham, Doncaster, and Barnsley. This graph shows that for the time-period, most people retweeting were within South Yorkshire, bar the retweet which came from Moreton-in-Marsh. This shows how the actual interactions (mentions and retweets) with SYFR appear to be from accounts reporting to be within South Yorkshire, indicating that their messages were being received and engaged with by accounts located in South Yorkshire community. </w:t>
      </w:r>
    </w:p>
    <w:p w14:paraId="4EDF5B18" w14:textId="77777777" w:rsidR="00787F73" w:rsidRDefault="00787F73" w:rsidP="00866155">
      <w:pPr>
        <w:rPr>
          <w:rFonts w:cs="Calibri"/>
        </w:rPr>
      </w:pPr>
    </w:p>
    <w:p w14:paraId="69B69689" w14:textId="77777777" w:rsidR="00787F73" w:rsidRDefault="00742FB7" w:rsidP="00866155">
      <w:r>
        <w:rPr>
          <w:rFonts w:cs="Calibri"/>
        </w:rPr>
        <w:t>This focus within the communications sector of quantifying impact via metrics can be seen within SYFR’s communication reports, such as shown in figure 26, which included this page on social media performance in January and February 2019.</w:t>
      </w:r>
    </w:p>
    <w:p w14:paraId="1CB9F86A" w14:textId="77777777" w:rsidR="00787F73" w:rsidRDefault="00742FB7" w:rsidP="00866155">
      <w:pPr>
        <w:keepNext/>
      </w:pPr>
      <w:r>
        <w:rPr>
          <w:noProof/>
        </w:rPr>
        <w:lastRenderedPageBreak/>
        <w:drawing>
          <wp:inline distT="0" distB="0" distL="0" distR="0" wp14:anchorId="69899C4B" wp14:editId="78120FD2">
            <wp:extent cx="5730875" cy="3713281"/>
            <wp:effectExtent l="0" t="0" r="3175" b="1905"/>
            <wp:docPr id="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7"/>
                    <pic:cNvPicPr>
                      <a:picLocks noChangeAspect="1" noChangeArrowheads="1"/>
                    </pic:cNvPicPr>
                  </pic:nvPicPr>
                  <pic:blipFill rotWithShape="1">
                    <a:blip r:embed="rId43"/>
                    <a:srcRect t="8415"/>
                    <a:stretch/>
                  </pic:blipFill>
                  <pic:spPr bwMode="auto">
                    <a:xfrm>
                      <a:off x="0" y="0"/>
                      <a:ext cx="5730875" cy="3713281"/>
                    </a:xfrm>
                    <a:prstGeom prst="rect">
                      <a:avLst/>
                    </a:prstGeom>
                    <a:ln>
                      <a:noFill/>
                    </a:ln>
                    <a:extLst>
                      <a:ext uri="{53640926-AAD7-44D8-BBD7-CCE9431645EC}">
                        <a14:shadowObscured xmlns:a14="http://schemas.microsoft.com/office/drawing/2010/main"/>
                      </a:ext>
                    </a:extLst>
                  </pic:spPr>
                </pic:pic>
              </a:graphicData>
            </a:graphic>
          </wp:inline>
        </w:drawing>
      </w:r>
    </w:p>
    <w:p w14:paraId="257BAA8A" w14:textId="2DB07CC4" w:rsidR="00787F73" w:rsidRDefault="00742FB7" w:rsidP="00A0151B">
      <w:pPr>
        <w:pStyle w:val="caption1"/>
        <w:jc w:val="center"/>
      </w:pPr>
      <w:bookmarkStart w:id="1021" w:name="_Toc153554406"/>
      <w:bookmarkStart w:id="1022" w:name="_Toc193367304"/>
      <w:r>
        <w:rPr>
          <w:rFonts w:cs="Calibri"/>
        </w:rPr>
        <w:t xml:space="preserve">Figure </w:t>
      </w:r>
      <w:r>
        <w:rPr>
          <w:rFonts w:cs="Calibri"/>
        </w:rPr>
        <w:fldChar w:fldCharType="begin"/>
      </w:r>
      <w:r>
        <w:rPr>
          <w:rFonts w:cs="Calibri"/>
        </w:rPr>
        <w:instrText xml:space="preserve"> SEQ Figure \* ARABIC </w:instrText>
      </w:r>
      <w:r>
        <w:rPr>
          <w:rFonts w:cs="Calibri"/>
        </w:rPr>
        <w:fldChar w:fldCharType="separate"/>
      </w:r>
      <w:r w:rsidR="00132F53">
        <w:rPr>
          <w:rFonts w:cs="Calibri"/>
          <w:noProof/>
        </w:rPr>
        <w:t>26</w:t>
      </w:r>
      <w:r>
        <w:rPr>
          <w:rFonts w:cs="Calibri"/>
        </w:rPr>
        <w:fldChar w:fldCharType="end"/>
      </w:r>
      <w:r>
        <w:rPr>
          <w:rFonts w:cs="Calibri"/>
        </w:rPr>
        <w:t>:</w:t>
      </w:r>
      <w:r w:rsidR="00B82875">
        <w:rPr>
          <w:rFonts w:cs="Calibri"/>
        </w:rPr>
        <w:t xml:space="preserve"> Social media performance (</w:t>
      </w:r>
      <w:r>
        <w:rPr>
          <w:rFonts w:cs="Calibri"/>
        </w:rPr>
        <w:t>SYFR Communication Report – January – February 2019</w:t>
      </w:r>
      <w:r w:rsidR="00B82875">
        <w:rPr>
          <w:rFonts w:cs="Calibri"/>
        </w:rPr>
        <w:t xml:space="preserve">; </w:t>
      </w:r>
      <w:r>
        <w:rPr>
          <w:rFonts w:cs="Calibri"/>
        </w:rPr>
        <w:t>pg3</w:t>
      </w:r>
      <w:bookmarkEnd w:id="1021"/>
      <w:r w:rsidR="00B82875">
        <w:rPr>
          <w:rFonts w:cs="Calibri"/>
        </w:rPr>
        <w:t>)</w:t>
      </w:r>
      <w:r>
        <w:rPr>
          <w:rFonts w:cs="Calibri"/>
        </w:rPr>
        <w:t>.</w:t>
      </w:r>
      <w:bookmarkEnd w:id="1022"/>
    </w:p>
    <w:p w14:paraId="144A342C" w14:textId="77777777" w:rsidR="00787F73" w:rsidRDefault="00742FB7" w:rsidP="00866155">
      <w:r>
        <w:rPr>
          <w:rFonts w:cs="Calibri"/>
        </w:rPr>
        <w:t xml:space="preserve">In Figure 26, we can see how the Communications team have not only provided the quantitative data but have also provided the additional information about their engagement, such as the posts that received support, and the people and stories behind the numbers. However, this still focused on measures such as followers, which, as discussed in the section above, included accounts which were located outside of South Yorkshire, and it is unknown whether these are citizens, businesses, or bots. This means the figures and statements within this communications report, and other documents which use these metrics, can be viewed as misleading, as they do not capture the nuance of the social media data. This implies the influence of a social media logic </w:t>
      </w:r>
      <w:r>
        <w:fldChar w:fldCharType="begin" w:fldLock="1"/>
      </w:r>
      <w:r>
        <w:rPr>
          <w:rFonts w:cs="Calibri"/>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Pr>
          <w:rFonts w:cs="Calibri"/>
        </w:rPr>
        <w:fldChar w:fldCharType="separate"/>
      </w:r>
      <w:r>
        <w:rPr>
          <w:rFonts w:cs="Calibri"/>
          <w:noProof/>
        </w:rPr>
        <w:t>(van Dijck &amp; Poell, 2013)</w:t>
      </w:r>
      <w:r>
        <w:rPr>
          <w:rFonts w:cs="Calibri"/>
        </w:rPr>
        <w:fldChar w:fldCharType="end"/>
      </w:r>
      <w:r>
        <w:rPr>
          <w:rFonts w:cs="Calibri"/>
        </w:rPr>
        <w:t xml:space="preserve">, as well as NPM logics </w:t>
      </w:r>
      <w:r>
        <w:fldChar w:fldCharType="begin" w:fldLock="1"/>
      </w:r>
      <w:r w:rsidR="00974B75">
        <w:rPr>
          <w:rFonts w:cs="Calibri"/>
        </w:rPr>
        <w:instrText>ADDIN CSL_CITATION {"citationItems":[{"id":"ITEM-1","itemData":{"DOI":"http://dx.doi.org/10.1108/MRR-09-2015-0216","ISBN":"0001253111116","ISSN":"0264-0473","PMID":"42012058","abstract":"Abstract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Journal","id":"ITEM-1","issue":"1/2","issued":{"date-parts":[["2019"]]},"page":"134-151","title":"The impact of new public management through outsourcing on the management of government information: The case of Sweden","type":"article-journal","volume":"29"},"uris":["http://www.mendeley.com/documents/?uuid=4524732a-155c-4c93-922f-cd3a912b45c2"]},{"id":"ITEM-2","itemData":{"DOI":"10.1177/1440783309346472","ISSN":"17412978","author":[{"dropping-particle":"","family":"Connell","given":"Raewyn","non-dropping-particle":"","parse-names":false,"suffix":""},{"dropping-particle":"","family":"Fawcett","given":"Barbara","non-dropping-particle":"","parse-names":false,"suffix":""},{"dropping-particle":"","family":"Meagher","given":"Gabrielle","non-dropping-particle":"","parse-names":false,"suffix":""}],"container-title":"Journal of Sociology","id":"ITEM-2","issue":"4","issued":{"date-parts":[["2009"]]},"page":"331-338","title":"Neoliberalism, new public management and the human service professions","type":"article-journal","volume":"45"},"uris":["http://www.mendeley.com/documents/?uuid=2eaf93b2-17b1-4a88-9a1e-3eb392d9d30f"]},{"id":"ITEM-3","itemData":{"DOI":"10.1016/0361-3682(93)E0001-W","ISSN":"03613682","abstract":"Changes in public sector accounting in a number of OECD countries over the 1980s were central to the rise of the \"New Public Management\" (NPM) and its associated doctrines of public accountability and organizational best practice. This paper discusses the rise of NPM as an alternative to the tradition of public accountability embodied in progressive-era public administration ideas. It argues that, in spite of allegations of internationalization and the adoption of a new global paradigm in public management, there was considerable variation in the extent to which different OECD countries adopted NPM over the 1980s. It further argues that conventional explanations of the rise of NPM (\"Englishness\", party political incumbency, economic performance record and government size) seem hard to sustain even from a relatively brief inspection of such cross-national data as are available, and that an explanation based on initial endowment may give us a different perspective on those changes. © 1995.","author":[{"dropping-particle":"","family":"Hood","given":"Christopher","non-dropping-particle":"","parse-names":false,"suffix":""}],"container-title":"Accounting, Organizations and Society","id":"ITEM-3","issue":"2/3","issued":{"date-parts":[["1995"]]},"page":"93-109","title":"The \"New Public Management\" in the 1980s: Variations on a theme","type":"article-journal","volume":"20"},"uris":["http://www.mendeley.com/documents/?uuid=7c2fc97b-7560-4c74-9a7c-9a0f44e73949"]},{"id":"ITEM-4","itemData":{"DOI":"10.1002/eet.1806","ISSN":"17569338","abstract":"Scholarship around questions of climate change adaptation is increasingly concerned with ideas of transformative adaptation and its governance through critical re-evaluation of beliefs, values and associated institutions. For public policy sectors, the concept of transformative governance brings attention to their capacities for supporting and engaging in such governance. While much adaptation research and practice informs technical and structural understandings of these capacities (e.g., governance arrangements, learning systems and adaptation planning), most of this research (and practice) has ignored less formal, yet equally important dimensions of public administration and governance. Institutional scholarship highlights that dominant norms, beliefs, and philosophical ideas underpin how policy sectors structure their policy responses and engagement in governance. Discursive Institutionalism suggests that examining a sector's dominant discourse can provide insights into these “institutional logics”. This paper therefore argues that understanding a policy sector's institutional logics is a crucial part of working toward enabling transformative governance of adaptation. This argument is developed through a case study of the institutional logics operating in the fire management policy sector of Victoria, Australia, and the potential influence of these logics on that sector's capacities to engage in transformative governance. Findings suggest this sector's institutional logics may currently constrain its capacities to engage in transformative governance and highlight the need for greater attention to socioinstitutional dimensions of public administration to help catalyze transformative governance of (and for) adaptation.","author":[{"dropping-particle":"","family":"Bosomworth","given":"Karyn","non-dropping-particle":"","parse-names":false,"suffix":""}],"container-title":"Environmental Policy and Governance","id":"ITEM-4","issue":"6","issued":{"date-parts":[["2018"]]},"page":"415-425","title":"A discursive–institutional perspective on transformative governance: A case from a fire management policy sector","type":"article-journal","volume":"28"},"uris":["http://www.mendeley.com/documents/?uuid=8fcbef0f-fc3c-4653-aeb2-13d404d551e5"]},{"id":"ITEM-5","itemData":{"DOI":"10.1111/padm.12005","ISSN":"00333298","abstract":"Based on empirical research with two non-profit organizations, this article critiques structural explanations of non-profit service innovation, which portray innovation as a response to institutional contexts and downplay the power and role of human agents. We offer, instead, a conceptualization of non-profit innovation in which human agency - and its interplay with institutional logics - is an integral feature. Specifically, we outline the ways in which non-profit actors draw upon the competing institutional logics available to them to frame and serve their interests. We find that actors' assumptions and beliefs about the organization's role in the institutional field and the practice of normative, discursive work are central tenets of both the maintenance and transformation of institutions. We also find instances of service stability and service innovation ensuing from non-profit actors' agency in infusing organizational practices with interpretations and elaborations of institutional logics. © 2013 John Wiley &amp; Sons Ltd.","author":[{"dropping-particle":"","family":"Coule","given":"Tracey","non-dropping-particle":"","parse-names":false,"suffix":""},{"dropping-particle":"","family":"Patmore","given":"Beth","non-dropping-particle":"","parse-names":false,"suffix":""}],"container-title":"Public Administration","id":"ITEM-5","issue":"4","issued":{"date-parts":[["2013"]]},"page":"980-997","title":"Institutional logics, institutional work, and public service innovation in non-profit organizations","type":"article-journal","volume":"91"},"uris":["http://www.mendeley.com/documents/?uuid=5ee53fde-2479-4fb6-8060-8f41cf289650"]}],"mendeley":{"formattedCitation":"(Svärd, 2019; Bosomworth, 2018; Coule &amp; Patmore, 2013; Connell, Fawcett, &amp; Meagher, 2009; Hood, 1995)","plainTextFormattedCitation":"(Svärd, 2019; Bosomworth, 2018; Coule &amp; Patmore, 2013; Connell, Fawcett, &amp; Meagher, 2009; Hood, 1995)","previouslyFormattedCitation":"(Svärd, 2019; Bosomworth, 2018; Coule &amp; Patmore, 2013; Connell, Fawcett, &amp; Meagher, 2009; Hood, 1995)"},"properties":{"noteIndex":0},"schema":"https://github.com/citation-style-language/schema/raw/master/csl-citation.json"}</w:instrText>
      </w:r>
      <w:r>
        <w:rPr>
          <w:rFonts w:cs="Calibri"/>
        </w:rPr>
        <w:fldChar w:fldCharType="separate"/>
      </w:r>
      <w:r>
        <w:rPr>
          <w:rFonts w:cs="Calibri"/>
          <w:noProof/>
        </w:rPr>
        <w:t>(Svärd, 2019; Bosomworth, 2018; Coule &amp; Patmore, 2013; Connell, Fawcett, &amp; Meagher, 2009; Hood, 1995)</w:t>
      </w:r>
      <w:r>
        <w:rPr>
          <w:rFonts w:cs="Calibri"/>
        </w:rPr>
        <w:fldChar w:fldCharType="end"/>
      </w:r>
      <w:r>
        <w:rPr>
          <w:rFonts w:cs="Calibri"/>
        </w:rPr>
        <w:t>, with a drive for SYFR to be seen engaging on social media, and quantifying their engagement to prove performance.</w:t>
      </w:r>
    </w:p>
    <w:p w14:paraId="7DC02CC2" w14:textId="77777777" w:rsidR="00787F73" w:rsidRDefault="00787F73" w:rsidP="00866155">
      <w:pPr>
        <w:rPr>
          <w:rFonts w:cs="Calibri"/>
        </w:rPr>
      </w:pPr>
    </w:p>
    <w:p w14:paraId="50821832" w14:textId="39E2DD98" w:rsidR="00787F73" w:rsidRDefault="00742FB7" w:rsidP="00866155">
      <w:r>
        <w:rPr>
          <w:rFonts w:cs="Calibri"/>
        </w:rPr>
        <w:t xml:space="preserve">As discussed in RQ1 and RQ2, the focus on audience reach is a flawed method of measuring engagement and can be viewed as vanity metrics. As well as the inclusion of </w:t>
      </w:r>
      <w:r>
        <w:rPr>
          <w:rFonts w:cs="Calibri"/>
          <w:i/>
          <w:iCs/>
        </w:rPr>
        <w:t>interactions</w:t>
      </w:r>
      <w:r>
        <w:rPr>
          <w:rFonts w:cs="Calibri"/>
        </w:rPr>
        <w:t xml:space="preserve">, which includes passive as well as active engagement. </w:t>
      </w:r>
      <w:r w:rsidR="00C84401" w:rsidRPr="00010F12">
        <w:rPr>
          <w:rFonts w:cs="Calibri"/>
        </w:rPr>
        <w:t>While</w:t>
      </w:r>
      <w:r>
        <w:rPr>
          <w:rFonts w:cs="Calibri"/>
        </w:rPr>
        <w:t xml:space="preserve"> these metrics are flawed as a method, when viewing SYFR’s Twitter follower data, this is compounded as these metrics </w:t>
      </w:r>
      <w:r>
        <w:rPr>
          <w:rFonts w:cs="Calibri"/>
        </w:rPr>
        <w:lastRenderedPageBreak/>
        <w:t xml:space="preserve">include people who may not have been in South Yorkshire; therefore, these metrics cannot be used as evidence of communicating or connecting with people within South Yorkshire. </w:t>
      </w:r>
    </w:p>
    <w:p w14:paraId="29E70A9C" w14:textId="77777777" w:rsidR="00787F73" w:rsidRDefault="00787F73" w:rsidP="00866155">
      <w:pPr>
        <w:rPr>
          <w:rFonts w:cs="Calibri"/>
        </w:rPr>
      </w:pPr>
    </w:p>
    <w:p w14:paraId="1F8ED159" w14:textId="77777777" w:rsidR="00787F73" w:rsidRDefault="00742FB7" w:rsidP="00866155">
      <w:pPr>
        <w:pStyle w:val="Heading3"/>
      </w:pPr>
      <w:bookmarkStart w:id="1023" w:name="_Toc152777236"/>
      <w:bookmarkStart w:id="1024" w:name="_Toc158371087"/>
      <w:bookmarkStart w:id="1025" w:name="_Toc158371020"/>
      <w:bookmarkStart w:id="1026" w:name="_Toc149724683"/>
      <w:bookmarkStart w:id="1027" w:name="_Toc152952932"/>
      <w:bookmarkStart w:id="1028" w:name="_Toc152953895"/>
      <w:bookmarkStart w:id="1029" w:name="_Toc153205127"/>
      <w:bookmarkStart w:id="1030" w:name="_Toc193367257"/>
      <w:r>
        <w:t>6.2.3: Discussion</w:t>
      </w:r>
      <w:bookmarkEnd w:id="1023"/>
      <w:bookmarkEnd w:id="1024"/>
      <w:bookmarkEnd w:id="1025"/>
      <w:bookmarkEnd w:id="1026"/>
      <w:bookmarkEnd w:id="1027"/>
      <w:bookmarkEnd w:id="1028"/>
      <w:bookmarkEnd w:id="1029"/>
      <w:bookmarkEnd w:id="1030"/>
    </w:p>
    <w:p w14:paraId="45021288" w14:textId="77777777" w:rsidR="00787F73" w:rsidRDefault="00742FB7" w:rsidP="00866155">
      <w:r>
        <w:rPr>
          <w:rFonts w:cs="Calibri"/>
        </w:rPr>
        <w:t xml:space="preserve">The data from this section highlights a challenge for SYFR and other organisations conducting PICs which use social media metrics as a form of evaluation. The use of these implies that the campaign has reached a certain number of people, and that their PIC messages have been shared with their intended population. However, as </w:t>
      </w:r>
      <w:r w:rsidR="00673B70">
        <w:rPr>
          <w:rFonts w:cs="Calibri"/>
        </w:rPr>
        <w:t>these</w:t>
      </w:r>
      <w:r>
        <w:rPr>
          <w:rFonts w:cs="Calibri"/>
        </w:rPr>
        <w:t xml:space="preserve"> </w:t>
      </w:r>
      <w:r w:rsidR="00500023">
        <w:rPr>
          <w:rFonts w:cs="Calibri"/>
        </w:rPr>
        <w:t>findings have</w:t>
      </w:r>
      <w:r>
        <w:rPr>
          <w:rFonts w:cs="Calibri"/>
        </w:rPr>
        <w:t xml:space="preserve">s shown, in the case of SYFR this appeared to not be the case. </w:t>
      </w:r>
    </w:p>
    <w:p w14:paraId="7B8DC504" w14:textId="77777777" w:rsidR="00787F73" w:rsidRDefault="00787F73" w:rsidP="00866155">
      <w:pPr>
        <w:rPr>
          <w:rFonts w:cs="Calibri"/>
        </w:rPr>
      </w:pPr>
    </w:p>
    <w:p w14:paraId="08CC33F3" w14:textId="115D9396" w:rsidR="00787F73" w:rsidRDefault="00742FB7" w:rsidP="00866155">
      <w:r>
        <w:rPr>
          <w:rFonts w:cs="Calibri"/>
        </w:rPr>
        <w:t>The previous research questions have shown why there is the drive to use these measures, such as New Public Management (NPM) logics and state logics from the Fire and Rescue Services Act (FRSA) (2004)</w:t>
      </w:r>
      <w:r w:rsidR="00332E2A">
        <w:rPr>
          <w:rFonts w:cs="Calibri"/>
        </w:rPr>
        <w:t>.</w:t>
      </w:r>
      <w:r>
        <w:rPr>
          <w:rFonts w:cs="Calibri"/>
        </w:rPr>
        <w:t xml:space="preserve"> </w:t>
      </w:r>
      <w:r w:rsidR="00332E2A">
        <w:rPr>
          <w:rFonts w:cs="Calibri"/>
        </w:rPr>
        <w:t>H</w:t>
      </w:r>
      <w:r>
        <w:rPr>
          <w:rFonts w:cs="Calibri"/>
        </w:rPr>
        <w:t xml:space="preserve">owever, </w:t>
      </w:r>
      <w:r w:rsidR="00673B70">
        <w:rPr>
          <w:rFonts w:cs="Calibri"/>
        </w:rPr>
        <w:t>these findings have</w:t>
      </w:r>
      <w:r>
        <w:rPr>
          <w:rFonts w:cs="Calibri"/>
        </w:rPr>
        <w:t xml:space="preserve"> shown that these metrics are potentially misleading. That is not to say that those who have read and engaged with their PIC have not changed their behaviour, as their campaign evaluations do show reductions in reported fires, however, this thesis would just highlight that these measurements are not capturing the realistic data and cannot indicate behaviour change. This is supported by the literature which notes that there is no way to ascertain whether online messages have led to behaviour change </w:t>
      </w:r>
      <w:r>
        <w:fldChar w:fldCharType="begin" w:fldLock="1"/>
      </w:r>
      <w:r>
        <w:rPr>
          <w:rFonts w:cs="Calibri"/>
        </w:rPr>
        <w:instrText>ADDIN CSL_CITATION {"citationItems":[{"id":"ITEM-1","itemData":{"DOI":"10.1080/10410236.2016.1242035","ISSN":"15327027","abstract":"The past decade has witnessed a rapid increase in the use of Social Networking Sites (SNSs) in health communication campaigns seeking to achieve an ambitious range of health-related impacts. This article provides a review of 40 studies and research protocols, with a focus on two key factors that differentiate SNSs from more traditional health communication approaches of the past. The first is the potential dualism between message sender and receiver, in which receivers become receiver-sources who forward and amplify the content and reach of health messages. The second is the potential dualism between message and message impact, in which the act of forwarding and modifying messages by receiver-sources itself becomes a measure of message impact. Each of these dualisms has implications for the design and evaluation of contemporary health communication campaigns. The review concludes with a series of observations and recommendations for future health communication research.","author":[{"dropping-particle":"","family":"Shi","given":"Jingyuan","non-dropping-particle":"","parse-names":false,"suffix":""},{"dropping-particle":"","family":"Poorisat","given":"Thanomwong","non-dropping-particle":"","parse-names":false,"suffix":""},{"dropping-particle":"","family":"Salmon","given":"Charles T.","non-dropping-particle":"","parse-names":false,"suffix":""}],"container-title":"Health Communication","id":"ITEM-1","issue":"1","issued":{"date-parts":[["2018"]]},"page":"49-56","publisher":"Routledge","title":"The Use of Social Networking Sites (SNSs) in Health Communication Campaigns: Review and Recommendations","type":"article-journal","volume":"33"},"uris":["http://www.mendeley.com/documents/?uuid=e3561fe4-28da-4d20-9a8e-4f55319bff65"]},{"id":"ITEM-2","itemData":{"DOI":"10.1371/journal.pone.0162765","ISSN":"19326203","abstract":"Facebook, the most widely used social media platform, has been adopted by public health organisations for health promotion and behaviour change campaigns and activities. However, limited information is available on the most effective and efficient use of Facebook for this purpose. This study sought to identify the features of Facebook posts that are associated with higher user engagement on Australian public health organisations' Facebook pages. We selected 20 eligible pages through a systematic search and coded 360-days of posts for each page. Posts were coded by: post type (e.g., photo, text only etc.), communication technique employed (e.g. testimonial, informative etc.) and use of marketing elements (e.g., branding, use of mascots). A series of negative binomial regressions were used to assess associations between post characteristics and user engagement as measured by the number of likes, shares and comments. Our results showed that video posts attracted the greatest amount of user engagement, although an analysis of a subset of the data suggested this may be a reflection of the Facebook algorithm, which governs what is and is not shown in user newsfeeds and appear to preference videos over other post types. Posts that featured a positive emotional appeal or provided factual information attracted higher levels of user engagement, while conventional marketing elements, such as sponsorships and the use of persons of authority, generally discouraged user engagement, with the exception of posts that included a celebrity or sportsperson. Our results give insight into post content that maximises user engagement and begins to fill the knowledge gap on effective use of Facebook by public health organisations.","author":[{"dropping-particle":"","family":"Kite","given":"James","non-dropping-particle":"","parse-names":false,"suffix":""},{"dropping-particle":"","family":"Foley","given":"Bridget C.","non-dropping-particle":"","parse-names":false,"suffix":""},{"dropping-particle":"","family":"Grunseit","given":"Anne C.","non-dropping-particle":"","parse-names":false,"suffix":""},{"dropping-particle":"","family":"Freeman","given":"Becky","non-dropping-particle":"","parse-names":false,"suffix":""}],"container-title":"PLoS ONE","id":"ITEM-2","issue":"9","issued":{"date-parts":[["2016"]]},"page":"1-16","title":"Please like me: Facebook and public health communication","type":"article-journal","volume":"11"},"uris":["http://www.mendeley.com/documents/?uuid=f74377df-9fe0-4362-a0e9-009cfbcd65bb"]},{"id":"ITEM-3","itemData":{"DOI":"10.2196/publichealth.6313","ISSN":"2369-2960","abstract":"Background: Social media public health campaigns have the advantage of tailored messaging at low cost and large reach, but little is known about what would determine their feasibility as tools for inducing attitude and behavior change. Objective: The aim of this study was to test the feasibility of designing, implementing, and evaluating a social media–enabled intervention for skin cancer prevention. Methods: A quasi-experimental feasibility study used social media (Twitter) to disseminate different message “frames” related to care in the sun and cancer prevention. Phase 1 utilized the Northern Ireland cancer charity’s Twitter platform (May 1 to July 14, 2015). Following a 2-week “washout” period, Phase 2 commenced (August 1 to September 30, 2015) using a bespoke Twitter platform. Phase 2 also included a Thunderclap, whereby users allowed their social media accounts to automatically post a bespoke message on their behalf. Message frames were categorized into 5 broad categories: humor, shock or disgust, informative, personal stories, and opportunistic. Seed users with a notable following were contacted to be “influencers” in retweeting campaign content. A pre- and postintervention Web-based survey recorded skin cancer prevention knowledge and attitudes in Northern Ireland (population 1.8 million). Results: There were a total of 417,678 tweet impressions, 11,213 engagements, and 1211 retweets related to our campaign. Shocking messages generated the greatest impressions (shock, n=2369; informative, n=2258; humorous, n=1458; story, n=1680), whereas humorous messages generated greater engagement (humorous, n=148; shock, n=147; story, n=117; informative, n=100) and greater engagement rates compared with story tweets. Informative messages, resulted in the greatest number of shares (informative, n=17; humorous, n=10; shock, n=9; story, n=7). The study findings included improved knowledge of skin cancer severity in a pre- and postintervention Web-based survey, with greater awareness that skin cancer is the most common form of cancer (preintervention: 28.4% [95/335] vs postintervention: 39.3% [168/428] answered “True”) and that melanoma is most serious (49.1% [165/336] vs 55.5% [238/429]). The results also show improved attitudes toward ultraviolet (UV) exposure and skin cancer with a reduction in agreement that respondents “like to tan” (60.5% [202/334] vs 55.6% [238/428]).","author":[{"dropping-particle":"","family":"Gough","given":"Aisling","non-dropping-particle":"","parse-names":false,"suffix":""},{"dropping-particle":"","family":"Hunter","given":"Ruth F.","non-dropping-particle":"","parse-names":false,"suffix":""},{"dropping-particle":"","family":"Ajao","given":"Oluwaseun","non-dropping-particle":"","parse-names":false,"suffix":""},{"dropping-particle":"","family":"Jurek","given":"Anna","non-dropping-particle":"","parse-names":false,"suffix":""},{"dropping-particle":"","family":"McKeown","given":"Gary","non-dropping-particle":"","parse-names":false,"suffix":""},{"dropping-particle":"","family":"Hong","given":"Jun","non-dropping-particle":"","parse-names":false,"suffix":""},{"dropping-particle":"","family":"Barrett","given":"Eimear","non-dropping-particle":"","parse-names":false,"suffix":""},{"dropping-particle":"","family":"Ferguson","given":"Marbeth","non-dropping-particle":"","parse-names":false,"suffix":""},{"dropping-particle":"","family":"McElwee","given":"Gerry","non-dropping-particle":"","parse-names":false,"suffix":""},{"dropping-particle":"","family":"McCarthy","given":"Miriam","non-dropping-particle":"","parse-names":false,"suffix":""},{"dropping-particle":"","family":"Kee","given":"Frank","non-dropping-particle":"","parse-names":false,"suffix":""}],"container-title":"JMIR Public Health Surveillance","id":"ITEM-3","issue":"1","issued":{"date-parts":[["2017"]]},"page":"1-17","title":"Tweet for behavior change: Using social media for the dissemination of public health messages","type":"article-journal","volume":"3"},"uris":["http://www.mendeley.com/documents/?uuid=69906f6f-a21b-4963-9734-a5b16e66f747"]}],"mendeley":{"formattedCitation":"(Shi, Poorisat, &amp; Salmon, 2018; Gough et al., 2017; Kite et al., 2016)","plainTextFormattedCitation":"(Shi, Poorisat, &amp; Salmon, 2018; Gough et al., 2017; Kite et al., 2016)","previouslyFormattedCitation":"(Shi, Poorisat, &amp; Salmon, 2018; Gough et al., 2017; Kite et al., 2016)"},"properties":{"noteIndex":0},"schema":"https://github.com/citation-style-language/schema/raw/master/csl-citation.json"}</w:instrText>
      </w:r>
      <w:r>
        <w:rPr>
          <w:rFonts w:cs="Calibri"/>
        </w:rPr>
        <w:fldChar w:fldCharType="separate"/>
      </w:r>
      <w:r>
        <w:rPr>
          <w:rFonts w:cs="Calibri"/>
          <w:noProof/>
        </w:rPr>
        <w:t>(Shi, Poorisat, &amp; Salmon, 2018; Gough et al., 2017; Kite et al., 2016)</w:t>
      </w:r>
      <w:r>
        <w:rPr>
          <w:rFonts w:cs="Calibri"/>
        </w:rPr>
        <w:fldChar w:fldCharType="end"/>
      </w:r>
      <w:r>
        <w:rPr>
          <w:rFonts w:cs="Calibri"/>
        </w:rPr>
        <w:t>.</w:t>
      </w:r>
    </w:p>
    <w:p w14:paraId="1CF1B0BE" w14:textId="77777777" w:rsidR="00787F73" w:rsidRDefault="00787F73" w:rsidP="00866155">
      <w:pPr>
        <w:rPr>
          <w:rFonts w:cs="Calibri"/>
        </w:rPr>
      </w:pPr>
    </w:p>
    <w:p w14:paraId="7F163D17" w14:textId="17374454" w:rsidR="00787F73" w:rsidRDefault="00742FB7" w:rsidP="00866155">
      <w:r>
        <w:rPr>
          <w:rFonts w:cs="Calibri"/>
        </w:rPr>
        <w:t>This makes linking their social media PIC to behaviour change or more widely the development of community resilience challenging if not impossible. Therefore, the use of these metrics needs additional understanding within the organisation, as their aim is to communicate with people and businesses within South Yorkshire</w:t>
      </w:r>
      <w:r w:rsidR="00332E2A">
        <w:rPr>
          <w:rFonts w:cs="Calibri"/>
        </w:rPr>
        <w:t>.</w:t>
      </w:r>
      <w:r>
        <w:rPr>
          <w:rFonts w:cs="Calibri"/>
        </w:rPr>
        <w:t xml:space="preserve"> </w:t>
      </w:r>
      <w:r w:rsidR="00332E2A">
        <w:rPr>
          <w:rFonts w:cs="Calibri"/>
        </w:rPr>
        <w:t>T</w:t>
      </w:r>
      <w:r>
        <w:rPr>
          <w:rFonts w:cs="Calibri"/>
        </w:rPr>
        <w:t>hese figures may imply they have reached more members of the South Yorkshire communities than they have.</w:t>
      </w:r>
    </w:p>
    <w:p w14:paraId="133293EB" w14:textId="77777777" w:rsidR="00787F73" w:rsidRDefault="00787F73" w:rsidP="00866155">
      <w:pPr>
        <w:rPr>
          <w:rFonts w:cs="Calibri"/>
        </w:rPr>
      </w:pPr>
    </w:p>
    <w:p w14:paraId="16615BE4" w14:textId="77777777" w:rsidR="00787F73" w:rsidRDefault="00742FB7" w:rsidP="00866155">
      <w:r>
        <w:rPr>
          <w:rFonts w:cs="Calibri"/>
        </w:rPr>
        <w:t xml:space="preserve">This brings into focus the benefit of social media being able to connect with a large audience and increase risk awareness about certain dangers, however, with the caveat that you do not know where the accounts are based. This creates conflicting logics within SYFR, with their professional logics to communicate about risk and prevent fires, combined with their statutory obligation to communicate with </w:t>
      </w:r>
      <w:r>
        <w:rPr>
          <w:rFonts w:cs="Calibri"/>
          <w:i/>
          <w:iCs/>
        </w:rPr>
        <w:t>local</w:t>
      </w:r>
      <w:r>
        <w:rPr>
          <w:rFonts w:cs="Calibri"/>
        </w:rPr>
        <w:t xml:space="preserve"> communities in South Yorkshire. </w:t>
      </w:r>
    </w:p>
    <w:p w14:paraId="300EF22D" w14:textId="77777777" w:rsidR="00787F73" w:rsidRDefault="00742FB7" w:rsidP="00866155">
      <w:r>
        <w:rPr>
          <w:rFonts w:cs="Calibri"/>
        </w:rPr>
        <w:lastRenderedPageBreak/>
        <w:t xml:space="preserve">The literature surrounding the use of social media for PIC and risk communication suggests that to see benefit and behaviour change there needs to be active engagement between the organisation and the community </w:t>
      </w:r>
      <w:r>
        <w:fldChar w:fldCharType="begin" w:fldLock="1"/>
      </w:r>
      <w:r>
        <w:rPr>
          <w:rFonts w:cs="Calibri"/>
        </w:rPr>
        <w:instrText>ADDIN CSL_CITATION {"citationItems":[{"id":"ITEM-1","itemData":{"DOI":"10.1080/13669877.2014.961517","ISSN":"1366-9877","author":[{"dropping-particle":"","family":"Regan","given":"Áine","non-dropping-particle":"","parse-names":false,"suffix":""},{"dropping-particle":"","family":"Raats","given":"Monique","non-dropping-particle":"","parse-names":false,"suffix":""},{"dropping-particle":"","family":"Shan","given":"Liran Christine","non-dropping-particle":"","parse-names":false,"suffix":""},{"dropping-particle":"","family":"Wall","given":"Patrick G","non-dropping-particle":"","parse-names":false,"suffix":""},{"dropping-particle":"","family":"McConnon","given":"Aine","non-dropping-particle":"","parse-names":false,"suffix":""}],"container-title":"Journal of Risk Research","id":"ITEM-1","issue":"1","issued":{"date-parts":[["2016"]]},"page":"119-132","publisher":"Routledge","title":"Risk communication and social media during food safety crises : a study of stakeholders ’ opinions in Ireland","type":"article-journal","volume":"19"},"uris":["http://www.mendeley.com/documents/?uuid=93b71440-a063-4fcd-a9e7-146cc5654f5e"]},{"id":"ITEM-2","itemData":{"DOI":"10.1080/01292986.2021.2007274","ISSN":"17420911","abstract":"Social media have become widely used platforms for risk communication. Nevertheless, as this paper identifies there are potential challenges associated with the use social media, i.e. trust and credibility, misinformation, and digital inequality. This study uses three case studies to analyze the Indonesian government’s messaging strategies on social media for disaster risk communication, while navigating these challenges. Thematic content analysis of Indonesian emergency units’ social media posts during disaster events and of in-depth interviews with the personnel of the government agencies reveal the problematic aspects of the unidirectional top-down pattern of social media disaster risk communication. The messages mainly convey information about situations related to the disasters and government activities in local communities during disasters. Government agencies did not see social media as an appropriate channel for local communities most likely to be impacted or that such communities are shaped by culturally embedded beliefs and who might have limited accesses to the technology. This study suggests that patterns of social media use for disaster risk communication can differ across cultures. The collectivist culture of Indonesian communities has led to the two-step flow of communication model that proposes embracing culture and social capital to build trust, credibility, and overcome digital inequalities.","author":[{"dropping-particle":"","family":"Yudarwati","given":"Gregoria A.","non-dropping-particle":"","parse-names":false,"suffix":""},{"dropping-particle":"","family":"Putranto","given":"Ignatius A.","non-dropping-particle":"","parse-names":false,"suffix":""},{"dropping-particle":"","family":"Delmo","given":"Kate M.","non-dropping-particle":"","parse-names":false,"suffix":""}],"container-title":"Asian Journal of Communication","id":"ITEM-2","issue":"1","issued":{"date-parts":[["2022"]]},"page":"1-20","title":"Examining the Indonesian government’s social media use for disaster risk communication","type":"article-journal","volume":"32"},"uris":["http://www.mendeley.com/documents/?uuid=bdbad111-07a8-4bc0-870b-e36bc2073b13"]},{"id":"ITEM-3","itemData":{"DOI":"10.20965/jdr.2023.p0034","ISSN":"18838030","abstract":"The widespread application of social media in the field of crisis management has been adopted globally. In recent years, the role of social media in emergencies has grown, especially during the coronavirus disease 2019 (COVID-19) pandemic. This study explores the different roles played by social media in the government, the media, and the public during the pandemic through the key nodes of information dissemination at each developmental stage of crisis risk communication. The results indicate that in a government-led environment, in which social media is the link and the public is the core, attention must be directed towards the key role of social media as a “whistleblower” during the incubation period of a crisis event. Moreover, a new gatekeeping mechanism that integrates the public, the media, and the government should be formed to improve emergency management during crises.","author":[{"dropping-particle":"","family":"Feng","given":"Changchun","non-dropping-particle":"","parse-names":false,"suffix":""},{"dropping-particle":"","family":"Umaier","given":"Kabilijiang","non-dropping-particle":"","parse-names":false,"suffix":""}],"container-title":"Journal of Disaster Research","id":"ITEM-3","issue":"1","issued":{"date-parts":[["2023"]]},"page":"34-39","title":"Risk Communication During the COVID-19 Pandemic in the Era of Social Media","type":"article-journal","volume":"18"},"uris":["http://www.mendeley.com/documents/?uuid=e5657c23-55bc-4cac-bba3-ce398b98376e"]}],"mendeley":{"formattedCitation":"(Feng &amp; Umaier, 2023; Yudarwati, Putranto, &amp; Delmo, 2022; Regan et al., 2016)","plainTextFormattedCitation":"(Feng &amp; Umaier, 2023; Yudarwati, Putranto, &amp; Delmo, 2022; Regan et al., 2016)","previouslyFormattedCitation":"(Feng &amp; Umaier, 2023; Yudarwati, Putranto, &amp; Delmo, 2022; Regan et al., 2016)"},"properties":{"noteIndex":0},"schema":"https://github.com/citation-style-language/schema/raw/master/csl-citation.json"}</w:instrText>
      </w:r>
      <w:r>
        <w:rPr>
          <w:rFonts w:cs="Calibri"/>
        </w:rPr>
        <w:fldChar w:fldCharType="separate"/>
      </w:r>
      <w:r>
        <w:rPr>
          <w:rFonts w:cs="Calibri"/>
          <w:noProof/>
        </w:rPr>
        <w:t>(Feng &amp; Umaier, 2023; Yudarwati, Putranto, &amp; Delmo, 2022; Regan et al., 2016)</w:t>
      </w:r>
      <w:r>
        <w:rPr>
          <w:rFonts w:cs="Calibri"/>
        </w:rPr>
        <w:fldChar w:fldCharType="end"/>
      </w:r>
      <w:r>
        <w:rPr>
          <w:rFonts w:cs="Calibri"/>
        </w:rPr>
        <w:t xml:space="preserve"> in order to build linking social capital </w:t>
      </w:r>
      <w:r>
        <w:fldChar w:fldCharType="begin" w:fldLock="1"/>
      </w:r>
      <w:r>
        <w:rPr>
          <w:rFonts w:cs="Calibri"/>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India","type":"article-journal","volume":"19"},"uris":["http://www.mendeley.com/documents/?uuid=d8bcf27c-1efc-4c15-8204-cd8b37719dd2"]}],"mendeley":{"formattedCitation":"(Sanyal &amp; Routray, 2016)","plainTextFormattedCitation":"(Sanyal &amp; Routray, 2016)","previouslyFormattedCitation":"(Sanyal &amp; Routray, 2016)"},"properties":{"noteIndex":0},"schema":"https://github.com/citation-style-language/schema/raw/master/csl-citation.json"}</w:instrText>
      </w:r>
      <w:r>
        <w:rPr>
          <w:rFonts w:cs="Calibri"/>
        </w:rPr>
        <w:fldChar w:fldCharType="separate"/>
      </w:r>
      <w:r>
        <w:rPr>
          <w:rFonts w:cs="Calibri"/>
          <w:noProof/>
        </w:rPr>
        <w:t>(Sanyal &amp; Routray, 2016)</w:t>
      </w:r>
      <w:r>
        <w:rPr>
          <w:rFonts w:cs="Calibri"/>
        </w:rPr>
        <w:fldChar w:fldCharType="end"/>
      </w:r>
      <w:r>
        <w:rPr>
          <w:rFonts w:cs="Calibri"/>
        </w:rPr>
        <w:t xml:space="preserve">. However, as noted in the previous research questions, this would require a level of resourcing that SYFR do not have. This therefore requires an understanding of who they are engaging with on social media, but more widely, the communities in South Yorkshire, and how their lived experiences are influencing how they receive and act on information, so that SYFR can shape their messaging to best activate their threat and coping appraisals.  </w:t>
      </w:r>
    </w:p>
    <w:p w14:paraId="486D729A" w14:textId="77777777" w:rsidR="00787F73" w:rsidRDefault="00787F73" w:rsidP="00866155">
      <w:pPr>
        <w:spacing w:after="160"/>
        <w:contextualSpacing/>
        <w:rPr>
          <w:rFonts w:cs="Calibri"/>
        </w:rPr>
      </w:pPr>
    </w:p>
    <w:p w14:paraId="29D25803" w14:textId="77777777" w:rsidR="00787F73" w:rsidRDefault="00742FB7" w:rsidP="00866155">
      <w:pPr>
        <w:pStyle w:val="Heading2"/>
      </w:pPr>
      <w:bookmarkStart w:id="1031" w:name="_Toc153554364"/>
      <w:bookmarkStart w:id="1032" w:name="_Toc152952933"/>
      <w:bookmarkStart w:id="1033" w:name="_Toc153205128"/>
      <w:bookmarkStart w:id="1034" w:name="_Toc158371088"/>
      <w:bookmarkStart w:id="1035" w:name="_Toc158371021"/>
      <w:bookmarkStart w:id="1036" w:name="_Toc152953896"/>
      <w:bookmarkStart w:id="1037" w:name="_Toc193367258"/>
      <w:r>
        <w:t>6.3: SYFR’s offline “community”</w:t>
      </w:r>
      <w:bookmarkEnd w:id="1031"/>
      <w:bookmarkEnd w:id="1032"/>
      <w:bookmarkEnd w:id="1033"/>
      <w:bookmarkEnd w:id="1034"/>
      <w:bookmarkEnd w:id="1035"/>
      <w:bookmarkEnd w:id="1036"/>
      <w:bookmarkEnd w:id="1037"/>
    </w:p>
    <w:p w14:paraId="05872B4F" w14:textId="77777777" w:rsidR="00787F73" w:rsidRDefault="00742FB7" w:rsidP="00866155">
      <w:r>
        <w:rPr>
          <w:rFonts w:cs="Calibri"/>
        </w:rPr>
        <w:t xml:space="preserve">This project examined SYFR’s use of social media, however, to understand how people are viewing and engaging with their content and the implications for their resilience, there needs to be an analysis of the communities and people behind the accounts. As discussed in the literature review and throughout this thesis, using the word </w:t>
      </w:r>
      <w:r>
        <w:rPr>
          <w:rFonts w:cs="Calibri"/>
          <w:i/>
          <w:iCs/>
        </w:rPr>
        <w:t>community</w:t>
      </w:r>
      <w:r>
        <w:rPr>
          <w:rFonts w:cs="Calibri"/>
        </w:rPr>
        <w:t xml:space="preserve"> is misleading and often not defined in research giving the assumption of a </w:t>
      </w:r>
      <w:r w:rsidR="0040407A" w:rsidRPr="0040407A">
        <w:rPr>
          <w:rFonts w:cs="Calibri"/>
        </w:rPr>
        <w:t>homogeneous</w:t>
      </w:r>
      <w:r w:rsidR="0040407A">
        <w:rPr>
          <w:rFonts w:cs="Calibri"/>
        </w:rPr>
        <w:t xml:space="preserve"> </w:t>
      </w:r>
      <w:r>
        <w:rPr>
          <w:rFonts w:cs="Calibri"/>
        </w:rPr>
        <w:t xml:space="preserve">group </w:t>
      </w:r>
      <w:r>
        <w:fldChar w:fldCharType="begin" w:fldLock="1"/>
      </w:r>
      <w:r>
        <w:rPr>
          <w:rFonts w:cs="Calibri"/>
        </w:rPr>
        <w:instrText>ADDIN CSL_CITATION {"citationItems":[{"id":"ITEM-1","itemData":{"DOI":"10.3390/soc8030071","ISSN":"2075-4698","abstract":"In all areas of academic or practical work related to disaster risk, climate change and development more generally, community and its adjunct community-based have become the default terminology when referring to the local level or working ‘with the people’. The terms are applied extensively to highlight what is believed to be a people-centred, participatory, or grassroot-level approach. Today, despite, or because of, its inherent ambiguity, ‘community’ tends to be used almost inflationarily. This paper aims to analyse the way the concept of ‘community’ has come into fashion, and to critically reflect on the problems that come with it. We are raising significant doubts about the usefulness of ‘community’ in development- and disaster-related work. Our approach is to first consider how ‘community’ has become popular in research and with humanitarian agencies and other organisations based on what can be considered a ‘moral licence’ that supposedly guarantees that the actions being taken are genuinely people-centred and ethically justified. We then explore several theoretical approaches to ‘community’, highlight the vast scope of different (and contested) views on what ‘community’ entails, and explain how ‘community’ is framing practical attempts to mitigate vulnerability and inequity. We demonstrate how these attempts are usually futile, and sometimes harmful, due to the blurriness of ‘community’ concepts and their inherent failure to address the root causes of vulnerability. From two antagonistic positions, we finally advocate more meaningful ways to acknowledge vulnerable people’s views and needs appropriately.","author":[{"dropping-particle":"","family":"Titz","given":"Alexandra","non-dropping-particle":"","parse-names":false,"suffix":""},{"dropping-particle":"","family":"Cannon","given":"Terry","non-dropping-particle":"","parse-names":false,"suffix":""},{"dropping-particle":"","family":"Krüger","given":"Fred","non-dropping-particle":"","parse-names":false,"suffix":""}],"container-title":"Societies","id":"ITEM-1","issue":"3","issued":{"date-parts":[["2018"]]},"page":"1 - 28","title":"Uncovering ‘Community’: Challenging an Elusive Concept in Development and Disaster Related Work","type":"article-journal","volume":"8"},"uris":["http://www.mendeley.com/documents/?uuid=f9599f8d-2339-4d46-9072-6514bdefdc30"]}],"mendeley":{"formattedCitation":"(Titz, Cannon, &amp; Krüger, 2018)","plainTextFormattedCitation":"(Titz, Cannon, &amp; Krüger, 2018)","previouslyFormattedCitation":"(Titz, Cannon, &amp; Krüger, 2018)"},"properties":{"noteIndex":0},"schema":"https://github.com/citation-style-language/schema/raw/master/csl-citation.json"}</w:instrText>
      </w:r>
      <w:r>
        <w:rPr>
          <w:rFonts w:cs="Calibri"/>
        </w:rPr>
        <w:fldChar w:fldCharType="separate"/>
      </w:r>
      <w:r>
        <w:rPr>
          <w:rFonts w:cs="Calibri"/>
          <w:noProof/>
        </w:rPr>
        <w:t>(Titz, Cannon, &amp; Krüger, 2018)</w:t>
      </w:r>
      <w:r>
        <w:rPr>
          <w:rFonts w:cs="Calibri"/>
        </w:rPr>
        <w:fldChar w:fldCharType="end"/>
      </w:r>
      <w:r>
        <w:rPr>
          <w:rFonts w:cs="Calibri"/>
        </w:rPr>
        <w:t xml:space="preserve">. However, this thesis used an interpretivist approach, and as such, every participant provides their own interpretation of events and reality, therefore, the data in the section should be viewed as individuals’ interpretations of their community, the challenges they face, and their wider resilience. This section of the research was of importance to SYFR, ensuring that the community’s perspective and voices were heard and that they could gain an understanding of what the communities needed from SYFR. </w:t>
      </w:r>
    </w:p>
    <w:p w14:paraId="2D951C5D" w14:textId="77777777" w:rsidR="00787F73" w:rsidRDefault="00787F73" w:rsidP="00866155">
      <w:pPr>
        <w:rPr>
          <w:rFonts w:cs="Calibri"/>
        </w:rPr>
      </w:pPr>
    </w:p>
    <w:p w14:paraId="4C6DEB22" w14:textId="5958AD56" w:rsidR="00787F73" w:rsidRDefault="00742FB7" w:rsidP="00866155">
      <w:r>
        <w:rPr>
          <w:rFonts w:cs="Calibri"/>
        </w:rPr>
        <w:t xml:space="preserve">To explore this element of the research in more detail, I conducted two case studies: one from an area that SYFR deem </w:t>
      </w:r>
      <w:r>
        <w:rPr>
          <w:rFonts w:cs="Calibri"/>
          <w:i/>
        </w:rPr>
        <w:t>high risk;</w:t>
      </w:r>
      <w:r>
        <w:rPr>
          <w:rFonts w:cs="Calibri"/>
        </w:rPr>
        <w:t xml:space="preserve"> and another they deem </w:t>
      </w:r>
      <w:r>
        <w:rPr>
          <w:rFonts w:cs="Calibri"/>
          <w:i/>
        </w:rPr>
        <w:t>low risk</w:t>
      </w:r>
      <w:r>
        <w:rPr>
          <w:rFonts w:cs="Calibri"/>
        </w:rPr>
        <w:t xml:space="preserve"> based upon their use of the Fire Service Emergency Cover (FSEC) toolkit which was issued under the FRS Act (2004) with the aim of supporting the creation of Integrated Risk Management Plans (IRMPs). </w:t>
      </w:r>
      <w:r>
        <w:rPr>
          <w:rFonts w:cs="Calibri"/>
          <w:color w:val="000000"/>
        </w:rPr>
        <w:t xml:space="preserve">SYFR published a </w:t>
      </w:r>
      <w:r w:rsidR="00912954">
        <w:rPr>
          <w:rFonts w:cs="Calibri"/>
          <w:color w:val="000000"/>
        </w:rPr>
        <w:t>C</w:t>
      </w:r>
      <w:r w:rsidR="004F7B90">
        <w:rPr>
          <w:rFonts w:cs="Calibri"/>
          <w:color w:val="000000"/>
        </w:rPr>
        <w:t xml:space="preserve">ommunity </w:t>
      </w:r>
      <w:r w:rsidR="00225153">
        <w:rPr>
          <w:rFonts w:cs="Calibri"/>
          <w:color w:val="000000"/>
        </w:rPr>
        <w:t>f</w:t>
      </w:r>
      <w:r w:rsidR="004F7B90">
        <w:rPr>
          <w:rFonts w:cs="Calibri"/>
          <w:color w:val="000000"/>
        </w:rPr>
        <w:t xml:space="preserve">ire </w:t>
      </w:r>
      <w:r w:rsidR="00912954">
        <w:rPr>
          <w:rFonts w:cs="Calibri"/>
          <w:color w:val="000000"/>
        </w:rPr>
        <w:t>R</w:t>
      </w:r>
      <w:r w:rsidR="004F7B90">
        <w:rPr>
          <w:rFonts w:cs="Calibri"/>
          <w:color w:val="000000"/>
        </w:rPr>
        <w:t xml:space="preserve">isk </w:t>
      </w:r>
      <w:r w:rsidR="00912954">
        <w:rPr>
          <w:rFonts w:cs="Calibri"/>
          <w:color w:val="000000"/>
        </w:rPr>
        <w:t xml:space="preserve">Model </w:t>
      </w:r>
      <w:r>
        <w:rPr>
          <w:rFonts w:cs="Calibri"/>
          <w:color w:val="000000"/>
        </w:rPr>
        <w:t xml:space="preserve">in July 2013, which explained that research conducted by central government noted that using census data and incident data showed a correlation between certain demographic characteristics and dwelling fires, such as lone parents with dependents, people who have never worked, people aged 70+ and so </w:t>
      </w:r>
      <w:r>
        <w:rPr>
          <w:rFonts w:cs="Calibri"/>
          <w:color w:val="000000"/>
        </w:rPr>
        <w:lastRenderedPageBreak/>
        <w:t xml:space="preserve">on. The report noted that there was also a correlation with the Indices of Multiple Deprivation (IMD), however, this was not as strong as other </w:t>
      </w:r>
      <w:r>
        <w:t>socio-demographic</w:t>
      </w:r>
      <w:r>
        <w:rPr>
          <w:rFonts w:cs="Calibri"/>
          <w:color w:val="000000"/>
        </w:rPr>
        <w:t xml:space="preserve"> indicators. The </w:t>
      </w:r>
      <w:r w:rsidR="00912954">
        <w:rPr>
          <w:rFonts w:cs="Calibri"/>
          <w:color w:val="000000"/>
        </w:rPr>
        <w:t>R</w:t>
      </w:r>
      <w:r w:rsidR="004F7B90">
        <w:rPr>
          <w:rFonts w:cs="Calibri"/>
          <w:color w:val="000000"/>
        </w:rPr>
        <w:t xml:space="preserve">isk </w:t>
      </w:r>
      <w:r w:rsidR="00912954">
        <w:rPr>
          <w:rFonts w:cs="Calibri"/>
          <w:color w:val="000000"/>
        </w:rPr>
        <w:t xml:space="preserve">Model </w:t>
      </w:r>
      <w:r>
        <w:rPr>
          <w:rFonts w:cs="Calibri"/>
          <w:color w:val="000000"/>
        </w:rPr>
        <w:t xml:space="preserve">compiled </w:t>
      </w:r>
      <w:r w:rsidR="00673B70">
        <w:rPr>
          <w:rFonts w:cs="Calibri"/>
          <w:color w:val="000000"/>
        </w:rPr>
        <w:t>these</w:t>
      </w:r>
      <w:r>
        <w:rPr>
          <w:rFonts w:cs="Calibri"/>
          <w:color w:val="000000"/>
        </w:rPr>
        <w:t xml:space="preserve"> data into small geographical areas, Lower Super Output Areas (LSOA) comprised of around 1500 people, however, SYFR note that due to the smaller data set the correlation between IMD and risk diminishes at this level which is why SYFR used MOSAIC data. T</w:t>
      </w:r>
      <w:r>
        <w:rPr>
          <w:rFonts w:cs="Calibri"/>
        </w:rPr>
        <w:t xml:space="preserve">he use of risk groups has been well documented within their campaign materials (discussed in RQ1), with different campaigns targeting different sections of society, such as older adults, and I was provided with a list of the highest risk locations, as well as a selection of the lowest risk locations, from </w:t>
      </w:r>
      <w:r>
        <w:t xml:space="preserve">which I chose one each at random. </w:t>
      </w:r>
    </w:p>
    <w:p w14:paraId="2FE25EE7" w14:textId="77777777" w:rsidR="00787F73" w:rsidRDefault="00787F73" w:rsidP="00866155">
      <w:pPr>
        <w:rPr>
          <w:rFonts w:cs="Calibri"/>
        </w:rPr>
      </w:pPr>
    </w:p>
    <w:p w14:paraId="1A5F9ECF" w14:textId="79CFF2C4" w:rsidR="00787F73" w:rsidRDefault="00742FB7" w:rsidP="00866155">
      <w:r>
        <w:rPr>
          <w:rFonts w:cs="Calibri"/>
        </w:rPr>
        <w:t xml:space="preserve">This community </w:t>
      </w:r>
      <w:r>
        <w:t>research was conducted during C</w:t>
      </w:r>
      <w:r>
        <w:rPr>
          <w:rFonts w:cs="Calibri"/>
        </w:rPr>
        <w:t>OVID-19, and as such was greatly impacted by social distancing restrictions</w:t>
      </w:r>
      <w:r w:rsidR="00332E2A">
        <w:rPr>
          <w:rFonts w:cs="Calibri"/>
        </w:rPr>
        <w:t>. This made</w:t>
      </w:r>
      <w:r>
        <w:rPr>
          <w:rFonts w:cs="Calibri"/>
        </w:rPr>
        <w:t xml:space="preserve"> recruitment challenging, which meant that each focus group only had 2 participants in attendance, with an additional interview being conducted in the low-risk community. The recruitment phase had been challenging with little to no engagement in numerous social media posts and direct messages; I had hoped to conduct additional workshops, however, due to the challenges of the initial recruitment period, and the time constraints of the PhD, additional focus groups were not feasible. These low attendance numbers limit what can be inferred from the data, and further work is required to verify the findings from this thesis. The literature notes the difference in community experiences linked to different intersections of society </w:t>
      </w:r>
      <w:r>
        <w:fldChar w:fldCharType="begin" w:fldLock="1"/>
      </w:r>
      <w:r w:rsidR="00974B75">
        <w:rPr>
          <w:rFonts w:cs="Calibri"/>
        </w:rPr>
        <w:instrText>ADDIN CSL_CITATION {"citationItems":[{"id":"ITEM-1","itemData":{"DOI":"10.1007/s11199-008-9504-5","ISBN":"0360-0025","ISSN":"03600025","PMID":"87372200","abstract":"This paper serves as a “best practices guide” for researchers interested in applying intersectionality theory to psychological research. Intersectionality, the mutually constitutive relations among social identities, presents several issues to researchers interested in applying it to research. I highlight three central issues and provide guidelines for how to address them. First, I discuss the constraints in the number of identities that researchers are able to test in an empirical study, and highlight relevant decision rules. Second, I discuss when to focus on “master” identities (e.g., gender) versus “emergent” identities (i.e., White lesbian). Third, I argue that treating identity as a process situated within social structural contexts facilitates the research process. I end with a brief discussion of the implications for the study of intersectionality.","author":[{"dropping-particle":"","family":"Warner","given":"Leah R.","non-dropping-particle":"","parse-names":false,"suffix":""}],"container-title":"Sex Roles","id":"ITEM-1","issued":{"date-parts":[["2008"]]},"page":"454-463","title":"A best practices guide to intersectional approaches in psychological research","type":"article-journal","volume":"59"},"uris":["http://www.mendeley.com/documents/?uuid=8e851e26-4ae8-4ad4-a56b-d76e0f8ea539"]},{"id":"ITEM-2","itemData":{"DOI":"10.1111/j.1467-9272.2007.00587.x","ISBN":"00330124","ISSN":"00330124","PMID":"23750159","abstract":"This article focuses on the concept of intersectionality, which is being used within the wider social sciences by feminists to theorize the relationship between different social categories: gender, race, sexuality, and so forth. Although research within the field of feminist geography has explored particular interconnections such as those between gender and race, the theoretical concept of intersectionality as debated in the wider social sciences has not been addressed. This article attempts to respond to that omission. It begins by tracing the emergence of debates about the interconnections between gender and other identities. It goes on to reflect on attempts tomap geometries of oppressions.Theemphasis thenmovesfromtheorizing intersectionality to questioninghowit can be researched in practice by presenting a case study to illustrate intersectionality as lived experience. The conclusion demonstrates the contribution that feminist geography can make to advance the theorization of intersectionality throughits appreciation of the significance of space in processes of subject formation. It calls for feminist geography to pay more attention to questions of power and social inequalities.","author":[{"dropping-particle":"","family":"Valentine","given":"Gill","non-dropping-particle":"","parse-names":false,"suffix":""}],"container-title":"The Professional Geographer","id":"ITEM-2","issue":"1","issued":{"date-parts":[["2007"]]},"page":"10 - 21","title":"Theorizing and Researching Intersectionality: A Challenge for Feminist Geography","type":"article-journal","volume":"59"},"uris":["http://www.mendeley.com/documents/?uuid=33533b8f-b858-4321-96f6-432feeb05d24"]},{"id":"ITEM-3","itemData":{"DOI":"10.4324/9780203578988","ISBN":"9780203578988","ISSN":"978-0-415-81890-2 (Hardcover); 978-0-203-57898-8 (Digital (undefined format))","PMID":"17972902","abstract":"This edited collection brings together many of the world's leading experts, both academic and practitioner, in a single volume handbook that examines key international issues in the field of hate crime. Collectively it examines a range of pertinent areas with the ultimate aim of providing a detailed picture of the hate crime 'problem' in different parts of the world. Offering a strong international focus and comprehensive coverage of a wide range of hate crime issues, this book is an important contribution to hate crime studies and will be essential reading for academics, students and practitioners interested in this field. The book is divided into four parts: An examination, covering theories and concepts, of issues relating to definitions of hate crime, the individual and community impacts of hate crime, the controversies of hate crime legislation and theoretical approaches to understanding offending. An exploration of the international geography of hate, in which each chapter examines a range of hate crime issues in different parts of the world, including the UK, wider Europe, North America, Australia and New Zealand. Reflections on a number of different perspectives across a range of key issues in hate crime, examining areas including particular issues affecting different victim groups, the increasingly important influence of the Internet and hate crimes in sport. A discussion of a range of international efforts being utilised to combat hate and hate crime. (PsycINFO Database Record (c) 2016 APA, all rights reserved)","author":[{"dropping-particle":"","family":"Mason-Bish","given":"Hannah","non-dropping-particle":"","parse-names":false,"suffix":""}],"chapter-number":"3","container-title":"The Routledge International Handbook on Hate Crime","editor":[{"dropping-particle":"","family":"Hall","given":"Nathan","non-dropping-particle":"","parse-names":false,"suffix":""},{"dropping-particle":"","family":"Corb","given":"Abbee","non-dropping-particle":"","parse-names":false,"suffix":""},{"dropping-particle":"","family":"Giannasi","given":"Paul","non-dropping-particle":"","parse-names":false,"suffix":""},{"dropping-particle":"","family":"Grieve","given":"John G D","non-dropping-particle":"","parse-names":false,"suffix":""}],"id":"ITEM-3","issued":{"date-parts":[["2014"]]},"page":"1-33","title":"Beyond the Silo","type":"chapter"},"uris":["http://www.mendeley.com/documents/?uuid=6a96c44a-dc08-4bfb-9a6b-c0bc3ef8505d"]},{"id":"ITEM-4","itemData":{"DOI":"10.1080/13698230701660220","ISBN":"1369-8230\\r1743-8772","ISSN":"1369-8230","PMID":"25650308","abstract":"The paper examines the effects of intersecting social divisions on constructions of multi-layered citizenships and the politics of belonging in contemporary Britain. It starts with conceptual clarifications of the notions of citizenship, belonging and intersectionality and then turns to examine contemporary politics of belonging in contemporary Britain, focus- ing on the current debate on the ‘death of multiculturalism’ and on ‘social cohesion’. It illus- trates how the use of civic and democratic values as signifiers of belonging can end up as exclusionary, rather than inclusionary in that discourse. K","author":[{"dropping-particle":"","family":"Yuval‐Davis","given":"Nira","non-dropping-particle":"","parse-names":false,"suffix":""}],"container-title":"Critical Review of International Social and Political Philosophy","id":"ITEM-4","issue":"4","issued":{"date-parts":[["2007"]]},"page":"561-574","title":"Intersectionality, Citizenship and Contemporary Politics of Belonging","type":"article-journal","volume":"10"},"uris":["http://www.mendeley.com/documents/?uuid=553a05d6-78f0-4a87-8a7f-d7dd1694f17a"]}],"mendeley":{"formattedCitation":"(Mason-Bish, 2014; Warner, 2008; Valentine, 2007; Yuval‐Davis, 2007)","manualFormatting":"(Mason-Bish, 2014; Warner, 2008; Valentine, 2007; Yuval‐Davis, 2007)","plainTextFormattedCitation":"(Mason-Bish, 2014; Warner, 2008; Valentine, 2007; Yuval‐Davis, 2007)","previouslyFormattedCitation":"(Mason-Bish, 2014; Warner, 2008; Valentine, 2007; Yuval‐Davis, 2007)"},"properties":{"noteIndex":0},"schema":"https://github.com/citation-style-language/schema/raw/master/csl-citation.json"}</w:instrText>
      </w:r>
      <w:r>
        <w:rPr>
          <w:rFonts w:cs="Calibri"/>
        </w:rPr>
        <w:fldChar w:fldCharType="separate"/>
      </w:r>
      <w:r>
        <w:rPr>
          <w:rFonts w:cs="Calibri"/>
          <w:noProof/>
        </w:rPr>
        <w:t>(Mason-Bish, 2014; Warner, 2008; Valentine, 2007; Yuval‐Davis, 2007)</w:t>
      </w:r>
      <w:r>
        <w:rPr>
          <w:rFonts w:cs="Calibri"/>
        </w:rPr>
        <w:fldChar w:fldCharType="end"/>
      </w:r>
      <w:r>
        <w:rPr>
          <w:rFonts w:cs="Calibri"/>
        </w:rPr>
        <w:t>, and as such it is important to note that all of the participants within the focus groups were women, and the interview conducted in the low-risk community was with a man. The participants for each group were given a code, for instance participant 1 from the low-risk community is P1LR (Participant 1 Low Risk), and participant 2 from the high-risk community is P2HR (Participant 2 High Risk).</w:t>
      </w:r>
    </w:p>
    <w:p w14:paraId="615C2B56" w14:textId="77777777" w:rsidR="00787F73" w:rsidRDefault="00787F73" w:rsidP="00866155">
      <w:pPr>
        <w:rPr>
          <w:rFonts w:cs="Calibri"/>
        </w:rPr>
      </w:pPr>
    </w:p>
    <w:p w14:paraId="27F76EAA" w14:textId="77777777" w:rsidR="00787F73" w:rsidRDefault="00742FB7" w:rsidP="00866155">
      <w:r>
        <w:rPr>
          <w:rFonts w:cs="Calibri"/>
        </w:rPr>
        <w:t xml:space="preserve">Throughout the community research there appeared to be four elements which were important when examining the community’s resilience: firstly, the composition of the community, including community assets and more widely the institutional logics of the community, the community’s mentality, and their education and knowledge. Secondly, the contextual information of the disaster they are experiencing or expecting to experience. </w:t>
      </w:r>
      <w:r>
        <w:rPr>
          <w:rFonts w:cs="Calibri"/>
        </w:rPr>
        <w:lastRenderedPageBreak/>
        <w:t>Thirdly, their relationship to organisations, and finally the role of social media within their community network.</w:t>
      </w:r>
    </w:p>
    <w:p w14:paraId="5A5D433A" w14:textId="77777777" w:rsidR="00787F73" w:rsidRDefault="00787F73" w:rsidP="00866155">
      <w:pPr>
        <w:rPr>
          <w:rFonts w:cs="Calibri"/>
        </w:rPr>
      </w:pPr>
    </w:p>
    <w:p w14:paraId="46E8EF3F" w14:textId="77777777" w:rsidR="00787F73" w:rsidRDefault="00742FB7" w:rsidP="00866155">
      <w:pPr>
        <w:pStyle w:val="Heading3"/>
      </w:pPr>
      <w:bookmarkStart w:id="1038" w:name="_Toc158371022"/>
      <w:bookmarkStart w:id="1039" w:name="_Toc158371089"/>
      <w:bookmarkStart w:id="1040" w:name="_Toc153205129"/>
      <w:bookmarkStart w:id="1041" w:name="_Toc193367259"/>
      <w:r>
        <w:t>6.3.1: The importance of community composition</w:t>
      </w:r>
      <w:bookmarkEnd w:id="1038"/>
      <w:bookmarkEnd w:id="1039"/>
      <w:bookmarkEnd w:id="1040"/>
      <w:bookmarkEnd w:id="1041"/>
    </w:p>
    <w:p w14:paraId="712F224B" w14:textId="77777777" w:rsidR="00787F73" w:rsidRDefault="00742FB7" w:rsidP="00866155">
      <w:r>
        <w:rPr>
          <w:rFonts w:cs="Calibri"/>
        </w:rPr>
        <w:t xml:space="preserve">As discussed in chapter 2, communities are not </w:t>
      </w:r>
      <w:r w:rsidR="0040407A" w:rsidRPr="0040407A">
        <w:rPr>
          <w:rFonts w:cs="Calibri"/>
        </w:rPr>
        <w:t>homogeneous</w:t>
      </w:r>
      <w:r w:rsidR="0040407A">
        <w:t xml:space="preserve"> </w:t>
      </w:r>
      <w:r>
        <w:fldChar w:fldCharType="begin" w:fldLock="1"/>
      </w:r>
      <w:r>
        <w:rPr>
          <w:rFonts w:cs="Calibri"/>
        </w:rPr>
        <w:instrText>ADDIN CSL_CITATION {"citationItems":[{"id":"ITEM-1","itemData":{"DOI":"10.3390/soc8030071","ISSN":"2075-4698","abstract":"In all areas of academic or practical work related to disaster risk, climate change and development more generally, community and its adjunct community-based have become the default terminology when referring to the local level or working ‘with the people’. The terms are applied extensively to highlight what is believed to be a people-centred, participatory, or grassroot-level approach. Today, despite, or because of, its inherent ambiguity, ‘community’ tends to be used almost inflationarily. This paper aims to analyse the way the concept of ‘community’ has come into fashion, and to critically reflect on the problems that come with it. We are raising significant doubts about the usefulness of ‘community’ in development- and disaster-related work. Our approach is to first consider how ‘community’ has become popular in research and with humanitarian agencies and other organisations based on what can be considered a ‘moral licence’ that supposedly guarantees that the actions being taken are genuinely people-centred and ethically justified. We then explore several theoretical approaches to ‘community’, highlight the vast scope of different (and contested) views on what ‘community’ entails, and explain how ‘community’ is framing practical attempts to mitigate vulnerability and inequity. We demonstrate how these attempts are usually futile, and sometimes harmful, due to the blurriness of ‘community’ concepts and their inherent failure to address the root causes of vulnerability. From two antagonistic positions, we finally advocate more meaningful ways to acknowledge vulnerable people’s views and needs appropriately.","author":[{"dropping-particle":"","family":"Titz","given":"Alexandra","non-dropping-particle":"","parse-names":false,"suffix":""},{"dropping-particle":"","family":"Cannon","given":"Terry","non-dropping-particle":"","parse-names":false,"suffix":""},{"dropping-particle":"","family":"Krüger","given":"Fred","non-dropping-particle":"","parse-names":false,"suffix":""}],"container-title":"Societies","id":"ITEM-1","issue":"3","issued":{"date-parts":[["2018"]]},"page":"1 - 28","title":"Uncovering ‘Community’: Challenging an Elusive Concept in Development and Disaster Related Work","type":"article-journal","volume":"8"},"uris":["http://www.mendeley.com/documents/?uuid=f9599f8d-2339-4d46-9072-6514bdefdc30"]}],"mendeley":{"formattedCitation":"(Titz, Cannon, &amp; Krüger, 2018)","plainTextFormattedCitation":"(Titz, Cannon, &amp; Krüger, 2018)","previouslyFormattedCitation":"(Titz, Cannon, &amp; Krüger, 2018)"},"properties":{"noteIndex":0},"schema":"https://github.com/citation-style-language/schema/raw/master/csl-citation.json"}</w:instrText>
      </w:r>
      <w:r>
        <w:rPr>
          <w:rFonts w:cs="Calibri"/>
        </w:rPr>
        <w:fldChar w:fldCharType="separate"/>
      </w:r>
      <w:r>
        <w:rPr>
          <w:rFonts w:cs="Calibri"/>
          <w:noProof/>
        </w:rPr>
        <w:t>(Titz, Cannon, &amp; Krüger, 2018)</w:t>
      </w:r>
      <w:r>
        <w:rPr>
          <w:rFonts w:cs="Calibri"/>
        </w:rPr>
        <w:fldChar w:fldCharType="end"/>
      </w:r>
      <w:r>
        <w:rPr>
          <w:rFonts w:cs="Calibri"/>
        </w:rPr>
        <w:t xml:space="preserve"> as each community is composed of a variety of members with different socio-economic and demographic characteristics, and influenced by various institutional logics and drivers. These characteristics are important to explore, as they can influence an individual’s sense of vulnerability, and therefore influence their threat and coping appraisals, namely whether they take action to mitigate or prepare for disasters </w:t>
      </w:r>
      <w:r>
        <w:fldChar w:fldCharType="begin" w:fldLock="1"/>
      </w:r>
      <w:r w:rsidR="00974B75">
        <w:rPr>
          <w:rFonts w:cs="Calibri"/>
        </w:rPr>
        <w:instrText>ADDIN CSL_CITATION {"citationItems":[{"id":"ITEM-1","itemData":{"DOI":"10.1007/s11069-017-3111-0","ISSN":"15730840","abstract":"Communicating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Hazards","id":"ITEM-1","issued":{"date-parts":[["2018"]]},"page":"1461-1483","title":"How does information affect fire risk reduction behaviors? Mediating effects of cognitive processes and subjective knowledge","type":"article-journal","volume":"90"},"uris":["http://www.mendeley.com/documents/?uuid=b253cc58-5f59-4b2e-9c77-76be2b2788b4"]},{"id":"ITEM-2","itemData":{"DOI":"10.1061/(asce)nh.1527-6996.0000294","ISBN":"0000000167","ISSN":"1527-6988","abstract":"©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Review","id":"ITEM-2","issue":"3","issued":{"date-parts":[["2018"]]},"page":"1 - 21","title":"Flood Risk Assessment, Future Trend Modeling, and Risk Communication: A Review of Ongoing Research","type":"article-journal","volume":"19"},"uris":["http://www.mendeley.com/documents/?uuid=72f77961-1216-4228-ab43-b36cf7f2e2d4"]},{"id":"ITEM-3","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Hazards","id":"ITEM-3","issued":{"date-parts":[["2018"]]},"page":"1665-1686","publisher":"Springer Netherlands","title":"Rethinking flood risk communication","type":"article-journal","volume":"92"},"uris":["http://www.mendeley.com/documents/?uuid=a75b9d7a-46e6-41f1-a446-75375a9342c5"]},{"id":"ITEM-4","itemData":{"DOI":"10.1080/19371918.2021.2018082","ISSN":"1937190X","PMID":"34962187","abstract":"COVID-19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Health","id":"ITEM-4","issue":"5","issued":{"date-parts":[["2022"]]},"page":"419-434","title":"An Integrated Approach to COVID-19 Preventive Behaviour Intentions: Protection Motivation Theory, Information Acquisition, and Trust","type":"article-journal","volume":"37"},"uris":["http://www.mendeley.com/documents/?uuid=8abd72eb-8ae4-4af7-9da1-be357bf94394"]},{"id":"ITEM-5","itemData":{"DOI":"10.1016/j.ijdrr.2021.102759","ISSN":"22124209","abstract":"The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Reduction","id":"ITEM-5","issued":{"date-parts":[["2022"]]},"page":"1 - 16","title":"Determination of factors affecting the response efficacy of Filipinos under Typhoon Conson 2021 (Jolina): An extended protection motivation theory approach","type":"article-journal","volume":"70"},"uris":["http://www.mendeley.com/documents/?uuid=df8c524a-2262-493d-9e98-6620d59903d4"]}],"mendeley":{"formattedCitation":"(Acar &amp; Kıcali, 2022; Gumasing et al., 2022; Liu &amp; Jiao, 2018; Rollason et al., 2018; Salman &amp; Li, 2018)","plainTextFormattedCitation":"(Acar &amp; Kıcali, 2022; Gumasing et al., 2022; Liu &amp; Jiao, 2018; Rollason et al., 2018; Salman &amp; Li, 2018)","previouslyFormattedCitation":"(Acar &amp; Kıcali, 2022; Gumasing et al., 2022; Liu &amp; Jiao, 2018; Rollason et al., 2018; Salman &amp; Li, 2018)"},"properties":{"noteIndex":0},"schema":"https://github.com/citation-style-language/schema/raw/master/csl-citation.json"}</w:instrText>
      </w:r>
      <w:r>
        <w:rPr>
          <w:rFonts w:cs="Calibri"/>
        </w:rPr>
        <w:fldChar w:fldCharType="separate"/>
      </w:r>
      <w:r>
        <w:rPr>
          <w:rFonts w:cs="Calibri"/>
          <w:noProof/>
        </w:rPr>
        <w:t>(Acar &amp; Kıcali, 2022; Gumasing et al., 2022; Liu &amp; Jiao, 2018; Rollason et al., 2018; Salman &amp; Li, 2018)</w:t>
      </w:r>
      <w:r>
        <w:rPr>
          <w:rFonts w:cs="Calibri"/>
        </w:rPr>
        <w:fldChar w:fldCharType="end"/>
      </w:r>
      <w:r>
        <w:rPr>
          <w:rFonts w:cs="Calibri"/>
        </w:rPr>
        <w:t xml:space="preserve">.  </w:t>
      </w:r>
      <w:r>
        <w:rPr>
          <w:rFonts w:cs="Calibri"/>
          <w:lang w:eastAsia="en-US"/>
        </w:rPr>
        <w:t xml:space="preserve">The composition of a community is reliant on various factors, including community assets, both physical locations and social structures, the mentality of the community, and more widely the institutional logics which are influencing the community. </w:t>
      </w:r>
    </w:p>
    <w:p w14:paraId="3843925B" w14:textId="77777777" w:rsidR="00787F73" w:rsidRDefault="00787F73" w:rsidP="00866155">
      <w:pPr>
        <w:rPr>
          <w:rFonts w:cs="Calibri"/>
          <w:lang w:eastAsia="en-US"/>
        </w:rPr>
      </w:pPr>
    </w:p>
    <w:p w14:paraId="13527152" w14:textId="77777777" w:rsidR="00787F73" w:rsidRDefault="00742FB7" w:rsidP="00866155">
      <w:pPr>
        <w:pStyle w:val="Heading4"/>
        <w:spacing w:line="360" w:lineRule="auto"/>
      </w:pPr>
      <w:bookmarkStart w:id="1042" w:name="_Toc158371023"/>
      <w:bookmarkStart w:id="1043" w:name="_Toc153205130"/>
      <w:r>
        <w:t>Community assets</w:t>
      </w:r>
      <w:bookmarkEnd w:id="1042"/>
      <w:bookmarkEnd w:id="1043"/>
    </w:p>
    <w:p w14:paraId="5CD21C79" w14:textId="77777777" w:rsidR="00787F73" w:rsidRPr="00AC1B06" w:rsidRDefault="00742FB7" w:rsidP="00866155">
      <w:r w:rsidRPr="00AC1B06">
        <w:rPr>
          <w:rFonts w:cs="Calibri"/>
        </w:rPr>
        <w:t xml:space="preserve">Examining a community’s resilience requires an appraisal of the various communal assets that they have, not only in terms of supplies and buildings, but also the social structures and networks in place and can indicate a wider capacity for community resilience </w:t>
      </w:r>
      <w:r w:rsidRPr="00AC1B06">
        <w:fldChar w:fldCharType="begin" w:fldLock="1"/>
      </w:r>
      <w:r w:rsidRPr="00AC1B06">
        <w:rPr>
          <w:rFonts w:cs="Calibri"/>
        </w:rPr>
        <w:instrText>ADDIN CSL_CITATION {"citationItems":[{"id":"ITEM-1","itemData":{"DOI":"10.1080/08941920903305674","ISBN":"0894-1920","ISSN":"08941920","PMID":"1089","abstract":"Change is a constant force, in nature and in society. Research suggests that resilience pertains to the ability of a system to sustain itself through change via adaptation and occasional transformation. This article is based on the premises that communities can develop resilience by actively building and engaging the capacity to thrive in an environment characterized by change, and that community resilience is an important indicator of social sustainability. Community resilience, as defined herein, is the existence, development, and engagement of community resources by community members to thrive in an environment characterized by change, uncertainty, unpredictability, and surprise. The U.S. Roundtable on Sustainable Forests commissioned a research project to develop a theoretically and empirically based definition of community resilience as well as an associated measurement instrument. In this article, the research is presented, the emergent definition and dimensions of community resilience are posited, ...","author":[{"dropping-particle":"","family":"Magis","given":"Kristen","non-dropping-particle":"","parse-names":false,"suffix":""}],"container-title":"Society and Natural Resources","id":"ITEM-1","issue":"5","issued":{"date-parts":[["2010"]]},"page":"401-416","title":"Community resilience: An indicator of social sustainability","type":"article-journal","volume":"23"},"uris":["http://www.mendeley.com/documents/?uuid=a5d74235-7106-41d0-9117-63f47d2407b6"]}],"mendeley":{"formattedCitation":"(Magis, 2010)","plainTextFormattedCitation":"(Magis, 2010)","previouslyFormattedCitation":"(Magis, 2010)"},"properties":{"noteIndex":0},"schema":"https://github.com/citation-style-language/schema/raw/master/csl-citation.json"}</w:instrText>
      </w:r>
      <w:r w:rsidRPr="00AC1B06">
        <w:rPr>
          <w:rFonts w:cs="Calibri"/>
        </w:rPr>
        <w:fldChar w:fldCharType="separate"/>
      </w:r>
      <w:r w:rsidRPr="00AC1B06">
        <w:rPr>
          <w:rFonts w:cs="Calibri"/>
          <w:noProof/>
        </w:rPr>
        <w:t>(Magis, 2010)</w:t>
      </w:r>
      <w:r w:rsidRPr="00AC1B06">
        <w:rPr>
          <w:rFonts w:cs="Calibri"/>
        </w:rPr>
        <w:fldChar w:fldCharType="end"/>
      </w:r>
      <w:r w:rsidRPr="00AC1B06">
        <w:rPr>
          <w:rFonts w:cs="Calibri"/>
        </w:rPr>
        <w:t xml:space="preserve">. These community assets can include community groups, local institutions, and various informal and formal support networks, and can be viewed as developing and building the community’s bridging capital and also their bonding capital </w:t>
      </w:r>
      <w:r w:rsidRPr="00AC1B06">
        <w:fldChar w:fldCharType="begin" w:fldLock="1"/>
      </w:r>
      <w:r w:rsidRPr="00AC1B06">
        <w:rPr>
          <w:rFonts w:cs="Calibri"/>
        </w:rPr>
        <w:instrText>ADDIN CSL_CITATION {"citationItems":[{"id":"ITEM-1","itemData":{"DOI":"10.1146/annurev.energy.32.051807.090348","ISBN":"1708-3087","ISSN":"0954-5794","PMID":"7615","abstract":"Despite the recent popularity and frequent use of the disaster resilience concept in the academic, re- search, and policy programs, there is a limited theoretical understanding of this concept. For instance, it is not clear how this concept should be operationalized and what its determinant factors are or how they can be measured. Al- though the recent literatures on hazard and disaster frequently refer to resilience concept as a guiding principle behind an effective hazard risk management, making it operational for policies raises critical challenges in terms of its as- sessment. This paper is an attempt to develop a conceptual and methodological framework for the analysis, measure- ment, and mapping of community disaster resilience. The paper specifically intends to archive three objectives. Firstly, it examines the general definitional issues of the concept of resilience with a focus on community disaster re- silience. Secondly, it reviews the frameworks that are currently used to measure community resilience. Thirdly, it evaluates the existing methods that are used to develop resilience indices, and based on this review, a methodology on how to measure community disaster resilience is proposed. Finally, it summarizes the limitations and recommen- dations for further improvement of the methodology.","author":[{"dropping-particle":"","family":"Mayunga","given":"Joseph S","non-dropping-particle":"","parse-names":false,"suffix":""}],"container-title":"Summer academy for social vulnerability and resilience building","id":"ITEM-1","issue":"1","issued":{"date-parts":[["2007"]]},"number-of-pages":"1-16","publisher-place":"Munich","title":"Understanding and Applying the Concept of Community Disaster Resilience : A capital-based approach","type":"report"},"uris":["http://www.mendeley.com/documents/?uuid=8d9105d9-093b-4ab1-98f2-8230311a4cbf"]},{"id":"ITEM-2","itemData":{"author":[{"dropping-particle":"","family":"Sanyal","given":"Saswata","non-dropping-particle":"","parse-names":false,"suffix":""},{"dropping-particle":"","family":"Routray","given":"Jayant K.","non-dropping-particle":"","parse-names":false,"suffix":""}],"container-title":"International Journal of Disaster Risk Reduction","id":"ITEM-2","issued":{"date-parts":[["2016"]]},"page":"101-111","title":"Social capital for disaster risk reduction and management with empirical evidences from Sundarbans of India","type":"article-journal","volume":"19"},"uris":["http://www.mendeley.com/documents/?uuid=d8bcf27c-1efc-4c15-8204-cd8b37719dd2"]}],"mendeley":{"formattedCitation":"(Sanyal &amp; Routray, 2016; Mayunga, 2007)","plainTextFormattedCitation":"(Sanyal &amp; Routray, 2016; Mayunga, 2007)","previouslyFormattedCitation":"(Sanyal &amp; Routray, 2016; Mayunga, 2007)"},"properties":{"noteIndex":0},"schema":"https://github.com/citation-style-language/schema/raw/master/csl-citation.json"}</w:instrText>
      </w:r>
      <w:r w:rsidRPr="00AC1B06">
        <w:rPr>
          <w:rFonts w:cs="Calibri"/>
        </w:rPr>
        <w:fldChar w:fldCharType="separate"/>
      </w:r>
      <w:r w:rsidRPr="00AC1B06">
        <w:rPr>
          <w:rFonts w:cs="Calibri"/>
          <w:noProof/>
        </w:rPr>
        <w:t>(Sanyal &amp; Routray, 2016; Mayunga, 2007)</w:t>
      </w:r>
      <w:r w:rsidRPr="00AC1B06">
        <w:rPr>
          <w:rFonts w:cs="Calibri"/>
        </w:rPr>
        <w:fldChar w:fldCharType="end"/>
      </w:r>
      <w:r w:rsidRPr="00AC1B06">
        <w:rPr>
          <w:rFonts w:cs="Calibri"/>
        </w:rPr>
        <w:t xml:space="preserve">. The literature notes that the community’s social capital needs to be created prior to an event and therefore requires an understanding of the different assets that a community has </w:t>
      </w:r>
      <w:r w:rsidRPr="00AC1B06">
        <w:fldChar w:fldCharType="begin" w:fldLock="1"/>
      </w:r>
      <w:r w:rsidRPr="00AC1B06">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id":"ITEM-2","itemData":{"author":[{"dropping-particle":"","family":"Sanyal","given":"Saswata","non-dropping-particle":"","parse-names":false,"suffix":""},{"dropping-particle":"","family":"Routray","given":"Jayant K.","non-dropping-particle":"","parse-names":false,"suffix":""}],"container-title":"International Journal of Disaster Risk Reduction","id":"ITEM-2","issued":{"date-parts":[["2016"]]},"page":"101-111","title":"Social capital for disaster risk reduction and management with empirical evidences from Sundarbans of India","type":"article-journal","volume":"19"},"uris":["http://www.mendeley.com/documents/?uuid=d8bcf27c-1efc-4c15-8204-cd8b37719dd2"]}],"mendeley":{"formattedCitation":"(Carmen et al., 2022; Sanyal &amp; Routray, 2016)","plainTextFormattedCitation":"(Carmen et al., 2022; Sanyal &amp; Routray, 2016)","previouslyFormattedCitation":"(Carmen et al., 2022; Sanyal &amp; Routray, 2016)"},"properties":{"noteIndex":0},"schema":"https://github.com/citation-style-language/schema/raw/master/csl-citation.json"}</w:instrText>
      </w:r>
      <w:r w:rsidRPr="00AC1B06">
        <w:rPr>
          <w:rFonts w:cs="Calibri"/>
        </w:rPr>
        <w:fldChar w:fldCharType="separate"/>
      </w:r>
      <w:r w:rsidRPr="00AC1B06">
        <w:rPr>
          <w:rFonts w:cs="Calibri"/>
          <w:noProof/>
        </w:rPr>
        <w:t>(Carmen et al., 2022; Sanyal &amp; Routray, 2016)</w:t>
      </w:r>
      <w:r w:rsidRPr="00AC1B06">
        <w:rPr>
          <w:rFonts w:cs="Calibri"/>
        </w:rPr>
        <w:fldChar w:fldCharType="end"/>
      </w:r>
      <w:r w:rsidRPr="00AC1B06">
        <w:rPr>
          <w:rFonts w:cs="Calibri"/>
        </w:rPr>
        <w:t>, which was seen within the LR group.</w:t>
      </w:r>
    </w:p>
    <w:p w14:paraId="039B24F4" w14:textId="77777777" w:rsidR="00787F73" w:rsidRPr="00AC1B06" w:rsidRDefault="00787F73" w:rsidP="00866155">
      <w:pPr>
        <w:rPr>
          <w:rFonts w:cs="Calibri"/>
        </w:rPr>
      </w:pPr>
    </w:p>
    <w:p w14:paraId="71E553B1" w14:textId="39A1552B" w:rsidR="00787F73" w:rsidRDefault="00742FB7" w:rsidP="00866155">
      <w:pPr>
        <w:rPr>
          <w:rFonts w:eastAsia="Calibri" w:cs="Calibri"/>
        </w:rPr>
      </w:pPr>
      <w:r w:rsidRPr="00AC1B06">
        <w:rPr>
          <w:rFonts w:cs="Calibri"/>
        </w:rPr>
        <w:t xml:space="preserve">When discussing their community with the LR participants, they noted that </w:t>
      </w:r>
      <w:r w:rsidR="00C84401">
        <w:rPr>
          <w:rFonts w:cs="Calibri"/>
        </w:rPr>
        <w:t>while</w:t>
      </w:r>
      <w:r w:rsidR="00C84401" w:rsidRPr="00AC1B06">
        <w:rPr>
          <w:rFonts w:cs="Calibri"/>
        </w:rPr>
        <w:t xml:space="preserve"> </w:t>
      </w:r>
      <w:r w:rsidRPr="00AC1B06">
        <w:rPr>
          <w:rFonts w:cs="Calibri"/>
        </w:rPr>
        <w:t xml:space="preserve">they are a small community, they were close knit before the flooding, with lots of different community groups, such as a drama group, tea clubs, as well as sporting clubs such as the cricket and bowls. They stated: </w:t>
      </w:r>
      <w:r w:rsidRPr="00AC1B06">
        <w:rPr>
          <w:rStyle w:val="QuoteChar"/>
          <w:rFonts w:cs="Calibri"/>
        </w:rPr>
        <w:t xml:space="preserve">“although it was small, there was always plenty of community stuff </w:t>
      </w:r>
      <w:r w:rsidRPr="00AC1B06">
        <w:rPr>
          <w:rStyle w:val="QuoteChar"/>
          <w:rFonts w:cs="Calibri"/>
        </w:rPr>
        <w:lastRenderedPageBreak/>
        <w:t>going on” (P2LR</w:t>
      </w:r>
      <w:r w:rsidR="0044412F">
        <w:rPr>
          <w:rStyle w:val="QuoteChar"/>
          <w:rFonts w:cs="Calibri"/>
        </w:rPr>
        <w:t xml:space="preserve"> focus group</w:t>
      </w:r>
      <w:r w:rsidRPr="00AC1B06">
        <w:rPr>
          <w:rStyle w:val="QuoteChar"/>
          <w:rFonts w:cs="Calibri"/>
        </w:rPr>
        <w:t xml:space="preserve">). </w:t>
      </w:r>
      <w:r w:rsidRPr="00AC1B06">
        <w:rPr>
          <w:rFonts w:eastAsia="Calibri" w:cs="Calibri"/>
        </w:rPr>
        <w:t xml:space="preserve">This suggests that prior to the flood there was already bonding social capital, with community networks and support already in place helping to develop community resilience </w:t>
      </w:r>
      <w:r w:rsidRPr="00AC1B06">
        <w:fldChar w:fldCharType="begin" w:fldLock="1"/>
      </w:r>
      <w:r w:rsidRPr="00AC1B06">
        <w:rPr>
          <w:rFonts w:eastAsia="Calibri" w:cs="Calibri"/>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India","type":"article-journal","volume":"19"},"uris":["http://www.mendeley.com/documents/?uuid=d8bcf27c-1efc-4c15-8204-cd8b37719dd2"]}],"mendeley":{"formattedCitation":"(Sanyal &amp; Routray, 2016)","plainTextFormattedCitation":"(Sanyal &amp; Routray, 2016)","previouslyFormattedCitation":"(Sanyal &amp; Routray, 2016)"},"properties":{"noteIndex":0},"schema":"https://github.com/citation-style-language/schema/raw/master/csl-citation.json"}</w:instrText>
      </w:r>
      <w:r w:rsidRPr="00AC1B06">
        <w:rPr>
          <w:rFonts w:eastAsia="Calibri" w:cs="Calibri"/>
        </w:rPr>
        <w:fldChar w:fldCharType="separate"/>
      </w:r>
      <w:r w:rsidRPr="00AC1B06">
        <w:rPr>
          <w:rFonts w:eastAsia="Calibri" w:cs="Calibri"/>
          <w:noProof/>
        </w:rPr>
        <w:t>(Sanyal &amp; Routray, 2016)</w:t>
      </w:r>
      <w:r w:rsidRPr="00AC1B06">
        <w:rPr>
          <w:rFonts w:eastAsia="Calibri" w:cs="Calibri"/>
        </w:rPr>
        <w:fldChar w:fldCharType="end"/>
      </w:r>
      <w:r w:rsidRPr="00AC1B06">
        <w:rPr>
          <w:rFonts w:eastAsia="Calibri" w:cs="Calibri"/>
        </w:rPr>
        <w:t>. When the flooding event happened in 2019, and a few months later COVID-19 started, the participants noted an increase in the sense of community spirit and engagement:</w:t>
      </w:r>
    </w:p>
    <w:p w14:paraId="296FD016" w14:textId="77777777" w:rsidR="004F6AAA" w:rsidRPr="00AC1B06" w:rsidRDefault="004F6AAA" w:rsidP="00866155"/>
    <w:p w14:paraId="05C8B034" w14:textId="77777777" w:rsidR="00787F73" w:rsidRPr="00AC1B06" w:rsidRDefault="00742FB7" w:rsidP="00866155">
      <w:pPr>
        <w:pStyle w:val="TranscriptTableText"/>
        <w:spacing w:line="360" w:lineRule="auto"/>
        <w:ind w:left="720" w:right="663"/>
        <w:jc w:val="both"/>
        <w:rPr>
          <w:sz w:val="24"/>
          <w:szCs w:val="24"/>
        </w:rPr>
      </w:pPr>
      <w:r w:rsidRPr="00AC1B06">
        <w:rPr>
          <w:rStyle w:val="QuoteChar"/>
          <w:rFonts w:cs="Calibri"/>
          <w:szCs w:val="24"/>
        </w:rPr>
        <w:t>“We couldn't really get out of the village for quite a while because the roads were still flooded all around us. And so, it was a matter of filling time by walking up to the [name removed] café, or walking to the pub. And they both really did serve the village very, very well (…) there was a great cohesion during that time”</w:t>
      </w:r>
      <w:r w:rsidRPr="00AC1B06">
        <w:rPr>
          <w:rFonts w:ascii="Calibri" w:hAnsi="Calibri" w:cs="Calibri"/>
          <w:sz w:val="24"/>
          <w:szCs w:val="24"/>
        </w:rPr>
        <w:t xml:space="preserve"> (P2LR</w:t>
      </w:r>
      <w:r w:rsidR="0044412F">
        <w:rPr>
          <w:rFonts w:ascii="Calibri" w:hAnsi="Calibri" w:cs="Calibri"/>
          <w:sz w:val="24"/>
          <w:szCs w:val="24"/>
        </w:rPr>
        <w:t xml:space="preserve"> focus group</w:t>
      </w:r>
      <w:r w:rsidRPr="00AC1B06">
        <w:rPr>
          <w:rFonts w:ascii="Calibri" w:hAnsi="Calibri" w:cs="Calibri"/>
          <w:sz w:val="24"/>
          <w:szCs w:val="24"/>
        </w:rPr>
        <w:t>).</w:t>
      </w:r>
    </w:p>
    <w:p w14:paraId="7F1C7AF3" w14:textId="77777777" w:rsidR="00787F73" w:rsidRDefault="00742FB7" w:rsidP="00866155">
      <w:pPr>
        <w:pStyle w:val="TranscriptTableText"/>
        <w:spacing w:line="360" w:lineRule="auto"/>
        <w:ind w:left="720" w:right="663"/>
        <w:jc w:val="both"/>
        <w:rPr>
          <w:rStyle w:val="QuoteChar"/>
          <w:rFonts w:cs="Calibri"/>
          <w:szCs w:val="24"/>
        </w:rPr>
      </w:pPr>
      <w:r w:rsidRPr="00AC1B06">
        <w:rPr>
          <w:rStyle w:val="QuoteChar"/>
          <w:rFonts w:cs="Calibri"/>
          <w:szCs w:val="24"/>
        </w:rPr>
        <w:t>“I didn’t really know a lot of people in the village unless I knew them from drinking, to be honest, in the pub. But I know a lot more now since we've been flooded. It really, weirdly, joined the community together, for me. I've spoken to people I've never met before” (P1LR</w:t>
      </w:r>
      <w:r w:rsidR="0044412F">
        <w:rPr>
          <w:rStyle w:val="QuoteChar"/>
          <w:rFonts w:cs="Calibri"/>
          <w:szCs w:val="24"/>
        </w:rPr>
        <w:t xml:space="preserve"> focus group</w:t>
      </w:r>
      <w:r w:rsidRPr="00AC1B06">
        <w:rPr>
          <w:rStyle w:val="QuoteChar"/>
          <w:rFonts w:cs="Calibri"/>
          <w:szCs w:val="24"/>
        </w:rPr>
        <w:t>).</w:t>
      </w:r>
    </w:p>
    <w:p w14:paraId="266B323A" w14:textId="77777777" w:rsidR="004F6AAA" w:rsidRPr="00AC1B06" w:rsidRDefault="004F6AAA" w:rsidP="00866155">
      <w:pPr>
        <w:pStyle w:val="TranscriptTableText"/>
        <w:spacing w:line="360" w:lineRule="auto"/>
        <w:ind w:left="720" w:right="663"/>
        <w:jc w:val="both"/>
        <w:rPr>
          <w:sz w:val="24"/>
          <w:szCs w:val="24"/>
        </w:rPr>
      </w:pPr>
    </w:p>
    <w:p w14:paraId="02A5C819" w14:textId="7D4D3825" w:rsidR="00787F73" w:rsidRPr="00AC1B06" w:rsidRDefault="00C84401" w:rsidP="00866155">
      <w:r w:rsidRPr="00010F12">
        <w:rPr>
          <w:rFonts w:cs="Calibri"/>
        </w:rPr>
        <w:t>While</w:t>
      </w:r>
      <w:r w:rsidR="00742FB7" w:rsidRPr="00AC1B06">
        <w:rPr>
          <w:rFonts w:cs="Calibri"/>
        </w:rPr>
        <w:t xml:space="preserve"> these community assets (networks and physical locations) were in place prior to the flood, it appears that the flood provided a catalyst for community members who may not have engaged with community groups prior to the flood to seek out support and link in with community networks, thereby developing their individual bonding social capital within the community and also linking into the established community networks </w:t>
      </w:r>
      <w:r w:rsidR="00742FB7" w:rsidRPr="00AC1B06">
        <w:fldChar w:fldCharType="begin" w:fldLock="1"/>
      </w:r>
      <w:bookmarkStart w:id="1044" w:name="_Hlk153209773"/>
      <w:r w:rsidR="00974B75" w:rsidRPr="00AC1B06">
        <w:rPr>
          <w:rFonts w:cs="Calibri"/>
        </w:rPr>
        <w:instrText>ADDIN CSL_CITATION {"citationItems":[{"id":"ITEM-1","itemData":{"DOI":"10.1371/currents.dis.db775aff25efc5ac4f0660ad9c9f7db2","ISSN":"2157-3999","abstract":"Background: Government, industry and charitable organisations have an increasing focus on programs intended to support community resilience to disasters. But has consensus been reached as to what defines 'community resilience' and what its core characteristics are? Methods: We undertook a systematic literature review of definitions of community resilience related to disasters. We conducted an inductive thematic analysis of the definitions and descriptions that we identified, in order to determine the proposed characteristics of community resilience prior to, during and after a disaster. Results: We identified 80 relevant papers. There was no evidence of a common, agreed definition of community resilience. In spite of this, evidence was found of nine core elements of community resilience that were common among the definitions. The core elements were: local knowledge, community networks and relationships, communication, health, governance and leadership, resources, economic investment, preparedness, and mental outlook. Within these core elements, we identified 19 sub-elements linked to community resilience. Conclusion: Our findings show that community resilience remains an amorphous concept that is understood and applied differently by different research groups. Yet in spite of the differences in conception and application, there are well-understood elements that are widely proposed as important for a resilient community. A focus on these individual elements may be more productive than attempting to define and study community resilience as a distinct concept. Tweet Patel SS, Rogers MB, Amlôt R, Rubin GJ. What Do We Mean by 'Community Resilience'? A","author":[{"dropping-particle":"","family":"Patel","given":"Sonny S","non-dropping-particle":"","parse-names":false,"suffix":""},{"dropping-particle":"","family":"Rogers","given":"M Brooke","non-dropping-particle":"","parse-names":false,"suffix":""},{"dropping-particle":"","family":"Amlôt","given":"Richard","non-dropping-particle":"","parse-names":false,"suffix":""},{"dropping-particle":"","family":"Rubin","given":"G James","non-dropping-particle":"","parse-names":false,"suffix":""}],"container-title":"PLoS currents","id":"ITEM-1","issued":{"date-parts":[["2017"]]},"page":"1-22","title":"What Do We Mean by 'Community Resilience'? A Systematic Literature Review of How It Is Defined in the Literature","type":"article-journal","volume":"9"},"uris":["http://www.mendeley.com/documents/?uuid=8b7e845a-0cc5-4c23-b38e-826bdf09e29d"]},{"id":"ITEM-2","itemData":{"DOI":"10.1146/annurev.energy.32.051807.090348","ISBN":"1708-3087","ISSN":"0954-5794","PMID":"7615","abstract":"Despite the recent popularity and frequent use of the disaster resilience concept in the academic, re- search, and policy programs, there is a limited theoretical understanding of this concept. For instance, it is not clear how this concept should be operationalized and what its determinant factors are or how they can be measured. Al- though the recent literatures on hazard and disaster frequently refer to resilience concept as a guiding principle behind an effective hazard risk management, making it operational for policies raises critical challenges in terms of its as- sessment. This paper is an attempt to develop a conceptual and methodological framework for the analysis, measure- ment, and mapping of community disaster resilience. The paper specifically intends to archive three objectives. Firstly, it examines the general definitional issues of the concept of resilience with a focus on community disaster re- silience. Secondly, it reviews the frameworks that are currently used to measure community resilience. Thirdly, it evaluates the existing methods that are used to develop resilience indices, and based on this review, a methodology on how to measure community disaster resilience is proposed. Finally, it summarizes the limitations and recommen- dations for further improvement of the methodology.","author":[{"dropping-particle":"","family":"Mayunga","given":"Joseph S","non-dropping-particle":"","parse-names":false,"suffix":""}],"container-title":"Summer academy for social vulnerability and resilience building","id":"ITEM-2","issue":"1","issued":{"date-parts":[["2007"]]},"number-of-pages":"1-16","publisher-place":"Munich","title":"Understanding and Applying the Concept of Community Disaster Resilience : A capital-based approach","type":"report"},"uris":["http://www.mendeley.com/documents/?uuid=8d9105d9-093b-4ab1-98f2-8230311a4cbf"]},{"id":"ITEM-3","itemData":{"author":[{"dropping-particle":"","family":"Sanyal","given":"Saswata","non-dropping-particle":"","parse-names":false,"suffix":""},{"dropping-particle":"","family":"Routray","given":"Jayant K.","non-dropping-particle":"","parse-names":false,"suffix":""}],"container-title":"International Journal of Disaster Risk Reduction","id":"ITEM-3","issued":{"date-parts":[["2016"]]},"page":"101-111","title":"Social capital for disaster risk reduction and management with empirical evidences from Sundarbans of India","type":"article-journal","volume":"19"},"uris":["http://www.mendeley.com/documents/?uuid=d8bcf27c-1efc-4c15-8204-cd8b37719dd2"]}],"mendeley":{"formattedCitation":"(Patel et al., 2017; Sanyal &amp; Routray, 2016; Mayunga, 2007)","plainTextFormattedCitation":"(Patel et al., 2017; Sanyal &amp; Routray, 2016; Mayunga, 2007)","previouslyFormattedCitation":"(Patel et al., 2017; Sanyal &amp; Routray, 2016; Mayunga, 2007)"},"properties":{"noteIndex":0},"schema":"https://github.com/citation-style-language/schema/raw/master/csl-citation.json"}</w:instrText>
      </w:r>
      <w:r w:rsidR="00742FB7" w:rsidRPr="00AC1B06">
        <w:rPr>
          <w:rFonts w:cs="Calibri"/>
        </w:rPr>
        <w:fldChar w:fldCharType="separate"/>
      </w:r>
      <w:r w:rsidR="00742FB7" w:rsidRPr="00AC1B06">
        <w:rPr>
          <w:rFonts w:cs="Calibri"/>
          <w:noProof/>
        </w:rPr>
        <w:t>(Patel et al., 2017; Sanyal &amp; Routray, 2016; Mayunga, 2007)</w:t>
      </w:r>
      <w:r w:rsidR="00742FB7" w:rsidRPr="00AC1B06">
        <w:rPr>
          <w:rFonts w:cs="Calibri"/>
        </w:rPr>
        <w:fldChar w:fldCharType="end"/>
      </w:r>
      <w:bookmarkEnd w:id="1044"/>
      <w:r w:rsidR="00742FB7" w:rsidRPr="00AC1B06">
        <w:rPr>
          <w:rFonts w:cs="Calibri"/>
        </w:rPr>
        <w:t xml:space="preserve">, developing reactive resilience </w:t>
      </w:r>
      <w:r w:rsidR="00742FB7" w:rsidRPr="00AC1B06">
        <w:fldChar w:fldCharType="begin" w:fldLock="1"/>
      </w:r>
      <w:r w:rsidR="00742FB7" w:rsidRPr="00AC1B06">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sidR="00742FB7" w:rsidRPr="00AC1B06">
        <w:rPr>
          <w:rFonts w:cs="Calibri"/>
        </w:rPr>
        <w:fldChar w:fldCharType="separate"/>
      </w:r>
      <w:r w:rsidR="00742FB7" w:rsidRPr="00AC1B06">
        <w:rPr>
          <w:rFonts w:cs="Calibri"/>
          <w:noProof/>
        </w:rPr>
        <w:t>(Carmen et al., 2022)</w:t>
      </w:r>
      <w:r w:rsidR="00742FB7" w:rsidRPr="00AC1B06">
        <w:rPr>
          <w:rFonts w:cs="Calibri"/>
        </w:rPr>
        <w:fldChar w:fldCharType="end"/>
      </w:r>
      <w:r w:rsidR="00742FB7" w:rsidRPr="00AC1B06">
        <w:rPr>
          <w:rFonts w:cs="Calibri"/>
        </w:rPr>
        <w:t xml:space="preserve">. The LR community group not only had social groups and events prior to the flooding, they also had a group dedicated to the flooding and an active flood warden group. </w:t>
      </w:r>
    </w:p>
    <w:p w14:paraId="2CFA1876" w14:textId="77777777" w:rsidR="00787F73" w:rsidRPr="00AC1B06" w:rsidRDefault="00787F73" w:rsidP="00866155">
      <w:pPr>
        <w:rPr>
          <w:rFonts w:cs="Calibri"/>
        </w:rPr>
      </w:pPr>
    </w:p>
    <w:p w14:paraId="1189353F" w14:textId="77777777" w:rsidR="00787F73" w:rsidRPr="00AC1B06" w:rsidRDefault="00742FB7" w:rsidP="00866155">
      <w:r w:rsidRPr="00AC1B06">
        <w:rPr>
          <w:rFonts w:cs="Calibri"/>
        </w:rPr>
        <w:t xml:space="preserve">Prior to the flooding in 2019, the LR community had a flood warden group, who frequently updated the community about the levels of the river. I interviewed one of the flood wardens and he revealed he was a retired Geography teacher, and therefore understood the topography and the threat risk from river floods and was then able to help communicate some of that risk to the community who were following their updates and emails. This suggests that within the community’s assets, one can also include the field logics of different </w:t>
      </w:r>
      <w:r w:rsidRPr="00AC1B06">
        <w:rPr>
          <w:rFonts w:cs="Calibri"/>
        </w:rPr>
        <w:lastRenderedPageBreak/>
        <w:t xml:space="preserve">professions, including logics associated with education and disseminating information to groups of people </w:t>
      </w:r>
      <w:r w:rsidRPr="00AC1B06">
        <w:fldChar w:fldCharType="begin" w:fldLock="1"/>
      </w:r>
      <w:r w:rsidRPr="00AC1B06">
        <w:rPr>
          <w:rFonts w:cs="Calibri"/>
        </w:rPr>
        <w:instrText>ADDIN CSL_CITATION {"citationItems":[{"id":"ITEM-1","itemData":{"DOI":"10.1080/03075079.2021.1946032","ISSN":"1470174X","abstract":"While institutional logics theory has increasingly been applied in higher education research, especially in the past five years, agreement is lacking on how to approach institutional logics analysis. This results in proliferating institutional logics in higher education studies and often confuses newcomers to the field as to how to use institutional logics in their empirical research. As a response to this situation, our study outlines the state-of-the-art application of institutional logics in higher education studies through scrutinising 59 articles that apply institutional logics in organisation studies in the field of higher education. Specifically, we ask the following research questions: What approaches to institutional logics analysis are used in higher education studies? What institutional logics are identified/applied in higher education studies? What challenges are evident in applying institutional logics in higher education studies? How does the use of institutional logics in higher education research contribute to institutional logics theory? The most profound outcomes of our literature analysis are: First, we construct a novel typology of approaches to institutional logics analysis that is positioned on two-dimensions: the reasoning applied (deductive vs. inductive), and the level at which the logic is examined (societal vs. field/local); Second, we create an exhaustive list of institutional logics (over 50) applied and identified in these studies; Third, we discover major challenges in using institutional logics in higher education research. Finally, we clearly define societal-level and field-level logics and suggest a rationalisation of institutional logics approaches in order to fully utilise the explanatory power of institutional logics.","author":[{"dropping-particle":"","family":"Cai","given":"Yuzhuo","non-dropping-particle":"","parse-names":false,"suffix":""},{"dropping-particle":"","family":"Mountford","given":"Nicola","non-dropping-particle":"","parse-names":false,"suffix":""}],"container-title":"Studies in Higher Education","id":"ITEM-1","issue":"8","issued":{"date-parts":[["2022"]]},"page":"1627-1651","title":"Institutional logics analysis in higher education research","type":"article-journal","volume":"47"},"uris":["http://www.mendeley.com/documents/?uuid=b02524ae-b3f4-409c-8ba0-8ba3e0859742"]}],"mendeley":{"formattedCitation":"(Cai &amp; Mountford, 2022)","plainTextFormattedCitation":"(Cai &amp; Mountford, 2022)","previouslyFormattedCitation":"(Cai &amp; Mountford, 2022)"},"properties":{"noteIndex":0},"schema":"https://github.com/citation-style-language/schema/raw/master/csl-citation.json"}</w:instrText>
      </w:r>
      <w:r w:rsidRPr="00AC1B06">
        <w:rPr>
          <w:rFonts w:cs="Calibri"/>
        </w:rPr>
        <w:fldChar w:fldCharType="separate"/>
      </w:r>
      <w:r w:rsidRPr="00AC1B06">
        <w:rPr>
          <w:rFonts w:cs="Calibri"/>
          <w:noProof/>
        </w:rPr>
        <w:t>(Cai &amp; Mountford, 2022)</w:t>
      </w:r>
      <w:r w:rsidRPr="00AC1B06">
        <w:rPr>
          <w:rFonts w:cs="Calibri"/>
        </w:rPr>
        <w:fldChar w:fldCharType="end"/>
      </w:r>
      <w:r w:rsidRPr="00AC1B06">
        <w:rPr>
          <w:rFonts w:cs="Calibri"/>
        </w:rPr>
        <w:t xml:space="preserve">. This indicates that community members can acknowledge and trust the institutional legitimacy held by their fellow community members </w:t>
      </w:r>
      <w:r w:rsidRPr="00AC1B06">
        <w:fldChar w:fldCharType="begin" w:fldLock="1"/>
      </w:r>
      <w:r w:rsidRPr="00AC1B06">
        <w:rPr>
          <w:rFonts w:cs="Calibri"/>
        </w:rPr>
        <w:instrText>ADDIN CSL_CITATION {"citationItems":[{"id":"ITEM-1","itemData":{"ISBN":"1526415054","author":[{"dropping-particle":"","family":"Greenwood","given":"Royston","non-dropping-particle":"","parse-names":false,"suffix":""},{"dropping-particle":"","family":"Oliver","given":"Christine","non-dropping-particle":"","parse-names":false,"suffix":""},{"dropping-particle":"","family":"Sahlin","given":"Kerstin","non-dropping-particle":"","parse-names":false,"suffix":""},{"dropping-particle":"","family":"Suddaby","given":"Roy","non-dropping-particle":"","parse-names":false,"suffix":""}],"chapter-number":"1","container-title":"The Sage handbook of Organizational Institutionalism","editor":[{"dropping-particle":"","family":"Greenwood","given":"Royston","non-dropping-particle":"","parse-names":false,"suffix":""},{"dropping-particle":"","family":"Oliver","given":"Christine","non-dropping-particle":"","parse-names":false,"suffix":""},{"dropping-particle":"","family":"Lawrence","given":"Thomas B","non-dropping-particle":"","parse-names":false,"suffix":""},{"dropping-particle":"","family":"Meyer","given":"Renate E","non-dropping-particle":"","parse-names":false,"suffix":""}],"id":"ITEM-1","issued":{"date-parts":[["2008"]]},"page":"1 -34","publisher":"Sage","publisher-place":"London","title":"Introduction","type":"chapter"},"uris":["http://www.mendeley.com/documents/?uuid=3fed7a46-7a1f-43ad-aae4-af5880dadba6"]},{"id":"ITEM-2","itemData":{"abstract":"To compare and contrast institutional theories used in or- ganizational analysis, the theoretical frameworks and ar- guments of leading contributors to institutional theory are reviewed and recent empirical studies using institutional arguments are examined. Both approaches reveal consid- erable variation in the types of concepts and arguments employed, and it is argued that further improvement and growth in institutional theory is dependent upon analysts dealing more explicitly with these differences. In addition, the relation between institutions and interests is explored to show that institutional features of organizational envi- ronments shape both the goals and means of actors. At- tention is called to the two primary types of actors shaping institutional environments in modern societies- the state and professional bodies-and to the way in which their interests and mode of action shape institu- tional patterns and mechanisms.","author":[{"dropping-particle":"","family":"Scott","given":"W Richard","non-dropping-particle":"","parse-names":false,"suffix":""}],"container-title":"Administrative Science Quarterly","id":"ITEM-2","issue":"4","issued":{"date-parts":[["1987"]]},"page":"493-511","title":"The Adolescence of Institutional Theory","type":"article-journal","volume":"32"},"uris":["http://www.mendeley.com/documents/?uuid=37d3c9ed-07b7-411f-adb3-1b1804691329"]}],"mendeley":{"formattedCitation":"(Greenwood et al., 2008; Scott, 1987)","plainTextFormattedCitation":"(Greenwood et al., 2008; Scott, 1987)","previouslyFormattedCitation":"(Greenwood et al., 2008; Scott, 1987)"},"properties":{"noteIndex":0},"schema":"https://github.com/citation-style-language/schema/raw/master/csl-citation.json"}</w:instrText>
      </w:r>
      <w:r w:rsidRPr="00AC1B06">
        <w:rPr>
          <w:rFonts w:cs="Calibri"/>
        </w:rPr>
        <w:fldChar w:fldCharType="separate"/>
      </w:r>
      <w:r w:rsidRPr="00AC1B06">
        <w:rPr>
          <w:rFonts w:eastAsia="Arial" w:cs="Calibri"/>
          <w:noProof/>
        </w:rPr>
        <w:t>(Greenwood et al., 2008; Scott, 1987)</w:t>
      </w:r>
      <w:r w:rsidRPr="00AC1B06">
        <w:rPr>
          <w:rFonts w:cs="Calibri"/>
        </w:rPr>
        <w:fldChar w:fldCharType="end"/>
      </w:r>
      <w:r w:rsidRPr="00AC1B06">
        <w:rPr>
          <w:rFonts w:eastAsia="Arial" w:cs="Calibri"/>
        </w:rPr>
        <w:t xml:space="preserve">. The acknowledgement and trust of individuals’ institutional legitimacy was increased as the flood warden group was also embedded within the community, and as such there was an additional sense of trust as they were viewed as part of the community. </w:t>
      </w:r>
    </w:p>
    <w:p w14:paraId="57CC7C37" w14:textId="77777777" w:rsidR="00787F73" w:rsidRPr="00AC1B06" w:rsidRDefault="00787F73" w:rsidP="00866155">
      <w:pPr>
        <w:rPr>
          <w:rFonts w:cs="Calibri"/>
        </w:rPr>
      </w:pPr>
    </w:p>
    <w:p w14:paraId="5AC62B03" w14:textId="4333E947" w:rsidR="00787F73" w:rsidRPr="00AC1B06" w:rsidRDefault="00742FB7" w:rsidP="00866155">
      <w:r w:rsidRPr="00AC1B06">
        <w:rPr>
          <w:rFonts w:cs="Calibri"/>
        </w:rPr>
        <w:t xml:space="preserve">The community groups in the LR location can be viewed as building community resilience as they were actively building and developing the social networks and support within the community, which is viewed as a key element within the development of community resilience </w:t>
      </w:r>
      <w:r w:rsidRPr="00AC1B06">
        <w:fldChar w:fldCharType="begin" w:fldLock="1"/>
      </w:r>
      <w:r w:rsidR="00974B75" w:rsidRPr="00AC1B06">
        <w:rPr>
          <w:rFonts w:cs="Calibri"/>
        </w:rPr>
        <w:instrText>ADDIN CSL_CITATION {"citationItems":[{"id":"ITEM-1","itemData":{"DOI":"10.1371/currents.dis.db775aff25efc5ac4f0660ad9c9f7db2","ISSN":"2157-3999","abstract":"Background: Government, industry and charitable organisations have an increasing focus on programs intended to support community resilience to disasters. But has consensus been reached as to what defines 'community resilience' and what its core characteristics are? Methods: We undertook a systematic literature review of definitions of community resilience related to disasters. We conducted an inductive thematic analysis of the definitions and descriptions that we identified, in order to determine the proposed characteristics of community resilience prior to, during and after a disaster. Results: We identified 80 relevant papers. There was no evidence of a common, agreed definition of community resilience. In spite of this, evidence was found of nine core elements of community resilience that were common among the definitions. The core elements were: local knowledge, community networks and relationships, communication, health, governance and leadership, resources, economic investment, preparedness, and mental outlook. Within these core elements, we identified 19 sub-elements linked to community resilience. Conclusion: Our findings show that community resilience remains an amorphous concept that is understood and applied differently by different research groups. Yet in spite of the differences in conception and application, there are well-understood elements that are widely proposed as important for a resilient community. A focus on these individual elements may be more productive than attempting to define and study community resilience as a distinct concept. Tweet Patel SS, Rogers MB, Amlôt R, Rubin GJ. What Do We Mean by 'Community Resilience'? A","author":[{"dropping-particle":"","family":"Patel","given":"Sonny S","non-dropping-particle":"","parse-names":false,"suffix":""},{"dropping-particle":"","family":"Rogers","given":"M Brooke","non-dropping-particle":"","parse-names":false,"suffix":""},{"dropping-particle":"","family":"Amlôt","given":"Richard","non-dropping-particle":"","parse-names":false,"suffix":""},{"dropping-particle":"","family":"Rubin","given":"G James","non-dropping-particle":"","parse-names":false,"suffix":""}],"container-title":"PLoS currents","id":"ITEM-1","issued":{"date-parts":[["2017"]]},"page":"1-22","title":"What Do We Mean by 'Community Resilience'? A Systematic Literature Review of How It Is Defined in the Literature","type":"article-journal","volume":"9"},"uris":["http://www.mendeley.com/documents/?uuid=8b7e845a-0cc5-4c23-b38e-826bdf09e29d"]},{"id":"ITEM-2","itemData":{"DOI":"10.1007/s10464-007-9156-6","ISBN":"0091-0562 (Print)","ISSN":"00910562","PMID":"18157631","abstract":"Communities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unknowns.","author":[{"dropping-particle":"","family":"Norris","given":"Fran H.","non-dropping-particle":"","parse-names":false,"suffix":""},{"dropping-particle":"","family":"Stevens","given":"Susan P.","non-dropping-particle":"","parse-names":false,"suffix":""},{"dropping-particle":"","family":"Pfefferbaum","given":"Betty","non-dropping-particle":"","parse-names":false,"suffix":""},{"dropping-particle":"","family":"Wyche","given":"Karen F.","non-dropping-particle":"","parse-names":false,"suffix":""},{"dropping-particle":"","family":"Pfefferbaum","given":"Rose L.","non-dropping-particle":"","parse-names":false,"suffix":""}],"container-title":"American Journal of Community Psychology","id":"ITEM-2","issued":{"date-parts":[["2008"]]},"page":"127-150","title":"Community resilience as a metaphor, theory, set of capacities, and strategy for disaster readiness","type":"article-journal","volume":"41"},"uris":["http://www.mendeley.com/documents/?uuid=ce971e9c-40de-4c41-9d71-39c5bbe61334"]},{"id":"ITEM-3","itemData":{"DOI":"10.1080/08941920.2012.736605","ISBN":"0894-1920","ISSN":"08941920","PMID":"84423027","abstract":"We explore opportunities for an integrated approach in community resilience to inform new research directions and practice, using the productive common ground between two strands of literature on community resilience, one from social-ecological systems and the other from the psychology of development and mental health. The first strand treats resilience as a systems concept, dealing with adaptive relationships and learning in social-ecological systems across nested levels, with attention to feedbacks, nonlinearity, unpredictability, scale, renewal cycles, drivers, system memory, disturbance events, and windows of opportunity. The second strand emphasizes identifying and developing community strengths, and building resilience through agency and self-organization, with attention to people-place connections, values and beliefs, knowledge and learning, social networks, collaborative governance, economic diversification, infrastructure, leadership, and outlook. An integrative approach seated in the complex adaptive system and ecological understanding can incorporate the identification of explicit social strengths and connections to place, activated by agency and self-organizing. &amp;copy; 2013 Copyright Taylor and Francis Group, LLC.","author":[{"dropping-particle":"","family":"Berkes","given":"Fikret","non-dropping-particle":"","parse-names":false,"suffix":""},{"dropping-particle":"","family":"Ross","given":"Helen","non-dropping-particle":"","parse-names":false,"suffix":""}],"container-title":"Society and Natural Resources","id":"ITEM-3","issue":"1","issued":{"date-parts":[["2013"]]},"page":"5-20","title":"Community Resilience: Toward an Integrated Approach","type":"article-journal","volume":"26"},"uris":["http://www.mendeley.com/documents/?uuid=0b80407c-2c27-4353-a9ed-b8cff357c953"]}],"mendeley":{"formattedCitation":"(Patel et al., 2017; Berkes &amp; Ross, 2013; Norris et al., 2008)","plainTextFormattedCitation":"(Patel et al., 2017; Berkes &amp; Ross, 2013; Norris et al., 2008)","previouslyFormattedCitation":"(Patel et al., 2017; Berkes &amp; Ross, 2013; Norris et al., 2008)"},"properties":{"noteIndex":0},"schema":"https://github.com/citation-style-language/schema/raw/master/csl-citation.json"}</w:instrText>
      </w:r>
      <w:r w:rsidRPr="00AC1B06">
        <w:rPr>
          <w:rFonts w:cs="Calibri"/>
        </w:rPr>
        <w:fldChar w:fldCharType="separate"/>
      </w:r>
      <w:r w:rsidRPr="00AC1B06">
        <w:rPr>
          <w:rFonts w:cs="Calibri"/>
          <w:noProof/>
        </w:rPr>
        <w:t>(Patel et al., 2017; Berkes &amp; Ross, 2013; Norris et al., 2008)</w:t>
      </w:r>
      <w:r w:rsidRPr="00AC1B06">
        <w:rPr>
          <w:rFonts w:cs="Calibri"/>
        </w:rPr>
        <w:fldChar w:fldCharType="end"/>
      </w:r>
      <w:r w:rsidRPr="00AC1B06">
        <w:rPr>
          <w:rFonts w:cs="Calibri"/>
        </w:rPr>
        <w:t>. Not only did they have the social network development, but the flood warden group was actively working towards community resilience for flooding by monitoring the water levels and informing (and warning) the surrounding community of this information</w:t>
      </w:r>
      <w:r w:rsidR="00CF5D0F">
        <w:rPr>
          <w:rFonts w:cs="Calibri"/>
        </w:rPr>
        <w:t>.</w:t>
      </w:r>
      <w:r w:rsidRPr="00AC1B06">
        <w:rPr>
          <w:rFonts w:cs="Calibri"/>
        </w:rPr>
        <w:t xml:space="preserve"> </w:t>
      </w:r>
      <w:r w:rsidR="00CF5D0F">
        <w:rPr>
          <w:rFonts w:cs="Calibri"/>
        </w:rPr>
        <w:t>This developed</w:t>
      </w:r>
      <w:r w:rsidRPr="00AC1B06">
        <w:rPr>
          <w:rFonts w:cs="Calibri"/>
        </w:rPr>
        <w:t xml:space="preserve"> resilience by making the community aware of the risk and providing open communication to the changing level of risk. This could be viewed as developing responsive resilience </w:t>
      </w:r>
      <w:r w:rsidRPr="00AC1B06">
        <w:fldChar w:fldCharType="begin" w:fldLock="1"/>
      </w:r>
      <w:r w:rsidRPr="00AC1B06">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sidRPr="00AC1B06">
        <w:rPr>
          <w:rFonts w:cs="Calibri"/>
        </w:rPr>
        <w:fldChar w:fldCharType="separate"/>
      </w:r>
      <w:r w:rsidRPr="00AC1B06">
        <w:rPr>
          <w:rFonts w:cs="Calibri"/>
          <w:noProof/>
        </w:rPr>
        <w:t>(Carmen et al., 2022)</w:t>
      </w:r>
      <w:r w:rsidRPr="00AC1B06">
        <w:rPr>
          <w:rFonts w:cs="Calibri"/>
        </w:rPr>
        <w:fldChar w:fldCharType="end"/>
      </w:r>
      <w:r w:rsidRPr="00AC1B06">
        <w:rPr>
          <w:rFonts w:cs="Calibri"/>
        </w:rPr>
        <w:t xml:space="preserve">, as there was an awareness of the risk associated with the river and its potential to flood. This responsive resilience was increased further after the flood, with an increase in volunteers to be flood wardens, which will be discussed later in this section. </w:t>
      </w:r>
      <w:r w:rsidR="00C84401" w:rsidRPr="00010F12">
        <w:rPr>
          <w:rFonts w:cs="Calibri"/>
        </w:rPr>
        <w:t>While</w:t>
      </w:r>
      <w:r w:rsidRPr="00AC1B06">
        <w:rPr>
          <w:rFonts w:cs="Calibri"/>
        </w:rPr>
        <w:t xml:space="preserve"> SYFR do not have any statutory obligation to support in the prevention of flooding, the experience of the LR group highlights the importance of developing groups and enhancing understanding of risk prior to an event. The flood warden groups are managed by the Environment Agency and this shows the role of agencies in developing local community resilience and the benefits of linking social capital </w:t>
      </w:r>
      <w:r w:rsidRPr="00AC1B06">
        <w:fldChar w:fldCharType="begin" w:fldLock="1"/>
      </w:r>
      <w:r w:rsidRPr="00AC1B06">
        <w:rPr>
          <w:rFonts w:cs="Calibri"/>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India","type":"article-journal","volume":"19"},"uris":["http://www.mendeley.com/documents/?uuid=d8bcf27c-1efc-4c15-8204-cd8b37719dd2"]}],"mendeley":{"formattedCitation":"(Sanyal &amp; Routray, 2016)","plainTextFormattedCitation":"(Sanyal &amp; Routray, 2016)","previouslyFormattedCitation":"(Sanyal &amp; Routray, 2016)"},"properties":{"noteIndex":0},"schema":"https://github.com/citation-style-language/schema/raw/master/csl-citation.json"}</w:instrText>
      </w:r>
      <w:r w:rsidRPr="00AC1B06">
        <w:rPr>
          <w:rFonts w:cs="Calibri"/>
        </w:rPr>
        <w:fldChar w:fldCharType="separate"/>
      </w:r>
      <w:r w:rsidRPr="00AC1B06">
        <w:rPr>
          <w:rFonts w:cs="Calibri"/>
          <w:noProof/>
        </w:rPr>
        <w:t>(Sanyal &amp; Routray, 2016)</w:t>
      </w:r>
      <w:r w:rsidRPr="00AC1B06">
        <w:rPr>
          <w:rFonts w:cs="Calibri"/>
        </w:rPr>
        <w:fldChar w:fldCharType="end"/>
      </w:r>
      <w:r w:rsidRPr="00AC1B06">
        <w:rPr>
          <w:rFonts w:cs="Calibri"/>
        </w:rPr>
        <w:t xml:space="preserve"> .  </w:t>
      </w:r>
    </w:p>
    <w:p w14:paraId="7F6CF48B" w14:textId="77777777" w:rsidR="00787F73" w:rsidRPr="00AC1B06" w:rsidRDefault="00787F73" w:rsidP="00866155">
      <w:pPr>
        <w:rPr>
          <w:rFonts w:cs="Calibri"/>
        </w:rPr>
      </w:pPr>
    </w:p>
    <w:p w14:paraId="11EE6C43" w14:textId="39892661" w:rsidR="00787F73" w:rsidRPr="00AC1B06" w:rsidRDefault="00C84401" w:rsidP="00866155">
      <w:r w:rsidRPr="00010F12">
        <w:rPr>
          <w:rFonts w:cs="Calibri"/>
        </w:rPr>
        <w:t>While</w:t>
      </w:r>
      <w:r w:rsidR="00742FB7" w:rsidRPr="00AC1B06">
        <w:rPr>
          <w:rFonts w:cs="Calibri"/>
        </w:rPr>
        <w:t xml:space="preserve"> the LR community group had a series of assets which they were actively developing in the phase prior to the flooding, not all communities have a similar experience, as seen with the HR community. When </w:t>
      </w:r>
      <w:r w:rsidR="00CF5D0F">
        <w:rPr>
          <w:rFonts w:cs="Calibri"/>
        </w:rPr>
        <w:t xml:space="preserve">I </w:t>
      </w:r>
      <w:r w:rsidR="00742FB7" w:rsidRPr="00AC1B06">
        <w:rPr>
          <w:rFonts w:cs="Calibri"/>
        </w:rPr>
        <w:t xml:space="preserve">talked to members of the HR community, they explained that they had been greatly impacted by the closing of the local coal mines, which was similar to the experience of the LR community. However, the HR community had been more dependent on the economic provision of the mines, due to the history of the location: </w:t>
      </w:r>
    </w:p>
    <w:p w14:paraId="02BC123F" w14:textId="77777777" w:rsidR="00787F73" w:rsidRDefault="00742FB7" w:rsidP="00866155">
      <w:pPr>
        <w:pStyle w:val="TranscriptTableText"/>
        <w:spacing w:line="360" w:lineRule="auto"/>
        <w:ind w:left="720" w:right="663"/>
        <w:rPr>
          <w:rFonts w:ascii="Calibri" w:hAnsi="Calibri" w:cs="Calibri"/>
          <w:sz w:val="24"/>
          <w:szCs w:val="24"/>
        </w:rPr>
      </w:pPr>
      <w:r w:rsidRPr="00AC1B06">
        <w:rPr>
          <w:rStyle w:val="QuoteChar"/>
          <w:rFonts w:cs="Calibri"/>
          <w:szCs w:val="24"/>
        </w:rPr>
        <w:lastRenderedPageBreak/>
        <w:t xml:space="preserve">“The site was built, basically, as housing for coal miners that worked at the [name removed] Pits. (…) they didn’t really think about people actually living there. The working man’s club on there is really important, that’s very much seen as being a local community hub. There is one community centre but at the moment that only is really accessible to the few residents that live around it, they play bingo and that’s pretty much it.” </w:t>
      </w:r>
      <w:r w:rsidRPr="00AC1B06">
        <w:rPr>
          <w:rFonts w:ascii="Calibri" w:hAnsi="Calibri" w:cs="Calibri"/>
          <w:sz w:val="24"/>
          <w:szCs w:val="24"/>
        </w:rPr>
        <w:t>(P2HR</w:t>
      </w:r>
      <w:r w:rsidR="0044412F">
        <w:rPr>
          <w:rFonts w:ascii="Calibri" w:hAnsi="Calibri" w:cs="Calibri"/>
          <w:sz w:val="24"/>
          <w:szCs w:val="24"/>
        </w:rPr>
        <w:t xml:space="preserve"> focus group</w:t>
      </w:r>
      <w:r w:rsidRPr="00AC1B06">
        <w:rPr>
          <w:rFonts w:ascii="Calibri" w:hAnsi="Calibri" w:cs="Calibri"/>
          <w:sz w:val="24"/>
          <w:szCs w:val="24"/>
        </w:rPr>
        <w:t>)</w:t>
      </w:r>
    </w:p>
    <w:p w14:paraId="04F46CD6" w14:textId="2FCD8B97" w:rsidR="004F6AAA" w:rsidRPr="00AC1B06" w:rsidRDefault="004F6AAA" w:rsidP="00A0151B">
      <w:pPr>
        <w:pStyle w:val="TranscriptTableText"/>
        <w:spacing w:before="0" w:after="0" w:line="360" w:lineRule="auto"/>
        <w:ind w:left="720" w:right="663"/>
        <w:rPr>
          <w:sz w:val="24"/>
          <w:szCs w:val="24"/>
        </w:rPr>
      </w:pPr>
    </w:p>
    <w:p w14:paraId="0414AE71" w14:textId="4BB1069A" w:rsidR="00787F73" w:rsidRDefault="00742FB7" w:rsidP="00866155">
      <w:pPr>
        <w:pStyle w:val="Transcript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Calibri" w:hAnsi="Calibri" w:cs="Calibri"/>
          <w:sz w:val="24"/>
          <w:szCs w:val="24"/>
        </w:rPr>
      </w:pPr>
      <w:r w:rsidRPr="00AC1B06">
        <w:rPr>
          <w:rFonts w:ascii="Calibri" w:hAnsi="Calibri" w:cs="Calibri"/>
          <w:sz w:val="24"/>
          <w:szCs w:val="24"/>
        </w:rPr>
        <w:t xml:space="preserve">They explained that the local school was a hub of support for the local community, but community members could only access that support if they had a child. This suggests that </w:t>
      </w:r>
      <w:r w:rsidR="00C84401">
        <w:rPr>
          <w:rFonts w:ascii="Calibri" w:hAnsi="Calibri" w:cs="Calibri"/>
          <w:sz w:val="24"/>
          <w:szCs w:val="24"/>
        </w:rPr>
        <w:t>while</w:t>
      </w:r>
      <w:r w:rsidRPr="00AC1B06">
        <w:rPr>
          <w:rFonts w:ascii="Calibri" w:hAnsi="Calibri" w:cs="Calibri"/>
          <w:sz w:val="24"/>
          <w:szCs w:val="24"/>
        </w:rPr>
        <w:t xml:space="preserve"> there were some community assets, there were also barriers to community members joining or engaging in these groups, which impact on members of the community:</w:t>
      </w:r>
    </w:p>
    <w:p w14:paraId="3B9EE54A" w14:textId="77777777" w:rsidR="004F6AAA" w:rsidRPr="00AC1B06" w:rsidRDefault="004F6AAA" w:rsidP="00A0151B">
      <w:pPr>
        <w:pStyle w:val="Transcript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360" w:lineRule="auto"/>
        <w:rPr>
          <w:sz w:val="24"/>
          <w:szCs w:val="24"/>
        </w:rPr>
      </w:pPr>
    </w:p>
    <w:p w14:paraId="2874D755" w14:textId="77777777" w:rsidR="00787F73" w:rsidRDefault="00742FB7" w:rsidP="00A0151B">
      <w:pPr>
        <w:pStyle w:val="TranscriptTableText"/>
        <w:spacing w:before="0" w:after="0" w:line="360" w:lineRule="auto"/>
        <w:ind w:left="720" w:right="663"/>
        <w:rPr>
          <w:rFonts w:ascii="Calibri" w:hAnsi="Calibri" w:cs="Calibri"/>
          <w:sz w:val="24"/>
          <w:szCs w:val="24"/>
        </w:rPr>
      </w:pPr>
      <w:r w:rsidRPr="00AC1B06">
        <w:rPr>
          <w:rStyle w:val="QuoteChar"/>
          <w:rFonts w:cs="Calibri"/>
          <w:szCs w:val="24"/>
        </w:rPr>
        <w:t>“you don’t have access to that part of the community. It’s not part of your life so you can very easily (…) be cut off from other people.”</w:t>
      </w:r>
      <w:r w:rsidRPr="00AC1B06">
        <w:rPr>
          <w:rFonts w:ascii="Calibri" w:hAnsi="Calibri" w:cs="Calibri"/>
          <w:sz w:val="24"/>
          <w:szCs w:val="24"/>
        </w:rPr>
        <w:t xml:space="preserve"> (P2HR</w:t>
      </w:r>
      <w:r w:rsidR="0044412F">
        <w:rPr>
          <w:rFonts w:ascii="Calibri" w:hAnsi="Calibri" w:cs="Calibri"/>
          <w:sz w:val="24"/>
          <w:szCs w:val="24"/>
        </w:rPr>
        <w:t xml:space="preserve"> focus group</w:t>
      </w:r>
      <w:r w:rsidRPr="00AC1B06">
        <w:rPr>
          <w:rFonts w:ascii="Calibri" w:hAnsi="Calibri" w:cs="Calibri"/>
          <w:sz w:val="24"/>
          <w:szCs w:val="24"/>
        </w:rPr>
        <w:t>)</w:t>
      </w:r>
    </w:p>
    <w:p w14:paraId="5AFC560A" w14:textId="77777777" w:rsidR="004F6AAA" w:rsidRPr="00AC1B06" w:rsidRDefault="004F6AAA" w:rsidP="00A0151B">
      <w:pPr>
        <w:pStyle w:val="TranscriptTableText"/>
        <w:spacing w:before="0" w:after="0" w:line="360" w:lineRule="auto"/>
        <w:ind w:left="720" w:right="663"/>
        <w:rPr>
          <w:sz w:val="24"/>
          <w:szCs w:val="24"/>
        </w:rPr>
      </w:pPr>
    </w:p>
    <w:p w14:paraId="25759DC8" w14:textId="66E2D367" w:rsidR="00787F73" w:rsidRPr="00AC1B06" w:rsidRDefault="00742FB7" w:rsidP="004F6AAA">
      <w:r w:rsidRPr="00AC1B06">
        <w:rPr>
          <w:rFonts w:cs="Calibri"/>
        </w:rPr>
        <w:t>The literature on vulnerability notes the close relationship between the socio-economic condition and the development of community vulnerability, with the literature adding that people with higher rates of vulnerability are more affected by the negative impacts of disasters than people with lower rates of vulnerability</w:t>
      </w:r>
      <w:bookmarkStart w:id="1045" w:name="_Hlk153209840"/>
      <w:r w:rsidRPr="00AC1B06">
        <w:rPr>
          <w:rFonts w:cs="Calibri"/>
        </w:rPr>
        <w:t xml:space="preserve"> </w:t>
      </w:r>
      <w:r w:rsidRPr="00AC1B06">
        <w:fldChar w:fldCharType="begin" w:fldLock="1"/>
      </w:r>
      <w:r w:rsidR="00974B75" w:rsidRPr="00AC1B06">
        <w:rPr>
          <w:rFonts w:cs="Calibri"/>
        </w:rPr>
        <w:instrText>ADDIN CSL_CITATION {"citationItems":[{"id":"ITEM-1","itemData":{"author":[{"dropping-particle":"","family":"Demeritt","given":"David","non-dropping-particle":"","parse-names":false,"suffix":""}],"container-title":"Progress in Human Geography","id":"ITEM-1","issue":"6","issued":{"date-parts":[["2002"]]},"page":"767-790","title":"What is the `social construction of nature? A typology and sympathetic critique","type":"article-journal","volume":"26"},"uris":["http://www.mendeley.com/documents/?uuid=426453fe-6225-4de7-a3c1-96891a7070ff"]},{"id":"ITEM-2","itemData":{"DOI":"10.1108/09653560810887275","ISBN":"0471949930","ISSN":"0965-3562","PMID":"14616063","abstract":"The main concept by which the 'social causation' is explained is 'vulnerability', which is a measure of the degree and type of exposures to risks generated by different societies in relation to hazards. This approach can be termed as 'vulnerability analysis'.","author":[{"dropping-particle":"","family":"Cannon","given":"Terry","non-dropping-particle":"","parse-names":false,"suffix":""}],"chapter-number":"2","container-title":"Disasters, Development and Environment","editor":[{"dropping-particle":"","family":"Varley","given":"Ann","non-dropping-particle":"","parse-names":false,"suffix":""}],"id":"ITEM-2","issued":{"date-parts":[["1994"]]},"page":"13-30","publisher":"John Wiley &amp; Sons Ltd","title":"Vulnerability Analysis and the Explanation of 'Natural' Disasters","type":"chapter"},"uris":["http://www.mendeley.com/documents/?uuid=af2da17b-67b6-4ce1-96d0-11ea439137c5"]},{"id":"ITEM-3","itemData":{"DOI":"10.3763/ehaz.1999.0105","ISSN":"18780059","abstract":"A disaster is widely perceived as an event that is beyond human control; the capricious hand of fate moves against unsuspecting communities creating massive destruction and prompting victims to call for divine support as well as earthly assistance. Surely these people would have acted differently had the risks been known and now they must depend on others for humanitarian aid with which to rebuild their shattered communities.","author":[{"dropping-particle":"","family":"Comfort","given":"L.","non-dropping-particle":"","parse-names":false,"suffix":""},{"dropping-particle":"","family":"Wisner","given":"B.","non-dropping-particle":"","parse-names":false,"suffix":""},{"dropping-particle":"","family":"Cutter","given":"S.","non-dropping-particle":"","parse-names":false,"suffix":""},{"dropping-particle":"","family":"Pulwarty","given":"R.","non-dropping-particle":"","parse-names":false,"suffix":""},{"dropping-particle":"","family":"Hewitt","given":"K.","non-dropping-particle":"","parse-names":false,"suffix":""},{"dropping-particle":"","family":"Oliver-Smith","given":"A.","non-dropping-particle":"","parse-names":false,"suffix":""},{"dropping-particle":"","family":"Wiener","given":"J.","non-dropping-particle":"","parse-names":false,"suffix":""},{"dropping-particle":"","family":"Fordham","given":"M.","non-dropping-particle":"","parse-names":false,"suffix":""},{"dropping-particle":"","family":"Peacock","given":"W.","non-dropping-particle":"","parse-names":false,"suffix":""},{"dropping-particle":"","family":"Krimgold","given":"F.","non-dropping-particle":"","parse-names":false,"suffix":""}],"container-title":"Global Environmental Change Part B: Environmental Hazards","id":"ITEM-3","issue":"1","issued":{"date-parts":[["1999"]]},"page":"39-44","title":"Reframing disaster policy: The global evolution of vulnerable communities","type":"article-journal","volume":"1"},"uris":["http://www.mendeley.com/documents/?uuid=ef487eba-33ca-47fb-8984-5d690fecc16e"]},{"id":"ITEM-4","itemData":{"DOI":"10.1016/j.scs.2021.103577","ISSN":"22106707","abstract":"The use of social media platforms such as Twitter significantly increases during natural hazards. With the emergence of several social media platforms over the past decade, many studies have investigated the applications of these platforms during calamities. This study presents a comprehensive spatiotemporal analysis of textual content from millions of tweets shared on Twitter during Hurricane Harvey (2017) across several affected counties in southeast Texas. We propose a new Hazard Risk Awareness (HRA) Index, which considers multiple factors, including the number of tweets, population, internet use rate, and natural hazard characteristics per geographic location. We then map the HRA Index across southeast Texas. Utilizing a dataset of 18 million tweets, we employ Natural Language Processing (NLP) along with a set of statistical techniques to perform analysis on the textual data generated by Twitter users during Hurricane Harvey. This enables us to subdivide the tweet contents into several categories per county that would inform crisis management during the event. In all, our study provides valuable information at the county level before, during, and after Harvey that could significantly help disaster managers and responders to minimize the consequences of the event and improve the preparedness of the residents for it. Since HRA is derived based on the meteorological observations and some demographic information, depending on the availability of such dataset and the nature of the hazard (i.e., flood, wildfire, hurricane, and earthquake), this index can be calculated and employed for assessing the risk awareness of a community exposed to either of these natural hazards.","author":[{"dropping-particle":"","family":"Karimiziarani","given":"Mohammadsepehr","non-dropping-particle":"","parse-names":false,"suffix":""},{"dropping-particle":"","family":"Jafarzadegan","given":"Keighobad","non-dropping-particle":"","parse-names":false,"suffix":""},{"dropping-particle":"","family":"Abbaszadeh","given":"Peyman","non-dropping-particle":"","parse-names":false,"suffix":""},{"dropping-particle":"","family":"Shao","given":"Wanyun","non-dropping-particle":"","parse-names":false,"suffix":""},{"dropping-particle":"","family":"Moradkhani","given":"Hamid","non-dropping-particle":"","parse-names":false,"suffix":""}],"container-title":"Sustainable Cities and Society","id":"ITEM-4","issued":{"date-parts":[["2022"]]},"page":"1 - 11","title":"Hazard risk awareness and disaster management: Extracting the information content of twitter data","type":"article-journal","volume":"77"},"uris":["http://www.mendeley.com/documents/?uuid=0ff52b10-5251-4279-bf6e-c55c0e18363a"]}],"mendeley":{"formattedCitation":"(Karimiziarani et al., 2022; Demeritt, 2002; Comfort et al., 1999; Cannon, 1994)","plainTextFormattedCitation":"(Karimiziarani et al., 2022; Demeritt, 2002; Comfort et al., 1999; Cannon, 1994)","previouslyFormattedCitation":"(Karimiziarani et al., 2022; Demeritt, 2002; Comfort et al., 1999; Cannon, 1994)"},"properties":{"noteIndex":0},"schema":"https://github.com/citation-style-language/schema/raw/master/csl-citation.json"}</w:instrText>
      </w:r>
      <w:r w:rsidRPr="00AC1B06">
        <w:rPr>
          <w:rFonts w:cs="Calibri"/>
        </w:rPr>
        <w:fldChar w:fldCharType="separate"/>
      </w:r>
      <w:r w:rsidRPr="00AC1B06">
        <w:rPr>
          <w:rFonts w:cs="Calibri"/>
          <w:noProof/>
        </w:rPr>
        <w:t>(Karimiziarani et al., 2022; Demeritt, 2002; Comfort et al., 1999; Cannon, 1994)</w:t>
      </w:r>
      <w:r w:rsidRPr="00AC1B06">
        <w:rPr>
          <w:rFonts w:cs="Calibri"/>
        </w:rPr>
        <w:fldChar w:fldCharType="end"/>
      </w:r>
      <w:bookmarkEnd w:id="1045"/>
      <w:r w:rsidR="00CF5D0F">
        <w:rPr>
          <w:rFonts w:cs="Calibri"/>
        </w:rPr>
        <w:t>.</w:t>
      </w:r>
      <w:r w:rsidRPr="00AC1B06">
        <w:rPr>
          <w:rFonts w:cs="Calibri"/>
        </w:rPr>
        <w:t xml:space="preserve"> </w:t>
      </w:r>
      <w:r w:rsidR="00CF5D0F">
        <w:rPr>
          <w:rFonts w:cs="Calibri"/>
        </w:rPr>
        <w:t>T</w:t>
      </w:r>
      <w:r w:rsidRPr="00AC1B06">
        <w:rPr>
          <w:rFonts w:cs="Calibri"/>
        </w:rPr>
        <w:t xml:space="preserve">his further explains the use of the MOSAIC data within SYFR’s calculations of risk. This highlights the importance of understanding communities’ social and physical assets and developing relationships between community members, as well as between SYFR and the community, prior to disaster. The lack of access to these groups in the HR location not only limited the development of community resilience through the development of bonding and linking social capital </w:t>
      </w:r>
      <w:r w:rsidRPr="00AC1B06">
        <w:fldChar w:fldCharType="begin" w:fldLock="1"/>
      </w:r>
      <w:r w:rsidRPr="00AC1B06">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id":"ITEM-2","itemData":{"author":[{"dropping-particle":"","family":"Sanyal","given":"Saswata","non-dropping-particle":"","parse-names":false,"suffix":""},{"dropping-particle":"","family":"Routray","given":"Jayant K.","non-dropping-particle":"","parse-names":false,"suffix":""}],"container-title":"International Journal of Disaster Risk Reduction","id":"ITEM-2","issued":{"date-parts":[["2016"]]},"page":"101-111","title":"Social capital for disaster risk reduction and management with empirical evidences from Sundarbans of India","type":"article-journal","volume":"19"},"uris":["http://www.mendeley.com/documents/?uuid=d8bcf27c-1efc-4c15-8204-cd8b37719dd2"]}],"mendeley":{"formattedCitation":"(Carmen et al., 2022; Sanyal &amp; Routray, 2016)","plainTextFormattedCitation":"(Carmen et al., 2022; Sanyal &amp; Routray, 2016)","previouslyFormattedCitation":"(Carmen et al., 2022; Sanyal &amp; Routray, 2016)"},"properties":{"noteIndex":0},"schema":"https://github.com/citation-style-language/schema/raw/master/csl-citation.json"}</w:instrText>
      </w:r>
      <w:r w:rsidRPr="00AC1B06">
        <w:rPr>
          <w:rFonts w:cs="Calibri"/>
        </w:rPr>
        <w:fldChar w:fldCharType="separate"/>
      </w:r>
      <w:r w:rsidRPr="00AC1B06">
        <w:rPr>
          <w:rFonts w:cs="Calibri"/>
          <w:noProof/>
        </w:rPr>
        <w:t>(Carmen et al., 2022; Sanyal &amp; Routray, 2016)</w:t>
      </w:r>
      <w:r w:rsidRPr="00AC1B06">
        <w:rPr>
          <w:rFonts w:cs="Calibri"/>
        </w:rPr>
        <w:fldChar w:fldCharType="end"/>
      </w:r>
      <w:r w:rsidRPr="00AC1B06">
        <w:rPr>
          <w:rFonts w:cs="Calibri"/>
        </w:rPr>
        <w:t xml:space="preserve"> but also greatly impacted the community’s mental outlook and view of their community. </w:t>
      </w:r>
    </w:p>
    <w:p w14:paraId="2C32B7F1" w14:textId="77777777" w:rsidR="00787F73" w:rsidRDefault="00787F73" w:rsidP="00866155">
      <w:pPr>
        <w:rPr>
          <w:rFonts w:cs="Calibri"/>
        </w:rPr>
      </w:pPr>
    </w:p>
    <w:p w14:paraId="30C7762D" w14:textId="77777777" w:rsidR="00787F73" w:rsidRDefault="00742FB7" w:rsidP="00866155">
      <w:pPr>
        <w:pStyle w:val="Heading3"/>
      </w:pPr>
      <w:bookmarkStart w:id="1046" w:name="_Toc158371024"/>
      <w:bookmarkStart w:id="1047" w:name="_Toc158371090"/>
      <w:bookmarkStart w:id="1048" w:name="_Toc153205131"/>
      <w:bookmarkStart w:id="1049" w:name="_Toc193367260"/>
      <w:r>
        <w:t>6.3.2: Community mentality</w:t>
      </w:r>
      <w:bookmarkEnd w:id="1046"/>
      <w:bookmarkEnd w:id="1047"/>
      <w:bookmarkEnd w:id="1048"/>
      <w:bookmarkEnd w:id="1049"/>
    </w:p>
    <w:p w14:paraId="6F0D6177" w14:textId="569291CA" w:rsidR="00787F73" w:rsidRDefault="00742FB7" w:rsidP="00866155">
      <w:pPr>
        <w:rPr>
          <w:rFonts w:cs="Calibri"/>
        </w:rPr>
      </w:pPr>
      <w:r w:rsidRPr="00AC1B06">
        <w:rPr>
          <w:rFonts w:cs="Calibri"/>
        </w:rPr>
        <w:t xml:space="preserve">Community networks and wider community cohesion not only provide a means of sharing information, but also emotional support and a shared emotional connection that help to </w:t>
      </w:r>
      <w:r w:rsidRPr="00AC1B06">
        <w:rPr>
          <w:rFonts w:cs="Calibri"/>
        </w:rPr>
        <w:lastRenderedPageBreak/>
        <w:t xml:space="preserve">build bonding social capital  </w:t>
      </w:r>
      <w:r w:rsidRPr="00AC1B06">
        <w:fldChar w:fldCharType="begin" w:fldLock="1"/>
      </w:r>
      <w:bookmarkStart w:id="1050" w:name="_Hlk153209876"/>
      <w:r w:rsidR="00974B75" w:rsidRPr="00AC1B06">
        <w:rPr>
          <w:rFonts w:cs="Calibri"/>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id":"ITEM-2","itemData":{"DOI":"10.1002/1520-6629(198601)14:1&lt;6::AID-JCOP2290140103&gt;3.0.CO;2-I","ISBN":"00904392","ISSN":"00904392","PMID":"276","author":[{"dropping-particle":"","family":"McMillan","given":"David W","non-dropping-particle":"","parse-names":false,"suffix":""},{"dropping-particle":"","family":"Chavis","given":"David M","non-dropping-particle":"","parse-names":false,"suffix":""}],"container-title":"Journal of Community Psychology","id":"ITEM-2","issue":"1","issued":{"date-parts":[["1986"]]},"page":"6-23","title":"Sense of Community - A Definition and Theory","type":"article-journal","volume":"14"},"uris":["http://www.mendeley.com/documents/?uuid=e5c3724d-bbdc-4841-bd4c-f274a8efad00"]}],"mendeley":{"formattedCitation":"(Sanyal &amp; Routray, 2016; McMillan &amp; Chavis, 1986)","plainTextFormattedCitation":"(Sanyal &amp; Routray, 2016; McMillan &amp; Chavis, 1986)","previouslyFormattedCitation":"(Sanyal &amp; Routray, 2016; McMillan &amp; Chavis, 1986)"},"properties":{"noteIndex":0},"schema":"https://github.com/citation-style-language/schema/raw/master/csl-citation.json"}</w:instrText>
      </w:r>
      <w:r w:rsidRPr="00AC1B06">
        <w:rPr>
          <w:rFonts w:cs="Calibri"/>
        </w:rPr>
        <w:fldChar w:fldCharType="separate"/>
      </w:r>
      <w:r w:rsidRPr="00AC1B06">
        <w:rPr>
          <w:rFonts w:cs="Calibri"/>
          <w:noProof/>
        </w:rPr>
        <w:t>(Sanyal &amp; Routray, 2016; McMillan &amp; Chavis, 1986)</w:t>
      </w:r>
      <w:r w:rsidRPr="00AC1B06">
        <w:rPr>
          <w:rFonts w:cs="Calibri"/>
        </w:rPr>
        <w:fldChar w:fldCharType="end"/>
      </w:r>
      <w:bookmarkEnd w:id="1050"/>
      <w:r w:rsidR="00CF5D0F">
        <w:rPr>
          <w:rFonts w:cs="Calibri"/>
        </w:rPr>
        <w:t>. This</w:t>
      </w:r>
      <w:r w:rsidRPr="00AC1B06">
        <w:rPr>
          <w:rFonts w:cs="Calibri"/>
        </w:rPr>
        <w:t xml:space="preserve"> suggests the presence of a community logic </w:t>
      </w:r>
      <w:r w:rsidRPr="00AC1B06">
        <w:fldChar w:fldCharType="begin" w:fldLock="1"/>
      </w:r>
      <w:r w:rsidR="00974B75" w:rsidRPr="00AC1B06">
        <w:rPr>
          <w:rFonts w:cs="Calibri"/>
        </w:rPr>
        <w:instrText>ADDIN CSL_CITATION {"citationItems":[{"id":"ITEM-1","itemData":{"DOI":"10.1177/26317877231153189","ISSN":"26317877","abstract":"More than a decade ago, Thornton and colleagues added community to the inter-institutional system and argued that the community logic shapes individual and organizational behavior, determines organizing principles, and influences community–organization relationships. In justifying this addition and defining the ideal type, they drew mostly upon the literature on local communities and organizations. However, the increasing relevance of other types of communities to organization studies necessitates a re-examination and further specification of this framework. This article starts with a review of 172 papers from highly ranked organization and management journals over the last 30 years and summarizes insights on four types of communities for which discussion has flourished: communities of place, of practice, of users, and of firms. This is followed by pattern matching to explore whether these four types follow the initial description of the community logic. We find four variants of the community logic, one for each type of community. We show that all the reviewed types organize around a common boundary, which yields a new definition of the community logic. This commonality also offers scope for comparative research and reconceptualization of community–organization relationships. Furthermore, by specifying the organizing principles that vary, we extend previous research and explicate the main underpinnings of community organizing. The paper ends by suggesting avenues for future research that further embrace an institutional logics perspective on communities.","author":[{"dropping-particle":"","family":"Georgiou","given":"Andreas","non-dropping-particle":"","parse-names":false,"suffix":""},{"dropping-particle":"","family":"Arenas","given":"Daniel","non-dropping-particle":"","parse-names":false,"suffix":""}],"container-title":"Organization Theory","id":"ITEM-1","issue":"1","issued":{"date-parts":[["2023"]]},"page":"1 - 22","title":"Community in Organizational Research: A Review and an Institutional Logics Perspective","type":"article-journal","volume":"4"},"uris":["http://www.mendeley.com/documents/?uuid=274159f8-f7d3-48e3-b741-3084622498f1"]}],"mendeley":{"formattedCitation":"(Georgiou &amp; Arenas, 2023)","plainTextFormattedCitation":"(Georgiou &amp; Arenas, 2023)","previouslyFormattedCitation":"(Georgiou &amp; Arenas, 2023)"},"properties":{"noteIndex":0},"schema":"https://github.com/citation-style-language/schema/raw/master/csl-citation.json"}</w:instrText>
      </w:r>
      <w:r w:rsidRPr="00AC1B06">
        <w:rPr>
          <w:rFonts w:cs="Calibri"/>
        </w:rPr>
        <w:fldChar w:fldCharType="separate"/>
      </w:r>
      <w:r w:rsidRPr="00AC1B06">
        <w:rPr>
          <w:rFonts w:cs="Calibri"/>
          <w:noProof/>
        </w:rPr>
        <w:t>(Georgiou &amp; Arenas, 2023)</w:t>
      </w:r>
      <w:r w:rsidRPr="00AC1B06">
        <w:rPr>
          <w:rFonts w:cs="Calibri"/>
        </w:rPr>
        <w:fldChar w:fldCharType="end"/>
      </w:r>
      <w:r w:rsidRPr="00AC1B06">
        <w:rPr>
          <w:rFonts w:cs="Calibri"/>
        </w:rPr>
        <w:t xml:space="preserve">. However, this close relationship within the community can also have a potentially negative impact, as noted in the literature </w:t>
      </w:r>
      <w:r w:rsidRPr="00AC1B06">
        <w:fldChar w:fldCharType="begin" w:fldLock="1"/>
      </w:r>
      <w:r w:rsidR="00974B75" w:rsidRPr="00AC1B06">
        <w:rPr>
          <w:rFonts w:cs="Calibri"/>
        </w:rPr>
        <w:instrText>ADDIN CSL_CITATION {"citationItems":[{"id":"ITEM-1","itemData":{"DOI":"10.1016/j.chb.2022.107294","ISSN":"07475632","abstract":"Facing the Covid outbreaks, public health researchers share a consensus that community resilience should be maintained and strengthened because it helps mitigate the physical and emotional tolls on individuals and communities. One way to achieve the goal is to build and strengthen community resilience through social media. However, social media's role in building community resilience has been poorly understood from a behavioral perspective. Guiding by uses and gratification theory and the coping literature, we build a model to examine how social media behaviors may influence community members' perceived community resilience, providing a “bottom-up” voice to deepen our understanding of community resilience and its implications for public health. The results shows that community members' social media engagement was significantly associated with their perceived community resilience. While helping others on social media led people to perceive their communities as less resilient, the use of social media for social support helped foster social capital, leading to more perceived resilience at the collective level. Overall, social media use played important roles in shaping people's perception of community resilience, helping community members and organizations evaluate their strengths and weaknesses, and make improvement to better address future challenges in the times of global disasters.","author":[{"dropping-particle":"","family":"Xie","given":"Lola","non-dropping-particle":"","parse-names":false,"suffix":""},{"dropping-particle":"","family":"Pinto","given":"Juliet","non-dropping-particle":"","parse-names":false,"suffix":""},{"dropping-particle":"","family":"Zhong","given":"Bu","non-dropping-particle":"","parse-names":false,"suffix":""}],"container-title":"Computers in Human Behavior","id":"ITEM-1","issued":{"date-parts":[["2022"]]},"page":"1 - 9","title":"Building community resilience on social media to help recover from the COVID-19 pandemic","type":"article-journal","volume":"134"},"uris":["http://www.mendeley.com/documents/?uuid=625f072e-ec3a-410e-b53c-06c711464573"]},{"id":"ITEM-2","itemData":{"DOI":"10.1109/TEM.2023.3290152","ISSN":"15580040","abstract":"The ubiquity of social media and the varying nature of subjective well-being (SWB) in a culturally heterogeneous world raises an essential question about how social media and culture jointly influence SWB. We argue that social media shapes the influence of cultural dimensions on SWB in nuanced ways, depending on the nature of the dimensions. Drawing on the affordance-based institutional logics perspective, we hypothesize that social media attenuates the adverse effects of power distance, masculinity, and uncertainty avoidance and amplifies the positive effects of individualism, long-term orientation, and indulgence on SWB. Using a dynamic panel model, our analysis shows that a degree of high social media diffusion in a country reduces the negative effect of power distance on SWB and increases the positive effect of individualism on SWB. These findings can help policymakers make informed decisions regarding increasing social media penetration as a means of overcoming negative cultural characteristics to enhance SWB.","author":[{"dropping-particle":"","family":"Arayankalam","given":"Jithesh","non-dropping-particle":"","parse-names":false,"suffix":""},{"dropping-particle":"","family":"Krishnan","given":"Satish","non-dropping-particle":"","parse-names":false,"suffix":""},{"dropping-particle":"","family":"Ractham","given":"Peter","non-dropping-particle":"","parse-names":false,"suffix":""},{"dropping-particle":"","family":"Papa","given":"Armando","non-dropping-particle":"","parse-names":false,"suffix":""}],"container-title":"IEEE Transactions on Engineering Management","id":"ITEM-2","issued":{"date-parts":[["2023"]]},"page":"1-17","title":"Social Media as an Amplifier or Attenuator: How Does Social Media Diffusion Shape the Influence of Culture on Subjective Well-Being","type":"article-journal"},"uris":["http://www.mendeley.com/documents/?uuid=26a85c19-7d40-4644-a009-3a4bc68b715b"]}],"mendeley":{"formattedCitation":"(Arayankalam et al., 2023; Xie, Pinto, &amp; Zhong, 2022)","plainTextFormattedCitation":"(Arayankalam et al., 2023; Xie, Pinto, &amp; Zhong, 2022)","previouslyFormattedCitation":"(Arayankalam et al., 2023; Xie, Pinto, &amp; Zhong, 2022)"},"properties":{"noteIndex":0},"schema":"https://github.com/citation-style-language/schema/raw/master/csl-citation.json"}</w:instrText>
      </w:r>
      <w:r w:rsidRPr="00AC1B06">
        <w:rPr>
          <w:rFonts w:cs="Calibri"/>
        </w:rPr>
        <w:fldChar w:fldCharType="separate"/>
      </w:r>
      <w:r w:rsidRPr="00AC1B06">
        <w:rPr>
          <w:rFonts w:cs="Calibri"/>
          <w:noProof/>
        </w:rPr>
        <w:t>(Arayankalam et al., 2023; Xie, Pinto, &amp; Zhong, 2022)</w:t>
      </w:r>
      <w:r w:rsidRPr="00AC1B06">
        <w:rPr>
          <w:rFonts w:cs="Calibri"/>
        </w:rPr>
        <w:fldChar w:fldCharType="end"/>
      </w:r>
      <w:r w:rsidRPr="00AC1B06">
        <w:rPr>
          <w:rFonts w:cs="Calibri"/>
        </w:rPr>
        <w:t>. When discussing COVID-19 with the participants in the HR community, it was clear that there was a negative mentality within the community, with a sense that they were not strong enough to survive:</w:t>
      </w:r>
    </w:p>
    <w:p w14:paraId="2AD21786" w14:textId="77777777" w:rsidR="004F6AAA" w:rsidRPr="00AC1B06" w:rsidRDefault="004F6AAA" w:rsidP="00866155"/>
    <w:p w14:paraId="6F6114DE" w14:textId="77777777" w:rsidR="00787F73" w:rsidRDefault="00742FB7" w:rsidP="00866155">
      <w:pPr>
        <w:pStyle w:val="TranscriptTableText"/>
        <w:spacing w:line="360" w:lineRule="auto"/>
        <w:ind w:left="720" w:right="663"/>
        <w:rPr>
          <w:rFonts w:ascii="Calibri" w:hAnsi="Calibri" w:cs="Calibri"/>
          <w:i/>
          <w:color w:val="404040"/>
          <w:sz w:val="24"/>
          <w:szCs w:val="24"/>
        </w:rPr>
      </w:pPr>
      <w:r w:rsidRPr="00AC1B06">
        <w:rPr>
          <w:rStyle w:val="QuoteChar"/>
          <w:rFonts w:cs="Calibri"/>
          <w:szCs w:val="24"/>
        </w:rPr>
        <w:t>“...only the strong survive. That’s how we feel because we’re weak, and vulnerable, and poor, and I don’t take any shame in that, I’m not ashamed of that, that’s who I am, and I survive. And that must mean I’m stronger. But everybody around here is like, well, only the strong will survive, and that won’t be us, will it? And that’s the mentality, where we’re all waiting to die. And that was an awful thing that happened through COVID, where nearly everybody I spoke to were like we’ll all be dead soon. And what? That should never have been a thought, but it was an expectation.”</w:t>
      </w:r>
      <w:r w:rsidRPr="00AC1B06">
        <w:rPr>
          <w:rFonts w:ascii="Calibri" w:hAnsi="Calibri" w:cs="Calibri"/>
          <w:i/>
          <w:color w:val="538135"/>
          <w:sz w:val="24"/>
          <w:szCs w:val="24"/>
        </w:rPr>
        <w:t xml:space="preserve"> </w:t>
      </w:r>
      <w:r w:rsidRPr="00AC1B06">
        <w:rPr>
          <w:rFonts w:ascii="Calibri" w:hAnsi="Calibri" w:cs="Calibri"/>
          <w:i/>
          <w:color w:val="404040"/>
          <w:sz w:val="24"/>
          <w:szCs w:val="24"/>
        </w:rPr>
        <w:t>(P1HR</w:t>
      </w:r>
      <w:r w:rsidR="0044412F">
        <w:rPr>
          <w:rFonts w:ascii="Calibri" w:hAnsi="Calibri" w:cs="Calibri"/>
          <w:i/>
          <w:color w:val="404040"/>
          <w:sz w:val="24"/>
          <w:szCs w:val="24"/>
        </w:rPr>
        <w:t xml:space="preserve"> focus group</w:t>
      </w:r>
      <w:r w:rsidRPr="00AC1B06">
        <w:rPr>
          <w:rFonts w:ascii="Calibri" w:hAnsi="Calibri" w:cs="Calibri"/>
          <w:i/>
          <w:color w:val="404040"/>
          <w:sz w:val="24"/>
          <w:szCs w:val="24"/>
        </w:rPr>
        <w:t>)</w:t>
      </w:r>
    </w:p>
    <w:p w14:paraId="3065FA4B" w14:textId="77777777" w:rsidR="004F6AAA" w:rsidRPr="00AC1B06" w:rsidRDefault="004F6AAA" w:rsidP="00A0151B">
      <w:pPr>
        <w:pStyle w:val="TranscriptTableText"/>
        <w:spacing w:before="0" w:after="0" w:line="360" w:lineRule="auto"/>
        <w:ind w:left="720" w:right="663"/>
        <w:rPr>
          <w:sz w:val="24"/>
          <w:szCs w:val="24"/>
        </w:rPr>
      </w:pPr>
    </w:p>
    <w:p w14:paraId="7A6A69D4" w14:textId="4FEFC8D9" w:rsidR="00787F73" w:rsidRPr="00AC1B06" w:rsidRDefault="00742FB7" w:rsidP="00866155">
      <w:r w:rsidRPr="00AC1B06">
        <w:rPr>
          <w:rFonts w:cs="Calibri"/>
        </w:rPr>
        <w:t xml:space="preserve">This highlights the mentality of the community, and the variation within the community, with the participant noting that they are strong, but that the general feeling of the community has lower levels of hope and expectation. Mental outlook is one of the sub-characteristics that Patel et al. (2017) explored in their systematic review of community resilience, and here we can </w:t>
      </w:r>
      <w:r w:rsidR="00CF5D0F">
        <w:rPr>
          <w:rFonts w:cs="Calibri"/>
        </w:rPr>
        <w:t>clearly</w:t>
      </w:r>
      <w:r w:rsidR="00CF5D0F" w:rsidRPr="00AC1B06">
        <w:rPr>
          <w:rFonts w:cs="Calibri"/>
        </w:rPr>
        <w:t xml:space="preserve"> </w:t>
      </w:r>
      <w:r w:rsidRPr="00AC1B06">
        <w:rPr>
          <w:rFonts w:cs="Calibri"/>
        </w:rPr>
        <w:t>see how mental outlook links to resilience, with some participants seemingly not expecting to survive and accepting their fate. This also creates a challenge of community networks that express these negative outlooks, as it can influence their wellbeing and reduce an individual’s perception of their community resilience (Arayankalam et al., 2023; Xie, Pinto, &amp; Zhong, 2022).</w:t>
      </w:r>
    </w:p>
    <w:p w14:paraId="5F6ADA7B" w14:textId="77777777" w:rsidR="00787F73" w:rsidRPr="00AC1B06" w:rsidRDefault="00787F73" w:rsidP="00866155">
      <w:pPr>
        <w:rPr>
          <w:rFonts w:cs="Calibri"/>
        </w:rPr>
      </w:pPr>
    </w:p>
    <w:p w14:paraId="214C9340" w14:textId="3C085D8C" w:rsidR="00787F73" w:rsidRDefault="00742FB7" w:rsidP="00866155">
      <w:pPr>
        <w:rPr>
          <w:rFonts w:cs="Calibri"/>
        </w:rPr>
      </w:pPr>
      <w:r w:rsidRPr="00AC1B06">
        <w:rPr>
          <w:rFonts w:cs="Calibri"/>
        </w:rPr>
        <w:t>The mental outlook within a community will affect the work of SYFR, namely if the community has a reduced mental outlook they are unlikely to engage with any messaging surrounding resilience or risk reduction</w:t>
      </w:r>
      <w:r w:rsidR="00CF5D0F">
        <w:rPr>
          <w:rFonts w:cs="Calibri"/>
        </w:rPr>
        <w:t>.</w:t>
      </w:r>
      <w:r w:rsidRPr="00AC1B06">
        <w:rPr>
          <w:rFonts w:cs="Calibri"/>
        </w:rPr>
        <w:t xml:space="preserve"> </w:t>
      </w:r>
      <w:r w:rsidR="00CF5D0F">
        <w:rPr>
          <w:rFonts w:cs="Calibri"/>
        </w:rPr>
        <w:t>E</w:t>
      </w:r>
      <w:r w:rsidRPr="00AC1B06">
        <w:rPr>
          <w:rFonts w:cs="Calibri"/>
        </w:rPr>
        <w:t xml:space="preserve">ven if they acknowledge the threat, they may not progress it to a coping appraisal </w:t>
      </w:r>
      <w:r w:rsidRPr="00AC1B06">
        <w:fldChar w:fldCharType="begin" w:fldLock="1"/>
      </w:r>
      <w:bookmarkStart w:id="1051" w:name="_Hlk153209909"/>
      <w:r w:rsidR="00974B75" w:rsidRPr="00AC1B06">
        <w:rPr>
          <w:rFonts w:cs="Calibri"/>
        </w:rPr>
        <w:instrText>ADDIN CSL_CITATION {"citationItems":[{"id":"ITEM-1","itemData":{"DOI":"10.1007/s11069-017-3111-0","ISSN":"15730840","abstract":"Communicating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Hazards","id":"ITEM-1","issued":{"date-parts":[["2018"]]},"page":"1461-1483","title":"How does information affect fire risk reduction behaviors? Mediating effects of cognitive processes and subjective knowledge","type":"article-journal","volume":"90"},"uris":["http://www.mendeley.com/documents/?uuid=b253cc58-5f59-4b2e-9c77-76be2b2788b4"]},{"id":"ITEM-2","itemData":{"DOI":"10.1061/(asce)nh.1527-6996.0000294","ISBN":"0000000167","ISSN":"1527-6988","abstract":"©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Review","id":"ITEM-2","issue":"3","issued":{"date-parts":[["2018"]]},"page":"1 - 21","title":"Flood Risk Assessment, Future Trend Modeling, and Risk Communication: A Review of Ongoing Research","type":"article-journal","volume":"19"},"uris":["http://www.mendeley.com/documents/?uuid=72f77961-1216-4228-ab43-b36cf7f2e2d4"]},{"id":"ITEM-3","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Hazards","id":"ITEM-3","issued":{"date-parts":[["2018"]]},"page":"1665-1686","publisher":"Springer Netherlands","title":"Rethinking flood risk communication","type":"article-journal","volume":"92"},"uris":["http://www.mendeley.com/documents/?uuid=a75b9d7a-46e6-41f1-a446-75375a9342c5"]},{"id":"ITEM-4","itemData":{"DOI":"10.1080/19371918.2021.2018082","ISSN":"1937190X","PMID":"34962187","abstract":"COVID-19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Health","id":"ITEM-4","issue":"5","issued":{"date-parts":[["2022"]]},"page":"419-434","title":"An Integrated Approach to COVID-19 Preventive Behaviour Intentions: Protection Motivation Theory, Information Acquisition, and Trust","type":"article-journal","volume":"37"},"uris":["http://www.mendeley.com/documents/?uuid=8abd72eb-8ae4-4af7-9da1-be357bf94394"]},{"id":"ITEM-5","itemData":{"DOI":"10.1016/j.ijdrr.2021.102759","ISSN":"22124209","abstract":"The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Reduction","id":"ITEM-5","issued":{"date-parts":[["2022"]]},"page":"1 - 16","title":"Determination of factors affecting the response efficacy of Filipinos under Typhoon Conson 2021 (Jolina): An extended protection motivation theory approach","type":"article-journal","volume":"70"},"uris":["http://www.mendeley.com/documents/?uuid=df8c524a-2262-493d-9e98-6620d59903d4"]}],"mendeley":{"formattedCitation":"(Acar &amp; Kıcali, 2022; Gumasing et al., 2022; Liu &amp; Jiao, 2018; Rollason et al., 2018; Salman &amp; Li, 2018)","plainTextFormattedCitation":"(Acar &amp; Kıcali, 2022; Gumasing et al., 2022; Liu &amp; Jiao, 2018; Rollason et al., 2018; Salman &amp; Li, 2018)","previouslyFormattedCitation":"(Acar &amp; Kıcali, 2022; Gumasing et al., 2022; Liu &amp; Jiao, 2018; Rollason et al., 2018; Salman &amp; Li, 2018)"},"properties":{"noteIndex":0},"schema":"https://github.com/citation-style-language/schema/raw/master/csl-citation.json"}</w:instrText>
      </w:r>
      <w:r w:rsidRPr="00AC1B06">
        <w:rPr>
          <w:rFonts w:cs="Calibri"/>
        </w:rPr>
        <w:fldChar w:fldCharType="separate"/>
      </w:r>
      <w:r w:rsidRPr="00AC1B06">
        <w:rPr>
          <w:rFonts w:cs="Calibri"/>
          <w:noProof/>
        </w:rPr>
        <w:t>(Acar &amp; Kıcali, 2022; Gumasing et al., 2022; Liu &amp; Jiao, 2018; Rollason et al., 2018; Salman &amp; Li, 2018)</w:t>
      </w:r>
      <w:r w:rsidRPr="00AC1B06">
        <w:rPr>
          <w:rFonts w:cs="Calibri"/>
        </w:rPr>
        <w:fldChar w:fldCharType="end"/>
      </w:r>
      <w:r w:rsidRPr="00AC1B06">
        <w:rPr>
          <w:rFonts w:cs="Calibri"/>
        </w:rPr>
        <w:t xml:space="preserve">. </w:t>
      </w:r>
      <w:bookmarkEnd w:id="1051"/>
      <w:r w:rsidRPr="00AC1B06">
        <w:rPr>
          <w:rFonts w:cs="Calibri"/>
        </w:rPr>
        <w:t xml:space="preserve">This mental outlook also shows the impact of </w:t>
      </w:r>
      <w:r w:rsidRPr="00AC1B06">
        <w:rPr>
          <w:rFonts w:cs="Calibri"/>
        </w:rPr>
        <w:lastRenderedPageBreak/>
        <w:t>community networks and relationships on individuals, with the participant feeling strong but aware that their community is not and linking themselves to the collective feelings of deprivation, which suggests a local community logic.</w:t>
      </w:r>
    </w:p>
    <w:p w14:paraId="6DF4F1EA" w14:textId="77777777" w:rsidR="004F6AAA" w:rsidRPr="00AC1B06" w:rsidRDefault="004F6AAA" w:rsidP="00866155"/>
    <w:p w14:paraId="11B9CDAD" w14:textId="77777777" w:rsidR="00787F73" w:rsidRDefault="00742FB7" w:rsidP="00866155">
      <w:pPr>
        <w:pStyle w:val="Heading3"/>
      </w:pPr>
      <w:bookmarkStart w:id="1052" w:name="_Toc153205132"/>
      <w:bookmarkStart w:id="1053" w:name="_Toc158371025"/>
      <w:bookmarkStart w:id="1054" w:name="_Toc158371091"/>
      <w:bookmarkStart w:id="1055" w:name="_Toc193367261"/>
      <w:r>
        <w:t>6.3.3: Community logic</w:t>
      </w:r>
      <w:bookmarkEnd w:id="1052"/>
      <w:bookmarkEnd w:id="1053"/>
      <w:bookmarkEnd w:id="1054"/>
      <w:bookmarkEnd w:id="1055"/>
    </w:p>
    <w:p w14:paraId="20142E02" w14:textId="27F9A797" w:rsidR="00787F73" w:rsidRPr="00AC1B06" w:rsidRDefault="00742FB7" w:rsidP="00866155">
      <w:pPr>
        <w:rPr>
          <w:rFonts w:cs="Calibri"/>
        </w:rPr>
      </w:pPr>
      <w:r w:rsidRPr="00AC1B06">
        <w:rPr>
          <w:rFonts w:cs="Calibri"/>
        </w:rPr>
        <w:t xml:space="preserve">Within both case studies, the participants mentioned helping each other and being part of a wider community, suggesting a community logic of cohesion and coming together. Chapters 4 and 5 both explored how SYFR utilised community logics within their communication. However, </w:t>
      </w:r>
      <w:r w:rsidR="00C84401">
        <w:rPr>
          <w:rFonts w:cs="Calibri"/>
        </w:rPr>
        <w:t>while</w:t>
      </w:r>
      <w:r w:rsidR="00C84401" w:rsidRPr="00AC1B06">
        <w:rPr>
          <w:rFonts w:cs="Calibri"/>
        </w:rPr>
        <w:t xml:space="preserve"> </w:t>
      </w:r>
      <w:r w:rsidRPr="00AC1B06">
        <w:rPr>
          <w:rFonts w:cs="Calibri"/>
        </w:rPr>
        <w:t xml:space="preserve">the communities had a similar community logic, the LR and HR groups each had different capacities to support each other. </w:t>
      </w:r>
    </w:p>
    <w:p w14:paraId="4135B321" w14:textId="77777777" w:rsidR="00787F73" w:rsidRPr="00AC1B06" w:rsidRDefault="00787F73" w:rsidP="00866155">
      <w:pPr>
        <w:rPr>
          <w:rFonts w:cs="Calibri"/>
        </w:rPr>
      </w:pPr>
    </w:p>
    <w:p w14:paraId="4425DFDD" w14:textId="061A1EFD" w:rsidR="00787F73" w:rsidRDefault="00742FB7" w:rsidP="00866155">
      <w:pPr>
        <w:rPr>
          <w:rFonts w:cs="Calibri"/>
        </w:rPr>
      </w:pPr>
      <w:r w:rsidRPr="00AC1B06">
        <w:rPr>
          <w:rFonts w:cs="Calibri"/>
        </w:rPr>
        <w:t xml:space="preserve">Within the LR case, there appeared to be a lot of community support, cohesion and connective action and general psychological first aid </w:t>
      </w:r>
      <w:r w:rsidRPr="00AC1B06">
        <w:rPr>
          <w:rFonts w:cs="Calibri"/>
        </w:rPr>
        <w:fldChar w:fldCharType="begin" w:fldLock="1"/>
      </w:r>
      <w:r w:rsidR="00974B75" w:rsidRPr="00AC1B06">
        <w:rPr>
          <w:rFonts w:cs="Calibri"/>
        </w:rPr>
        <w:instrText>ADDIN CSL_CITATION {"citationItems":[{"id":"ITEM-1","itemData":{"author":[{"dropping-particle":"","family":"Resnyansky","given":"Lucy","non-dropping-particle":"","parse-names":false,"suffix":""}],"container-title":"IEEE Technology and Society Magazine","id":"ITEM-1","issue":"1","issued":{"date-parts":[["2014"]]},"page":"54-65","title":"Social Media, Disaster Studies, Communication and Human Communication","type":"article-journal","volume":"33"},"uris":["http://www.mendeley.com/documents/?uuid=c8e5d180-c40d-4ffb-9803-dbd3d85d5555"]},{"id":"ITEM-2","itemData":{"ISBN":"1324-1540","ISSN":"1324-1540","PMID":"46721101149317","abstract":"In this paper we review data collected from an online, social media-administered survey developed to explore public use of social media during a series of natural disasters, predominantly in Australia and New Zealand, during January to March 2011. These data are then explored using examples taken from the experiences of those involved in administering the most widely-used community-driven Facebook page during these disasters, which focused on tropical cyclone Yasi (‘Cyclone Yasi Update’). The survey was completed by 1146 respondents who had used social media in relation to the recent natural disasters. Data indicated that the public relied on a mix of formal and informal information sources, often using social media to re-post or re-tweet links from government websites felt to be of use to communities, thus acting as filters and amplifiers of ‘official’ information. This paper discusses how social media, specifically their core strengths of timely information exchange and promotion of connectedness, were able to act as sources of psychological first aid in the early stages of disaster and assist in supporting aspects of community resilience.","author":[{"dropping-particle":"","family":"Taylor","given":"By Mel","non-dropping-particle":"","parse-names":false,"suffix":""},{"dropping-particle":"","family":"Wells","given":"Garrett","non-dropping-particle":"","parse-names":false,"suffix":""},{"dropping-particle":"","family":"Howell","given":"Gwyneth","non-dropping-particle":"","parse-names":false,"suffix":""},{"dropping-particle":"","family":"Raphael","given":"Beverley","non-dropping-particle":"","parse-names":false,"suffix":""}],"container-title":"The Australian Journal of Emergency Management","id":"ITEM-2","issue":"1","issued":{"date-parts":[["2012"]]},"page":"20-26","title":"The role of social media as psychological first aid as a support to community resilience building .","type":"article-journal","volume":"27"},"uris":["http://www.mendeley.com/documents/?uuid=860c8106-6f74-480d-8bc4-bb8a4c53230f"]},{"id":"ITEM-3","itemData":{"URL":"https://danslee.wordpress.com/2019/08/16/long-read-i-read-147-facebook-updates-across-seven-pages-to-see-how-the-whaley-bridge-dam-crisis-was-communicated-on-facebook/","author":[{"dropping-particle":"","family":"Slee","given":"Dan","non-dropping-particle":"","parse-names":false,"suffix":""}],"container-title":"Dan Slee","id":"ITEM-3","issue":"August","issued":{"date-parts":[["2019"]]},"page":"1-11","title":"LONG READ: I read 147 Facebook updates across seven pages to see how the Whaley Bridge dam crisis was communicated on Facebook","type":"webpage"},"uris":["http://www.mendeley.com/documents/?uuid=c6875663-7291-4ec0-834d-02549491168c"]},{"id":"ITEM-4","itemData":{"DOI":"10.1016/j.chb.2022.107294","ISSN":"07475632","abstract":"Facing the Covid outbreaks, public health researchers share a consensus that community resilience should be maintained and strengthened because it helps mitigate the physical and emotional tolls on individuals and communities. One way to achieve the goal is to build and strengthen community resilience through social media. However, social media's role in building community resilience has been poorly understood from a behavioral perspective. Guiding by uses and gratification theory and the coping literature, we build a model to examine how social media behaviors may influence community members' perceived community resilience, providing a “bottom-up” voice to deepen our understanding of community resilience and its implications for public health. The results shows that community members' social media engagement was significantly associated with their perceived community resilience. While helping others on social media led people to perceive their communities as less resilient, the use of social media for social support helped foster social capital, leading to more perceived resilience at the collective level. Overall, social media use played important roles in shaping people's perception of community resilience, helping community members and organizations evaluate their strengths and weaknesses, and make improvement to better address future challenges in the times of global disasters.","author":[{"dropping-particle":"","family":"Xie","given":"Lola","non-dropping-particle":"","parse-names":false,"suffix":""},{"dropping-particle":"","family":"Pinto","given":"Juliet","non-dropping-particle":"","parse-names":false,"suffix":""},{"dropping-particle":"","family":"Zhong","given":"Bu","non-dropping-particle":"","parse-names":false,"suffix":""}],"container-title":"Computers in Human Behavior","id":"ITEM-4","issued":{"date-parts":[["2022"]]},"page":"1 - 9","title":"Building community resilience on social media to help recover from the COVID-19 pandemic","type":"article-journal","volume":"134"},"uris":["http://www.mendeley.com/documents/?uuid=625f072e-ec3a-410e-b53c-06c711464573"]},{"id":"ITEM-5","itemData":{"ISBN":"9781138860766","author":[{"dropping-particle":"","family":"Chadwick","given":"A","non-dropping-particle":"","parse-names":false,"suffix":""},{"dropping-particle":"","family":"Dennis","given":"J","non-dropping-particle":"","parse-names":false,"suffix":""},{"dropping-particle":"","family":"Smith","given":"AP","non-dropping-particle":"","parse-names":false,"suffix":""}],"chapter-number":"1","container-title":"The Routledge Companion to Social Media and Politics","editor":[{"dropping-particle":"","family":"A Bruns","given":"","non-dropping-particle":"","parse-names":false,"suffix":""}],"id":"ITEM-5","issued":{"date-parts":[["2016"]]},"page":"7 - 22","publisher":"Routledge","publisher-place":"New York","title":"Politics in the age of hybrid media: power, systems, and media logics","type":"chapter"},"uris":["http://www.mendeley.com/documents/?uuid=479ba372-9006-43bc-bd0b-fad31814a757"]},{"id":"ITEM-6","itemData":{"DOI":"10.1016/j.ijdrr.2022.102783","ISSN":"22124209","abstract":"Studies on the role of social media in disaster management have so far focused mainly on early phases of the disaster response process. Published evidence regarding the scope and effectiveness of social media use in the recovery phase is limited but promising. There is currently no study that provides a comprehensive picture of the current research landscape that can inform different groups who need to capitalise on social media for disaster recovery. The present study aims to address this research gap by conducting a systematic literature review of social media use in disaster recovery. The review analyses the relevant studies to identify any temporal variations in research activity, the social media platforms most frequently used in disaster recovery, their patterns of use by type of disaster as well as the geographical locations where the studies have focused. Importantly, the paper identifies and summarises research findings relating to social media use in various aspects of disaster recovery, including (1) donations and financial support, (2) solidarity and social cohesion, (3) post-disaster reconstruction and infrastructure services, (4) socioeconomic and physical wellbeing, (5) information support, (6) mental health and emotional support, and (7) business &amp; economic activities. We envisage that this comprehensive review will support the disaster risk reduction community with the requisite knowledge to better explore social media for disaster recovery. Similarly, future research may find the study helpful for understanding the state of knowledge and identifying research gaps around social media use for disaster recovery.","author":[{"dropping-particle":"","family":"Ogie","given":"R. I.","non-dropping-particle":"","parse-names":false,"suffix":""},{"dropping-particle":"","family":"James","given":"S.","non-dropping-particle":"","parse-names":false,"suffix":""},{"dropping-particle":"","family":"Moore","given":"A.","non-dropping-particle":"","parse-names":false,"suffix":""},{"dropping-particle":"","family":"Dilworth","given":"T.","non-dropping-particle":"","parse-names":false,"suffix":""},{"dropping-particle":"","family":"Amirghasemi","given":"M.","non-dropping-particle":"","parse-names":false,"suffix":""},{"dropping-particle":"","family":"Whittaker","given":"J.","non-dropping-particle":"","parse-names":false,"suffix":""}],"container-title":"International Journal of Disaster Risk Reduction","id":"ITEM-6","issued":{"date-parts":[["2022"]]},"page":"1 - 18","title":"Social media use in disaster recovery: A systematic literature review","type":"article-journal","volume":"70"},"uris":["http://www.mendeley.com/documents/?uuid=1bda90d3-961c-4bb6-9867-e482122058e3"]}],"mendeley":{"formattedCitation":"(Ogie et al., 2022; Xie, Pinto, &amp; Zhong, 2022; Slee, 2019; Chadwick, Dennis, &amp; Smith, 2016; Resnyansky, 2014; Taylor et al., 2012)","plainTextFormattedCitation":"(Ogie et al., 2022; Xie, Pinto, &amp; Zhong, 2022; Slee, 2019; Chadwick, Dennis, &amp; Smith, 2016; Resnyansky, 2014; Taylor et al., 2012)","previouslyFormattedCitation":"(Ogie et al., 2022; Xie, Pinto, &amp; Zhong, 2022; Slee, 2019; Chadwick, Dennis, &amp; Smith, 2016; Resnyansky, 2014; Taylor et al., 2012)"},"properties":{"noteIndex":0},"schema":"https://github.com/citation-style-language/schema/raw/master/csl-citation.json"}</w:instrText>
      </w:r>
      <w:r w:rsidRPr="00AC1B06">
        <w:rPr>
          <w:rFonts w:cs="Calibri"/>
        </w:rPr>
        <w:fldChar w:fldCharType="separate"/>
      </w:r>
      <w:r w:rsidRPr="00AC1B06">
        <w:rPr>
          <w:rFonts w:cs="Calibri"/>
          <w:noProof/>
        </w:rPr>
        <w:t>(Ogie et al., 2022; Xie, Pinto, &amp; Zhong, 2022; Slee, 2019; Chadwick, Dennis, &amp; Smith, 2016; Resnyansky, 2014; Taylor et al., 2012)</w:t>
      </w:r>
      <w:r w:rsidRPr="00AC1B06">
        <w:rPr>
          <w:rFonts w:cs="Calibri"/>
        </w:rPr>
        <w:fldChar w:fldCharType="end"/>
      </w:r>
      <w:r w:rsidR="00CF5D0F">
        <w:rPr>
          <w:rFonts w:cs="Calibri"/>
        </w:rPr>
        <w:t>.</w:t>
      </w:r>
      <w:r w:rsidRPr="00AC1B06">
        <w:rPr>
          <w:rFonts w:cs="Calibri"/>
        </w:rPr>
        <w:t xml:space="preserve"> </w:t>
      </w:r>
      <w:r w:rsidR="00CF5D0F">
        <w:rPr>
          <w:rFonts w:cs="Calibri"/>
        </w:rPr>
        <w:t>E</w:t>
      </w:r>
      <w:r w:rsidRPr="00AC1B06">
        <w:rPr>
          <w:rFonts w:cs="Calibri"/>
        </w:rPr>
        <w:t>specially in the immediate aftermath of the flooding, with people helping to move furniture to non-flooded areas or helping to set up static caravans so that people had electricity. There seemed to be an acknowledgement of the help people needed, and the capacity to provide that support and to complete the community logic:</w:t>
      </w:r>
    </w:p>
    <w:p w14:paraId="7B6C2F35" w14:textId="77777777" w:rsidR="004F6AAA" w:rsidRPr="00AC1B06" w:rsidRDefault="004F6AAA" w:rsidP="00866155">
      <w:pPr>
        <w:rPr>
          <w:rFonts w:cs="Calibri"/>
        </w:rPr>
      </w:pPr>
    </w:p>
    <w:p w14:paraId="7C0A0A2E" w14:textId="77777777" w:rsidR="00787F73" w:rsidRDefault="00742FB7" w:rsidP="00866155">
      <w:pPr>
        <w:pStyle w:val="TranscriptTableText"/>
        <w:spacing w:line="360" w:lineRule="auto"/>
        <w:ind w:left="720" w:right="663"/>
        <w:rPr>
          <w:rFonts w:ascii="Calibri" w:hAnsi="Calibri" w:cs="Calibri"/>
          <w:sz w:val="24"/>
          <w:szCs w:val="24"/>
        </w:rPr>
      </w:pPr>
      <w:r w:rsidRPr="00AC1B06">
        <w:rPr>
          <w:rStyle w:val="QuoteChar"/>
          <w:rFonts w:cs="Calibri"/>
          <w:szCs w:val="24"/>
        </w:rPr>
        <w:t>“…straight after the flood when people were getting settled there was a real good community sense of trying to help people that were struggling.</w:t>
      </w:r>
      <w:r w:rsidRPr="00AC1B06">
        <w:rPr>
          <w:rFonts w:ascii="Calibri" w:hAnsi="Calibri" w:cs="Calibri"/>
          <w:sz w:val="24"/>
          <w:szCs w:val="24"/>
        </w:rPr>
        <w:t>” (P1LR</w:t>
      </w:r>
      <w:r w:rsidR="0044412F">
        <w:rPr>
          <w:rFonts w:ascii="Calibri" w:hAnsi="Calibri" w:cs="Calibri"/>
          <w:sz w:val="24"/>
          <w:szCs w:val="24"/>
        </w:rPr>
        <w:t xml:space="preserve"> focus group</w:t>
      </w:r>
      <w:r w:rsidRPr="00AC1B06">
        <w:rPr>
          <w:rFonts w:ascii="Calibri" w:hAnsi="Calibri" w:cs="Calibri"/>
          <w:sz w:val="24"/>
          <w:szCs w:val="24"/>
        </w:rPr>
        <w:t>)</w:t>
      </w:r>
    </w:p>
    <w:p w14:paraId="4077F6A9" w14:textId="77777777" w:rsidR="004F6AAA" w:rsidRPr="00AC1B06" w:rsidRDefault="004F6AAA" w:rsidP="00A0151B">
      <w:pPr>
        <w:pStyle w:val="TranscriptTableText"/>
        <w:spacing w:before="0" w:after="0" w:line="360" w:lineRule="auto"/>
        <w:ind w:left="720" w:right="663"/>
        <w:rPr>
          <w:rFonts w:ascii="Calibri" w:hAnsi="Calibri" w:cs="Calibri"/>
          <w:sz w:val="24"/>
          <w:szCs w:val="24"/>
        </w:rPr>
      </w:pPr>
    </w:p>
    <w:p w14:paraId="2835924E" w14:textId="0D35BCB7" w:rsidR="00787F73" w:rsidRDefault="00742FB7" w:rsidP="00866155">
      <w:pPr>
        <w:pStyle w:val="Transcript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Calibri" w:hAnsi="Calibri" w:cs="Calibri"/>
          <w:sz w:val="24"/>
          <w:szCs w:val="24"/>
        </w:rPr>
      </w:pPr>
      <w:r w:rsidRPr="00AC1B06">
        <w:rPr>
          <w:rFonts w:ascii="Calibri" w:hAnsi="Calibri" w:cs="Calibri"/>
          <w:sz w:val="24"/>
          <w:szCs w:val="24"/>
        </w:rPr>
        <w:t>However, participant 1 acknowledged different individual capacities and the ability to help, suggesting institutional complexity within individuals:</w:t>
      </w:r>
    </w:p>
    <w:p w14:paraId="4BA93C99" w14:textId="77777777" w:rsidR="004F6AAA" w:rsidRPr="00AC1B06" w:rsidRDefault="004F6AAA" w:rsidP="00A0151B">
      <w:pPr>
        <w:pStyle w:val="Transcript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360" w:lineRule="auto"/>
        <w:rPr>
          <w:rFonts w:ascii="Calibri" w:hAnsi="Calibri" w:cs="Calibri"/>
          <w:sz w:val="24"/>
          <w:szCs w:val="24"/>
        </w:rPr>
      </w:pPr>
    </w:p>
    <w:p w14:paraId="2A3A7D19" w14:textId="77777777" w:rsidR="00787F73" w:rsidRPr="00AC1B06" w:rsidRDefault="00742FB7" w:rsidP="00866155">
      <w:pPr>
        <w:pStyle w:val="TranscriptTableText"/>
        <w:spacing w:line="360" w:lineRule="auto"/>
        <w:ind w:left="720" w:right="663"/>
        <w:rPr>
          <w:rFonts w:ascii="Calibri" w:hAnsi="Calibri" w:cs="Calibri"/>
          <w:sz w:val="24"/>
          <w:szCs w:val="24"/>
        </w:rPr>
      </w:pPr>
      <w:r w:rsidRPr="00AC1B06">
        <w:rPr>
          <w:rStyle w:val="QuoteChar"/>
          <w:rFonts w:cs="Calibri"/>
          <w:szCs w:val="24"/>
        </w:rPr>
        <w:t>“I think a lot of individuals just came and helped to clean out. I find it difficult myself to deal with that aspect because I just felt stuck because I had my little boy. And I'm like, I want to do things, and I want to go help and I can't because I'm a mum, and I have to be a mum first.”</w:t>
      </w:r>
      <w:r w:rsidRPr="00AC1B06">
        <w:rPr>
          <w:rFonts w:ascii="Calibri" w:hAnsi="Calibri" w:cs="Calibri"/>
          <w:sz w:val="24"/>
          <w:szCs w:val="24"/>
        </w:rPr>
        <w:t xml:space="preserve"> (P1LR</w:t>
      </w:r>
      <w:r w:rsidR="0044412F">
        <w:rPr>
          <w:rFonts w:ascii="Calibri" w:hAnsi="Calibri" w:cs="Calibri"/>
          <w:sz w:val="24"/>
          <w:szCs w:val="24"/>
        </w:rPr>
        <w:t xml:space="preserve"> group</w:t>
      </w:r>
      <w:r w:rsidRPr="00AC1B06">
        <w:rPr>
          <w:rFonts w:ascii="Calibri" w:hAnsi="Calibri" w:cs="Calibri"/>
          <w:sz w:val="24"/>
          <w:szCs w:val="24"/>
        </w:rPr>
        <w:t>)</w:t>
      </w:r>
    </w:p>
    <w:p w14:paraId="20DDFBDB" w14:textId="77777777" w:rsidR="00122C6A" w:rsidRDefault="00742FB7" w:rsidP="00122C6A">
      <w:pPr>
        <w:pStyle w:val="TranscriptTableT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Calibri" w:hAnsi="Calibri" w:cs="Calibri"/>
          <w:sz w:val="24"/>
          <w:szCs w:val="24"/>
        </w:rPr>
      </w:pPr>
      <w:r w:rsidRPr="00AC1B06">
        <w:rPr>
          <w:rFonts w:ascii="Calibri" w:hAnsi="Calibri" w:cs="Calibri"/>
          <w:sz w:val="24"/>
          <w:szCs w:val="24"/>
        </w:rPr>
        <w:lastRenderedPageBreak/>
        <w:t xml:space="preserve">This indicates an internal institutional complexity of two societal logics of family and community </w:t>
      </w:r>
      <w:r w:rsidRPr="00AC1B06">
        <w:rPr>
          <w:rFonts w:ascii="Calibri" w:hAnsi="Calibri" w:cs="Calibri"/>
          <w:sz w:val="24"/>
          <w:szCs w:val="24"/>
        </w:rPr>
        <w:fldChar w:fldCharType="begin" w:fldLock="1"/>
      </w:r>
      <w:r w:rsidR="00D177B9">
        <w:rPr>
          <w:rFonts w:ascii="Calibri" w:hAnsi="Calibri" w:cs="Calibri"/>
          <w:sz w:val="24"/>
          <w:szCs w:val="24"/>
        </w:rPr>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Process","type":"book"},"uris":["http://www.mendeley.com/documents/?uuid=7afe7588-cd0b-4a95-b78a-3214c1130169"]},{"id":"ITEM-2","itemData":{"DOI":"10.1177/017084069701800204","ISBN":"01708406","ISSN":"0170-8406","PMID":"9707225788","abstract":"The focus of this paper is to examine the responses to institutional isomorph ism in one area of the public sector — universities. As an example, one particu lar organizational practice is examined — performance appraisal — and its implications for one group of professionals — academics. In doing so, some of the sources of variation in responses to institutional pressures are illustrated and the strategies of resistance actors engage in to resist such pressures. It is suggested that the concept of institutional logic is an important element in influencing responses to isomorphism, providing a repertoire of beliefs with which to contest concepts of legitimacy.","author":[{"dropping-particle":"","family":"Townley","given":"Barbara","non-dropping-particle":"","parse-names":false,"suffix":""}],"container-title":"Organization Studies","id":"ITEM-2","issue":"2","issued":{"date-parts":[["1997"]]},"page":"261-285","title":"Logic of Performance Appraisal","type":"article-journal","volume":"18"},"uris":["http://www.mendeley.com/documents/?uuid=3956e178-7c7b-4649-90dd-0750fde9fde0"]},{"id":"ITEM-3","itemData":{"DOI":"10.1108/S0733-558X201600048A005","author":[{"dropping-particle":"","family":"Zilber","given":"Tammar B","non-dropping-particle":"","parse-names":false,"suffix":""}],"chapter-number":"5","container-title":"How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-3","issued":{"date-parts":[["2016"]]},"page":"137-155","publisher":"Emerald Group Publishing Limited","title":"How Institutional Logics Matter: A Bottom-Up Exploration","type":"chapter","volume":"48"},"uris":["http://www.mendeley.com/documents/?uuid=e4988de7-6965-4bc8-bedf-8392ba1d8d8c"]},{"id":"ITEM-4","itemData":{"DOI":"10.1108/S0733-558X201600048A001","author":[{"dropping-particle":"","family":"Glaser","given":"Vern L","non-dropping-particle":"","parse-names":false,"suffix":""},{"dropping-particle":"","family":"Fast","given":"Nathanael J","non-dropping-particle":"","parse-names":false,"suffix":""},{"dropping-particle":"","family":"Harmon","given":"Derek J","non-dropping-particle":"","parse-names":false,"suffix":""},{"dropping-particle":"","family":"Green","given":"Sandy E","non-dropping-particle":"","parse-names":false,"suffix":""}],"chapter-number":"2","container-title":"How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-4","issued":{"date-parts":[["2016"]]},"page":"35-70","publisher":"Emerald Group Publishing Limited","title":"Institutional Frame Switching: How Institutional Logics Shape Individual Action","type":"chapter","volume":"48A"},"uris":["http://www.mendeley.com/documents/?uuid=8ac9f37b-5be1-4297-bd70-0abc13a22de3"]},{"id":"ITEM-5","itemData":{"DOI":"10.1177/1476127015625040","author":[{"dropping-particle":"","family":"Ocasio","given":"William","non-dropping-particle":"","parse-names":false,"suffix":""},{"dropping-particle":"","family":"Radoynovska","given":"Nevena","non-dropping-particle":"","parse-names":false,"suffix":""}],"container-title":"Strategic Organization","id":"ITEM-5","issue":"4","issued":{"date-parts":[["2016"]]},"page":"287 - 309","title":"Strategy and commitments to institutional logics : Organizational heterogeneity in business models and governance","type":"article-journal","volume":"14"},"uris":["http://www.mendeley.com/documents/?uuid=eede86b6-3a39-4b52-acc9-94e8cc3fbd5e"]},{"id":"ITEM-6","itemData":{"DOI":"10.1177/0007650318789104","ISSN":"15524205","abstract":"Social innovations are urgently needed as we confront complex social problems. As these social problems feature substantial interdependencies among multiple systems and actors, developing and implementing innovative solutions involve the re-negotiating of settled institutions or the building of new ones. In this introductory article, we introduce a stylized three-cycle model highlighting the institutional nature of social innovation efforts. The model conceptualizes social innovation processes as the product of agentic, relational, and situated dynamics in three interrelated cycles that operate at the micro, meso, and macro levels of analysis. The five papers included in this special issue address one or more of these cycles. We draw on these papers and the model to stimulate and offer guidance to future conversations on social innovations from an institutional theory perspective.","author":[{"dropping-particle":"","family":"Wijk","given":"Jakomijn","non-dropping-particle":"van","parse-names":false,"suffix":""},{"dropping-particle":"","family":"Zietsma","given":"Charlene","non-dropping-particle":"","parse-names":false,"suffix":""},{"dropping-particle":"","family":"Dorado","given":"Silvia","non-dropping-particle":"","parse-names":false,"suffix":""},{"dropping-particle":"","family":"Bakker","given":"Frank G.A.","non-dropping-particle":"de","parse-names":false,"suffix":""},{"dropping-particle":"","family":"Martí","given":"Ignasi","non-dropping-particle":"","parse-names":false,"suffix":""}],"container-title":"Business and Society","id":"ITEM-6","issue":"5","issued":{"date-parts":[["2019"]]},"page":"887-918","title":"Social Innovation: Integrating Micro, Meso, and Macro Level Insights From Institutional Theory","type":"article-journal","volume":"58"},"uris":["http://www.mendeley.com/documents/?uuid=e7aea813-38d5-4cfc-809f-0f93b22a795c"]}],"mendeley":{"formattedCitation":"(van Wijk et al., 2019; Glaser et al., 2016; Ocasio &amp; Radoynovska, 2016; Zilber, 2016; Thornton, Ocasio, &amp; Lounsbury, 2012; Townley, 1997)","plainTextFormattedCitation":"(van Wijk et al., 2019; Glaser et al., 2016; Ocasio &amp; Radoynovska, 2016; Zilber, 2016; Thornton, Ocasio, &amp; Lounsbury, 2012; Townley, 1997)","previouslyFormattedCitation":"(van Wijk et al., 2019; Glaser et al., 2016; Ocasio &amp; Radoynovska, 2016; Zilber, 2016; Thornton, Ocasio, &amp; Lounsbury, 2012; Townley, 1997)"},"properties":{"noteIndex":0},"schema":"https://github.com/citation-style-language/schema/raw/master/csl-citation.json"}</w:instrText>
      </w:r>
      <w:r w:rsidRPr="00AC1B06">
        <w:rPr>
          <w:rFonts w:ascii="Calibri" w:hAnsi="Calibri" w:cs="Calibri"/>
          <w:sz w:val="24"/>
          <w:szCs w:val="24"/>
        </w:rPr>
        <w:fldChar w:fldCharType="separate"/>
      </w:r>
      <w:r w:rsidR="00E37B0E" w:rsidRPr="00E37B0E">
        <w:rPr>
          <w:rFonts w:ascii="Calibri" w:hAnsi="Calibri" w:cs="Calibri"/>
          <w:noProof/>
          <w:sz w:val="24"/>
          <w:szCs w:val="24"/>
        </w:rPr>
        <w:t>(van Wijk et al., 2019; Glaser et al., 2016; Ocasio &amp; Radoynovska, 2016; Zilber, 2016; Thornton, Ocasio, &amp; Lounsbury, 2012; Townley, 1997)</w:t>
      </w:r>
      <w:r w:rsidRPr="00AC1B06">
        <w:rPr>
          <w:rFonts w:ascii="Calibri" w:hAnsi="Calibri" w:cs="Calibri"/>
          <w:sz w:val="24"/>
          <w:szCs w:val="24"/>
        </w:rPr>
        <w:fldChar w:fldCharType="end"/>
      </w:r>
      <w:r w:rsidRPr="00AC1B06">
        <w:rPr>
          <w:rFonts w:ascii="Calibri" w:hAnsi="Calibri" w:cs="Calibri"/>
          <w:sz w:val="24"/>
          <w:szCs w:val="24"/>
        </w:rPr>
        <w:t xml:space="preserve"> with the participant wanting to help and be part of the community, but also wanting to adhere to the institutional logics of family and prioritising her son. This suggests that Participant 1 was wanting to show institutional legitimacy </w:t>
      </w:r>
      <w:r w:rsidRPr="00AC1B06">
        <w:rPr>
          <w:rFonts w:ascii="Calibri" w:hAnsi="Calibri" w:cs="Calibri"/>
          <w:sz w:val="24"/>
          <w:szCs w:val="24"/>
        </w:rPr>
        <w:fldChar w:fldCharType="begin" w:fldLock="1"/>
      </w:r>
      <w:r w:rsidR="00974B75" w:rsidRPr="00AC1B06">
        <w:rPr>
          <w:rFonts w:ascii="Calibri" w:hAnsi="Calibri" w:cs="Calibri"/>
          <w:sz w:val="24"/>
          <w:szCs w:val="24"/>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Phenomena","type":"article-journal","volume":"47"},"uris":["http://www.mendeley.com/documents/?uuid=3561369e-31b0-40ce-940d-739bd34cab24"]},{"id":"ITEM-2","itemData":{"DOI":"10.1108/S0733-558X(2013)0039A&amp;B015","ISSN":"0733558X","abstract":"This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Organizations","id":"ITEM-2","issue":"B","issued":{"date-parts":[["2013"]]},"page":"37-61","publisher":"Emerald Group Publishing Limited","title":"Institutional ambidexterity: Leveraging institutional complexity in practice","type":"article-journal","volume":"39"},"uris":["http://www.mendeley.com/documents/?uuid=ff8dc873-f050-4c05-bdec-08925d6e6ab8"]}],"mendeley":{"formattedCitation":"(Lounsbury et al., 2021; Jarzabkowski et al., 2013)","plainTextFormattedCitation":"(Lounsbury et al., 2021; Jarzabkowski et al., 2013)","previouslyFormattedCitation":"(Lounsbury et al., 2021; Jarzabkowski et al., 2013)"},"properties":{"noteIndex":0},"schema":"https://github.com/citation-style-language/schema/raw/master/csl-citation.json"}</w:instrText>
      </w:r>
      <w:r w:rsidRPr="00AC1B06">
        <w:rPr>
          <w:rFonts w:ascii="Calibri" w:hAnsi="Calibri" w:cs="Calibri"/>
          <w:sz w:val="24"/>
          <w:szCs w:val="24"/>
        </w:rPr>
        <w:fldChar w:fldCharType="separate"/>
      </w:r>
      <w:r w:rsidRPr="00AC1B06">
        <w:rPr>
          <w:rFonts w:ascii="Calibri" w:hAnsi="Calibri" w:cs="Calibri"/>
          <w:noProof/>
          <w:sz w:val="24"/>
          <w:szCs w:val="24"/>
        </w:rPr>
        <w:t>(Lounsbury et al., 2021; Jarzabkowski et al., 2013)</w:t>
      </w:r>
      <w:r w:rsidRPr="00AC1B06">
        <w:rPr>
          <w:rFonts w:ascii="Calibri" w:hAnsi="Calibri" w:cs="Calibri"/>
          <w:sz w:val="24"/>
          <w:szCs w:val="24"/>
        </w:rPr>
        <w:fldChar w:fldCharType="end"/>
      </w:r>
      <w:r w:rsidRPr="00AC1B06">
        <w:rPr>
          <w:rFonts w:ascii="Calibri" w:hAnsi="Calibri" w:cs="Calibri"/>
          <w:sz w:val="24"/>
          <w:szCs w:val="24"/>
        </w:rPr>
        <w:t xml:space="preserve"> both within the family institution, of looking after her son, but also the community institution, of supporting her community. Thus, suggesting there is institutional complexity surrounding community resilience, with influence from societal logics such as the state, family, and community, and field level logics of community members professions and previous experiences. </w:t>
      </w:r>
    </w:p>
    <w:p w14:paraId="7F13B6E1" w14:textId="77777777" w:rsidR="00CF5D0F" w:rsidRDefault="00CF5D0F" w:rsidP="00122C6A">
      <w:pPr>
        <w:pStyle w:val="TranscriptTableT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Calibri" w:hAnsi="Calibri" w:cs="Calibri"/>
          <w:sz w:val="24"/>
          <w:szCs w:val="24"/>
        </w:rPr>
      </w:pPr>
    </w:p>
    <w:p w14:paraId="325BCA07" w14:textId="77777777" w:rsidR="00787F73" w:rsidRDefault="00742FB7" w:rsidP="00122C6A">
      <w:pPr>
        <w:pStyle w:val="TranscriptTableT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Calibri" w:hAnsi="Calibri" w:cs="Calibri"/>
          <w:sz w:val="24"/>
          <w:szCs w:val="24"/>
        </w:rPr>
      </w:pPr>
      <w:r w:rsidRPr="00AC1B06">
        <w:rPr>
          <w:rFonts w:ascii="Calibri" w:hAnsi="Calibri" w:cs="Calibri"/>
          <w:sz w:val="24"/>
          <w:szCs w:val="24"/>
        </w:rPr>
        <w:t>The community logic was also strong within the HR community group, however, there was a lack of capacity to support each other. One participant explained that they had wanted to support someone with their mental health, however, in the process of doing that, they realised it was damaging their own mental health, which led them to say a very poignant statement:</w:t>
      </w:r>
    </w:p>
    <w:p w14:paraId="5AB3DCB4" w14:textId="77777777" w:rsidR="004F6AAA" w:rsidRPr="00AC1B06" w:rsidRDefault="004F6AAA" w:rsidP="00A0151B">
      <w:pPr>
        <w:pStyle w:val="TranscriptTableT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360" w:lineRule="auto"/>
        <w:rPr>
          <w:rFonts w:ascii="Calibri" w:hAnsi="Calibri" w:cs="Calibri"/>
          <w:sz w:val="24"/>
          <w:szCs w:val="24"/>
        </w:rPr>
      </w:pPr>
    </w:p>
    <w:p w14:paraId="066244CA" w14:textId="77777777" w:rsidR="00787F73" w:rsidRDefault="00742FB7" w:rsidP="00A0151B">
      <w:pPr>
        <w:pStyle w:val="TranscriptTableText"/>
        <w:spacing w:before="0" w:after="0" w:line="360" w:lineRule="auto"/>
        <w:ind w:left="720" w:right="663"/>
        <w:rPr>
          <w:rFonts w:ascii="Calibri" w:hAnsi="Calibri" w:cs="Calibri"/>
          <w:sz w:val="24"/>
          <w:szCs w:val="24"/>
        </w:rPr>
      </w:pPr>
      <w:r w:rsidRPr="00AC1B06">
        <w:rPr>
          <w:rStyle w:val="QuoteChar"/>
          <w:rFonts w:cs="Calibri"/>
          <w:szCs w:val="24"/>
        </w:rPr>
        <w:t>“You can’t pull somebody out of quicksand when you’re not on solid ground yourself.”</w:t>
      </w:r>
      <w:r w:rsidRPr="00AC1B06">
        <w:rPr>
          <w:rFonts w:ascii="Calibri" w:hAnsi="Calibri" w:cs="Calibri"/>
          <w:sz w:val="24"/>
          <w:szCs w:val="24"/>
        </w:rPr>
        <w:t xml:space="preserve"> (P1HR</w:t>
      </w:r>
      <w:r w:rsidR="0044412F">
        <w:rPr>
          <w:rFonts w:ascii="Calibri" w:hAnsi="Calibri" w:cs="Calibri"/>
          <w:sz w:val="24"/>
          <w:szCs w:val="24"/>
        </w:rPr>
        <w:t xml:space="preserve"> focus group</w:t>
      </w:r>
      <w:r w:rsidRPr="00AC1B06">
        <w:rPr>
          <w:rFonts w:ascii="Calibri" w:hAnsi="Calibri" w:cs="Calibri"/>
          <w:sz w:val="24"/>
          <w:szCs w:val="24"/>
        </w:rPr>
        <w:t>)</w:t>
      </w:r>
    </w:p>
    <w:p w14:paraId="30CB9D49" w14:textId="77777777" w:rsidR="004F6AAA" w:rsidRPr="00AC1B06" w:rsidRDefault="004F6AAA" w:rsidP="00A0151B">
      <w:pPr>
        <w:pStyle w:val="TranscriptTableText"/>
        <w:spacing w:before="0" w:after="0" w:line="360" w:lineRule="auto"/>
        <w:ind w:left="720" w:right="663"/>
        <w:rPr>
          <w:rFonts w:ascii="Calibri" w:hAnsi="Calibri" w:cs="Calibri"/>
          <w:sz w:val="24"/>
          <w:szCs w:val="24"/>
        </w:rPr>
      </w:pPr>
    </w:p>
    <w:p w14:paraId="02F5AF7C" w14:textId="77777777" w:rsidR="00787F73" w:rsidRDefault="00742FB7" w:rsidP="00A0151B">
      <w:pPr>
        <w:pStyle w:val="Transcript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360" w:lineRule="auto"/>
        <w:rPr>
          <w:rFonts w:ascii="Calibri" w:hAnsi="Calibri" w:cs="Calibri"/>
          <w:sz w:val="24"/>
          <w:szCs w:val="24"/>
        </w:rPr>
      </w:pPr>
      <w:r w:rsidRPr="00AC1B06">
        <w:rPr>
          <w:rFonts w:ascii="Calibri" w:hAnsi="Calibri" w:cs="Calibri"/>
          <w:sz w:val="24"/>
          <w:szCs w:val="24"/>
        </w:rPr>
        <w:t>When discussing the community provision, the participants appeared to know what their community needed but were not able to provide the services or support to each other:</w:t>
      </w:r>
    </w:p>
    <w:p w14:paraId="171C3598" w14:textId="77777777" w:rsidR="004F6AAA" w:rsidRPr="00AC1B06" w:rsidRDefault="004F6AAA" w:rsidP="00A0151B">
      <w:pPr>
        <w:pStyle w:val="Transcript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360" w:lineRule="auto"/>
        <w:rPr>
          <w:rFonts w:ascii="Calibri" w:hAnsi="Calibri" w:cs="Calibri"/>
          <w:sz w:val="24"/>
          <w:szCs w:val="24"/>
        </w:rPr>
      </w:pPr>
    </w:p>
    <w:p w14:paraId="2659E112" w14:textId="77777777" w:rsidR="00787F73" w:rsidRDefault="00742FB7" w:rsidP="004F6AAA">
      <w:pPr>
        <w:ind w:left="720" w:right="663"/>
        <w:rPr>
          <w:rFonts w:cs="Calibri"/>
        </w:rPr>
      </w:pPr>
      <w:r w:rsidRPr="00AC1B06">
        <w:rPr>
          <w:rStyle w:val="QuoteChar"/>
          <w:rFonts w:cs="Calibri"/>
        </w:rPr>
        <w:t>“it’s a case of lots and lots of good ideas but just not being in a position”</w:t>
      </w:r>
      <w:r w:rsidRPr="00AC1B06">
        <w:rPr>
          <w:rFonts w:cs="Calibri"/>
        </w:rPr>
        <w:t xml:space="preserve"> (P2HR</w:t>
      </w:r>
      <w:r w:rsidR="0044412F">
        <w:rPr>
          <w:rFonts w:cs="Calibri"/>
        </w:rPr>
        <w:t xml:space="preserve"> focus group</w:t>
      </w:r>
      <w:r w:rsidRPr="00AC1B06">
        <w:rPr>
          <w:rFonts w:cs="Calibri"/>
        </w:rPr>
        <w:t>)</w:t>
      </w:r>
    </w:p>
    <w:p w14:paraId="2D323503" w14:textId="77777777" w:rsidR="004F6AAA" w:rsidRPr="00AC1B06" w:rsidRDefault="004F6AAA" w:rsidP="00866155">
      <w:pPr>
        <w:ind w:left="720" w:right="663"/>
        <w:rPr>
          <w:rFonts w:cs="Calibri"/>
        </w:rPr>
      </w:pPr>
    </w:p>
    <w:p w14:paraId="611C2BC8" w14:textId="77777777" w:rsidR="00787F73" w:rsidRPr="00AC1B06" w:rsidRDefault="00742FB7" w:rsidP="00866155">
      <w:pPr>
        <w:rPr>
          <w:rFonts w:cs="Calibri"/>
        </w:rPr>
      </w:pPr>
      <w:r w:rsidRPr="00AC1B06">
        <w:rPr>
          <w:rFonts w:cs="Calibri"/>
        </w:rPr>
        <w:t xml:space="preserve">This community logic and drive to support each other seemed to come from an understanding that there were no other options or services as mental health support and other community support had been reduced or removed. This highlights the dangers of a neoliberal approach to community provision, with a rollback of state funding and support, businesses and not-for-profits do not have the same institutional logics to support </w:t>
      </w:r>
      <w:r w:rsidRPr="00AC1B06">
        <w:rPr>
          <w:rFonts w:cs="Calibri"/>
        </w:rPr>
        <w:lastRenderedPageBreak/>
        <w:t xml:space="preserve">communities. This means that communities can be left without any support, suggesting a domino effect of disasters </w:t>
      </w:r>
      <w:r w:rsidRPr="00AC1B06">
        <w:rPr>
          <w:rFonts w:cs="Calibri"/>
        </w:rPr>
        <w:fldChar w:fldCharType="begin" w:fldLock="1"/>
      </w:r>
      <w:r w:rsidRPr="00AC1B06">
        <w:rPr>
          <w:rFonts w:cs="Calibri"/>
        </w:rPr>
        <w:instrText>ADDIN CSL_CITATION {"citationItems":[{"id":"ITEM-1","itemData":{"abstract":": The consequences of the 2011 Tohoku earthquake persuaded the global community to consider more realistically the problem of \"cascading disasters\". Since then, the concept has been widely used among scholars and practitioners but its definition remains vague. In order to explain a chain-sequence of interconnected failures, the word 'cascading' is often associated with the metaphor of toppling dominoes, which may have a bearing on the cause-and-effect relationship that is a feature of most catastrophic events. Our paper aims to avoid this grey area and offer a clear definition that is suitable for field and theoretical use. A review of the literature is employed to point out the specific features that differentiate \"cascading disasters\" and \"cascading effects\" from other forms and dynamics of disaster. Glossaries are surveyed and past disasters analysed in order to reflect on which are the critical elements of a 'cascade' and how best to investigate them. Our conclusions suggest that interdependencies, vulnerability, amplification, secondary disasters and critical infrastructure are important factors that need to be addressed in risk reduction practices in order to limit cascading during disasters.","author":[{"dropping-particle":"","family":"Pescaroli","given":"Gianluca","non-dropping-particle":"","parse-names":false,"suffix":""},{"dropping-particle":"","family":"Alexander","given":"David","non-dropping-particle":"","parse-names":false,"suffix":""}],"container-title":"GRF Davos Planet@Risk","id":"ITEM-1","issue":"1","issued":{"date-parts":[["2015"]]},"page":"58-67","title":"A definition of cascading disasters and cascading effects: Going beyond the “toppling dominos” metaphor","type":"article-journal","volume":"3"},"uris":["http://www.mendeley.com/documents/?uuid=8ca3f59d-14b2-4d9a-8776-73d91f24a2a9"]},{"id":"ITEM-2","itemData":{"author":[{"dropping-particle":"","family":"Lönnermark","given":"Anders","non-dropping-particle":"","parse-names":false,"suffix":""},{"dropping-particle":"","family":"Criel","given":"Xavier","non-dropping-particle":"","parse-names":false,"suffix":""},{"dropping-particle":"","family":"Johansson","given":"Jonas","non-dropping-particle":"","parse-names":false,"suffix":""},{"dropping-particle":"","family":"Cedergren","given":"Alexander","non-dropping-particle":"","parse-names":false,"suffix":""},{"dropping-particle":"Van","family":"Heuverswyn","given":"Kathleen","non-dropping-particle":"","parse-names":false,"suffix":""},{"dropping-particle":"","family":"Judek","given":"Clément","non-dropping-particle":"","parse-names":false,"suffix":""},{"dropping-particle":"","family":"Lange","given":"David","non-dropping-particle":"","parse-names":false,"suffix":""},{"dropping-particle":"","family":"Arnell","given":"Krister","non-dropping-particle":"","parse-names":false,"suffix":""},{"dropping-particle":"","family":"Reilly","given":"Paul","non-dropping-particle":"","parse-names":false,"suffix":""}],"id":"ITEM-2","issued":{"date-parts":[["2016"]]},"number-of-pages":"1-23","title":"CascEff Glossary and Definitions","type":"report"},"uris":["http://www.mendeley.com/documents/?uuid=d99e9d2b-78a4-4d6a-bcac-807fae30199a"]}],"mendeley":{"formattedCitation":"(Lönnermark et al., 2016; Pescaroli &amp; Alexander, 2015)","plainTextFormattedCitation":"(Lönnermark et al., 2016; Pescaroli &amp; Alexander, 2015)","previouslyFormattedCitation":"(Lönnermark et al., 2016; Pescaroli &amp; Alexander, 2015)"},"properties":{"noteIndex":0},"schema":"https://github.com/citation-style-language/schema/raw/master/csl-citation.json"}</w:instrText>
      </w:r>
      <w:r w:rsidRPr="00AC1B06">
        <w:rPr>
          <w:rFonts w:cs="Calibri"/>
        </w:rPr>
        <w:fldChar w:fldCharType="separate"/>
      </w:r>
      <w:r w:rsidRPr="00AC1B06">
        <w:rPr>
          <w:rFonts w:cs="Calibri"/>
          <w:noProof/>
        </w:rPr>
        <w:t>(Lönnermark et al., 2016; Pescaroli &amp; Alexander, 2015)</w:t>
      </w:r>
      <w:r w:rsidRPr="00AC1B06">
        <w:rPr>
          <w:rFonts w:cs="Calibri"/>
        </w:rPr>
        <w:fldChar w:fldCharType="end"/>
      </w:r>
      <w:r w:rsidRPr="00AC1B06">
        <w:rPr>
          <w:rFonts w:cs="Calibri"/>
        </w:rPr>
        <w:t xml:space="preserve">. This has implications for SYFR when they are trying to conduct community prevention and resilience work, if there is a lack of trust for external agencies, they will face challenges breaking down those barriers, as discussed further in section 6.3.5. </w:t>
      </w:r>
    </w:p>
    <w:p w14:paraId="10C88A00" w14:textId="77777777" w:rsidR="00787F73" w:rsidRPr="00AC1B06" w:rsidRDefault="00787F73" w:rsidP="00866155">
      <w:pPr>
        <w:rPr>
          <w:rFonts w:cs="Calibri"/>
        </w:rPr>
      </w:pPr>
    </w:p>
    <w:p w14:paraId="7862DC84" w14:textId="77777777" w:rsidR="00787F73" w:rsidRPr="00AC1B06" w:rsidRDefault="00742FB7" w:rsidP="00866155">
      <w:pPr>
        <w:rPr>
          <w:rFonts w:cs="Calibri"/>
        </w:rPr>
      </w:pPr>
      <w:r w:rsidRPr="00AC1B06">
        <w:rPr>
          <w:rFonts w:cs="Calibri"/>
        </w:rPr>
        <w:t xml:space="preserve">The disaster literature notes that disasters are socially constructed and are the combination of a hazard and a vulnerable population, meaning they are often preventable </w:t>
      </w:r>
      <w:r w:rsidRPr="00AC1B06">
        <w:rPr>
          <w:rFonts w:cs="Calibri"/>
        </w:rPr>
        <w:fldChar w:fldCharType="begin" w:fldLock="1"/>
      </w:r>
      <w:r w:rsidR="00974B75" w:rsidRPr="00AC1B06">
        <w:rPr>
          <w:rFonts w:cs="Calibri"/>
        </w:rPr>
        <w:instrText>ADDIN CSL_CITATION {"citationItems":[{"id":"ITEM-1","itemData":{"ISBN":"9780333227794","author":[{"dropping-particle":"","family":"Puttick","given":"Steve","non-dropping-particle":"","parse-names":false,"suffix":""},{"dropping-particle":"","family":"Bosher","given":"Lee","non-dropping-particle":"","parse-names":false,"suffix":""},{"dropping-particle":"","family":"Chmutina","given":"Ksenia","non-dropping-particle":"","parse-names":false,"suffix":""}],"container-title":"Teaching Geography","id":"ITEM-1","issue":"3","issued":{"date-parts":[["2018"]]},"page":"118-120","title":"Disasters are not natural","type":"article-journal","volume":"43"},"uris":["http://www.mendeley.com/documents/?uuid=cf7ae520-57f1-41ac-88d5-86dff0153ff1"]},{"id":"ITEM-2","itemData":{"author":[{"dropping-particle":"","family":"Demeritt","given":"David","non-dropping-particle":"","parse-names":false,"suffix":""}],"container-title":"Progress in Human Geography","id":"ITEM-2","issue":"6","issued":{"date-parts":[["2002"]]},"page":"767-790","title":"What is the `social construction of nature? A typology and sympathetic critique","type":"article-journal","volume":"26"},"uris":["http://www.mendeley.com/documents/?uuid=426453fe-6225-4de7-a3c1-96891a7070ff"]},{"id":"ITEM-3","itemData":{"DOI":"10.3763/ehaz.1999.0105","ISSN":"18780059","abstract":"A disaster is widely perceived as an event that is beyond human control; the capricious hand of fate moves against unsuspecting communities creating massive destruction and prompting victims to call for divine support as well as earthly assistance. Surely these people would have acted differently had the risks been known and now they must depend on others for humanitarian aid with which to rebuild their shattered communities.","author":[{"dropping-particle":"","family":"Comfort","given":"L.","non-dropping-particle":"","parse-names":false,"suffix":""},{"dropping-particle":"","family":"Wisner","given":"B.","non-dropping-particle":"","parse-names":false,"suffix":""},{"dropping-particle":"","family":"Cutter","given":"S.","non-dropping-particle":"","parse-names":false,"suffix":""},{"dropping-particle":"","family":"Pulwarty","given":"R.","non-dropping-particle":"","parse-names":false,"suffix":""},{"dropping-particle":"","family":"Hewitt","given":"K.","non-dropping-particle":"","parse-names":false,"suffix":""},{"dropping-particle":"","family":"Oliver-Smith","given":"A.","non-dropping-particle":"","parse-names":false,"suffix":""},{"dropping-particle":"","family":"Wiener","given":"J.","non-dropping-particle":"","parse-names":false,"suffix":""},{"dropping-particle":"","family":"Fordham","given":"M.","non-dropping-particle":"","parse-names":false,"suffix":""},{"dropping-particle":"","family":"Peacock","given":"W.","non-dropping-particle":"","parse-names":false,"suffix":""},{"dropping-particle":"","family":"Krimgold","given":"F.","non-dropping-particle":"","parse-names":false,"suffix":""}],"container-title":"Global Environmental Change Part B: Environmental Hazards","id":"ITEM-3","issue":"1","issued":{"date-parts":[["1999"]]},"page":"39-44","title":"Reframing disaster policy: The global evolution of vulnerable communities","type":"article-journal","volume":"1"},"uris":["http://www.mendeley.com/documents/?uuid=ef487eba-33ca-47fb-8984-5d690fecc16e"]},{"id":"ITEM-4","itemData":{"DOI":"10.1108/09653560810887275","ISBN":"0471949930","ISSN":"0965-3562","PMID":"14616063","abstract":"The main concept by which the 'social causation' is explained is 'vulnerability', which is a measure of the degree and type of exposures to risks generated by different societies in relation to hazards. This approach can be termed as 'vulnerability analysis'.","author":[{"dropping-particle":"","family":"Cannon","given":"Terry","non-dropping-particle":"","parse-names":false,"suffix":""}],"chapter-number":"2","container-title":"Disasters, Development and Environment","editor":[{"dropping-particle":"","family":"Varley","given":"Ann","non-dropping-particle":"","parse-names":false,"suffix":""}],"id":"ITEM-4","issued":{"date-parts":[["1994"]]},"page":"13-30","publisher":"John Wiley &amp; Sons Ltd","title":"Vulnerability Analysis and the Explanation of 'Natural' Disasters","type":"chapter"},"uris":["http://www.mendeley.com/documents/?uuid=af2da17b-67b6-4ce1-96d0-11ea439137c5"]}],"mendeley":{"formattedCitation":"(Puttick, Bosher, &amp; Chmutina, 2018; Demeritt, 2002; Comfort et al., 1999; Cannon, 1994)","plainTextFormattedCitation":"(Puttick, Bosher, &amp; Chmutina, 2018; Demeritt, 2002; Comfort et al., 1999; Cannon, 1994)","previouslyFormattedCitation":"(Puttick, Bosher, &amp; Chmutina, 2018; Demeritt, 2002; Comfort et al., 1999; Cannon, 1994)"},"properties":{"noteIndex":0},"schema":"https://github.com/citation-style-language/schema/raw/master/csl-citation.json"}</w:instrText>
      </w:r>
      <w:r w:rsidRPr="00AC1B06">
        <w:rPr>
          <w:rFonts w:cs="Calibri"/>
        </w:rPr>
        <w:fldChar w:fldCharType="separate"/>
      </w:r>
      <w:r w:rsidRPr="00AC1B06">
        <w:rPr>
          <w:rFonts w:cs="Calibri"/>
          <w:noProof/>
        </w:rPr>
        <w:t>(Puttick, Bosher, &amp; Chmutina, 2018; Demeritt, 2002; Comfort et al., 1999; Cannon, 1994)</w:t>
      </w:r>
      <w:r w:rsidRPr="00AC1B06">
        <w:rPr>
          <w:rFonts w:cs="Calibri"/>
        </w:rPr>
        <w:fldChar w:fldCharType="end"/>
      </w:r>
      <w:r w:rsidRPr="00AC1B06">
        <w:rPr>
          <w:rFonts w:cs="Calibri"/>
        </w:rPr>
        <w:t xml:space="preserve">. To understand a community’s resilience to disasters, there needs to be an exploration of their vulnerability and the characteristics of the community which influence this vulnerability. The literature notes that this vulnerability is often linked to a community’s socio-economic conditions </w:t>
      </w:r>
      <w:r w:rsidRPr="00AC1B06">
        <w:rPr>
          <w:rFonts w:cs="Calibri"/>
        </w:rPr>
        <w:fldChar w:fldCharType="begin" w:fldLock="1"/>
      </w:r>
      <w:r w:rsidR="00974B75" w:rsidRPr="00AC1B06">
        <w:rPr>
          <w:rFonts w:cs="Calibri"/>
        </w:rPr>
        <w:instrText>ADDIN CSL_CITATION {"citationItems":[{"id":"ITEM-1","itemData":{"author":[{"dropping-particle":"","family":"Demeritt","given":"David","non-dropping-particle":"","parse-names":false,"suffix":""}],"container-title":"Progress in Human Geography","id":"ITEM-1","issue":"6","issued":{"date-parts":[["2002"]]},"page":"767-790","title":"What is the `social construction of nature? A typology and sympathetic critique","type":"article-journal","volume":"26"},"uris":["http://www.mendeley.com/documents/?uuid=426453fe-6225-4de7-a3c1-96891a7070ff"]},{"id":"ITEM-2","itemData":{"DOI":"10.1108/09653560810887275","ISBN":"0471949930","ISSN":"0965-3562","PMID":"14616063","abstract":"The main concept by which the 'social causation' is explained is 'vulnerability', which is a measure of the degree and type of exposures to risks generated by different societies in relation to hazards. This approach can be termed as 'vulnerability analysis'.","author":[{"dropping-particle":"","family":"Cannon","given":"Terry","non-dropping-particle":"","parse-names":false,"suffix":""}],"chapter-number":"2","container-title":"Disasters, Development and Environment","editor":[{"dropping-particle":"","family":"Varley","given":"Ann","non-dropping-particle":"","parse-names":false,"suffix":""}],"id":"ITEM-2","issued":{"date-parts":[["1994"]]},"page":"13-30","publisher":"John Wiley &amp; Sons Ltd","title":"Vulnerability Analysis and the Explanation of 'Natural' Disasters","type":"chapter"},"uris":["http://www.mendeley.com/documents/?uuid=af2da17b-67b6-4ce1-96d0-11ea439137c5"]},{"id":"ITEM-3","itemData":{"DOI":"10.3763/ehaz.1999.0105","ISSN":"18780059","abstract":"A disaster is widely perceived as an event that is beyond human control; the capricious hand of fate moves against unsuspecting communities creating massive destruction and prompting victims to call for divine support as well as earthly assistance. Surely these people would have acted differently had the risks been known and now they must depend on others for humanitarian aid with which to rebuild their shattered communities.","author":[{"dropping-particle":"","family":"Comfort","given":"L.","non-dropping-particle":"","parse-names":false,"suffix":""},{"dropping-particle":"","family":"Wisner","given":"B.","non-dropping-particle":"","parse-names":false,"suffix":""},{"dropping-particle":"","family":"Cutter","given":"S.","non-dropping-particle":"","parse-names":false,"suffix":""},{"dropping-particle":"","family":"Pulwarty","given":"R.","non-dropping-particle":"","parse-names":false,"suffix":""},{"dropping-particle":"","family":"Hewitt","given":"K.","non-dropping-particle":"","parse-names":false,"suffix":""},{"dropping-particle":"","family":"Oliver-Smith","given":"A.","non-dropping-particle":"","parse-names":false,"suffix":""},{"dropping-particle":"","family":"Wiener","given":"J.","non-dropping-particle":"","parse-names":false,"suffix":""},{"dropping-particle":"","family":"Fordham","given":"M.","non-dropping-particle":"","parse-names":false,"suffix":""},{"dropping-particle":"","family":"Peacock","given":"W.","non-dropping-particle":"","parse-names":false,"suffix":""},{"dropping-particle":"","family":"Krimgold","given":"F.","non-dropping-particle":"","parse-names":false,"suffix":""}],"container-title":"Global Environmental Change Part B: Environmental Hazards","id":"ITEM-3","issue":"1","issued":{"date-parts":[["1999"]]},"page":"39-44","title":"Reframing disaster policy: The global evolution of vulnerable communities","type":"article-journal","volume":"1"},"uris":["http://www.mendeley.com/documents/?uuid=ef487eba-33ca-47fb-8984-5d690fecc16e"]},{"id":"ITEM-4","itemData":{"DOI":"10.1016/j.scs.2021.103577","ISSN":"22106707","abstract":"The use of social media platforms such as Twitter significantly increases during natural hazards. With the emergence of several social media platforms over the past decade, many studies have investigated the applications of these platforms during calamities. This study presents a comprehensive spatiotemporal analysis of textual content from millions of tweets shared on Twitter during Hurricane Harvey (2017) across several affected counties in southeast Texas. We propose a new Hazard Risk Awareness (HRA) Index, which considers multiple factors, including the number of tweets, population, internet use rate, and natural hazard characteristics per geographic location. We then map the HRA Index across southeast Texas. Utilizing a dataset of 18 million tweets, we employ Natural Language Processing (NLP) along with a set of statistical techniques to perform analysis on the textual data generated by Twitter users during Hurricane Harvey. This enables us to subdivide the tweet contents into several categories per county that would inform crisis management during the event. In all, our study provides valuable information at the county level before, during, and after Harvey that could significantly help disaster managers and responders to minimize the consequences of the event and improve the preparedness of the residents for it. Since HRA is derived based on the meteorological observations and some demographic information, depending on the availability of such dataset and the nature of the hazard (i.e., flood, wildfire, hurricane, and earthquake), this index can be calculated and employed for assessing the risk awareness of a community exposed to either of these natural hazards.","author":[{"dropping-particle":"","family":"Karimiziarani","given":"Mohammadsepehr","non-dropping-particle":"","parse-names":false,"suffix":""},{"dropping-particle":"","family":"Jafarzadegan","given":"Keighobad","non-dropping-particle":"","parse-names":false,"suffix":""},{"dropping-particle":"","family":"Abbaszadeh","given":"Peyman","non-dropping-particle":"","parse-names":false,"suffix":""},{"dropping-particle":"","family":"Shao","given":"Wanyun","non-dropping-particle":"","parse-names":false,"suffix":""},{"dropping-particle":"","family":"Moradkhani","given":"Hamid","non-dropping-particle":"","parse-names":false,"suffix":""}],"container-title":"Sustainable Cities and Society","id":"ITEM-4","issued":{"date-parts":[["2022"]]},"page":"1 - 11","title":"Hazard risk awareness and disaster management: Extracting the information content of twitter data","type":"article-journal","volume":"77"},"uris":["http://www.mendeley.com/documents/?uuid=0ff52b10-5251-4279-bf6e-c55c0e18363a"]}],"mendeley":{"formattedCitation":"(Karimiziarani et al., 2022; Demeritt, 2002; Comfort et al., 1999; Cannon, 1994)","plainTextFormattedCitation":"(Karimiziarani et al., 2022; Demeritt, 2002; Comfort et al., 1999; Cannon, 1994)","previouslyFormattedCitation":"(Karimiziarani et al., 2022; Demeritt, 2002; Comfort et al., 1999; Cannon, 1994)"},"properties":{"noteIndex":0},"schema":"https://github.com/citation-style-language/schema/raw/master/csl-citation.json"}</w:instrText>
      </w:r>
      <w:r w:rsidRPr="00AC1B06">
        <w:rPr>
          <w:rFonts w:cs="Calibri"/>
        </w:rPr>
        <w:fldChar w:fldCharType="separate"/>
      </w:r>
      <w:r w:rsidRPr="00AC1B06">
        <w:rPr>
          <w:rFonts w:cs="Calibri"/>
          <w:noProof/>
        </w:rPr>
        <w:t>(Karimiziarani et al., 2022; Demeritt, 2002; Comfort et al., 1999; Cannon, 1994)</w:t>
      </w:r>
      <w:r w:rsidRPr="00AC1B06">
        <w:rPr>
          <w:rFonts w:cs="Calibri"/>
        </w:rPr>
        <w:fldChar w:fldCharType="end"/>
      </w:r>
      <w:r w:rsidRPr="00AC1B06">
        <w:rPr>
          <w:rFonts w:cs="Calibri"/>
        </w:rPr>
        <w:t>, and therefore the high-risk community could be viewed as a vulnerable community. This suggests that SYFR’s use of the MOSAIC data for their risk assessment can help to target communities who could be deemed vulnerable. It also highlights that their vulnerability and risk of disaster is not related to an environmental hazard (such as flooding or fire), but to a longer-term systemic disaster of poverty, which SYFR has no statutory obligation or resources to support. This also suggests that different disasters require different approaches.</w:t>
      </w:r>
    </w:p>
    <w:p w14:paraId="03B2AED7" w14:textId="77777777" w:rsidR="00787F73" w:rsidRDefault="00787F73" w:rsidP="00866155">
      <w:pPr>
        <w:rPr>
          <w:rFonts w:cs="Calibri"/>
        </w:rPr>
      </w:pPr>
    </w:p>
    <w:p w14:paraId="78EA1D62" w14:textId="77777777" w:rsidR="00787F73" w:rsidRDefault="00742FB7" w:rsidP="00866155">
      <w:pPr>
        <w:pStyle w:val="Heading3"/>
      </w:pPr>
      <w:bookmarkStart w:id="1056" w:name="_Toc158371026"/>
      <w:bookmarkStart w:id="1057" w:name="_Toc158371092"/>
      <w:bookmarkStart w:id="1058" w:name="_Toc153205133"/>
      <w:bookmarkStart w:id="1059" w:name="_Toc193367262"/>
      <w:r>
        <w:t>6.3.4: Importance of disaster and risk context</w:t>
      </w:r>
      <w:bookmarkEnd w:id="1056"/>
      <w:bookmarkEnd w:id="1057"/>
      <w:bookmarkEnd w:id="1058"/>
      <w:bookmarkEnd w:id="1059"/>
    </w:p>
    <w:p w14:paraId="48762A0B" w14:textId="77777777" w:rsidR="00787F73" w:rsidRDefault="00742FB7" w:rsidP="00866155">
      <w:pPr>
        <w:pStyle w:val="NormalWeb"/>
        <w:spacing w:before="240" w:after="240" w:line="360" w:lineRule="auto"/>
        <w:rPr>
          <w:rFonts w:ascii="Calibri" w:hAnsi="Calibri" w:cs="Calibri"/>
          <w:color w:val="000000"/>
        </w:rPr>
      </w:pPr>
      <w:r w:rsidRPr="00AC1B06">
        <w:rPr>
          <w:rFonts w:ascii="Calibri" w:hAnsi="Calibri" w:cs="Calibri"/>
          <w:color w:val="000000"/>
        </w:rPr>
        <w:t xml:space="preserve">The community’s capacity and wider contextual information are important to understand the vulnerability of the community, but to create a disaster there needs to be a hazard. As discussed in chapters 4 and 5, SYFR only have a statutory obligation to communicate surrounding fire risk and prevention although their role requires communication and operations on various other types of incidents, such as flooding and pandemics (which is a key finding for this thesis). Therefore, contextual information for each location and specifically the hazards and risks they experience are important. In both cases, neither community discussed the risks of fire or the threat of fire as a disaster, even though I introduced myself as working in partnership with SYFR. When I asked them about disasters, </w:t>
      </w:r>
      <w:r w:rsidRPr="00AC1B06">
        <w:rPr>
          <w:rFonts w:ascii="Calibri" w:hAnsi="Calibri" w:cs="Calibri"/>
          <w:color w:val="000000"/>
        </w:rPr>
        <w:lastRenderedPageBreak/>
        <w:t xml:space="preserve">the LR group mentioned flooding and COVID-19, and the HR group discussed poverty and anti-social behaviour. </w:t>
      </w:r>
    </w:p>
    <w:p w14:paraId="797F0803" w14:textId="77777777" w:rsidR="004F6AAA" w:rsidRPr="00AC1B06" w:rsidRDefault="004F6AAA" w:rsidP="00A0151B">
      <w:pPr>
        <w:pStyle w:val="NormalWeb"/>
        <w:spacing w:before="0" w:after="0" w:line="360" w:lineRule="auto"/>
        <w:rPr>
          <w:rFonts w:ascii="Calibri" w:hAnsi="Calibri" w:cs="Calibri"/>
        </w:rPr>
      </w:pPr>
    </w:p>
    <w:p w14:paraId="7837C222" w14:textId="77777777" w:rsidR="00787F73" w:rsidRDefault="00742FB7" w:rsidP="00A0151B">
      <w:pPr>
        <w:pStyle w:val="NormalWeb"/>
        <w:spacing w:before="0" w:after="0" w:line="360" w:lineRule="auto"/>
        <w:rPr>
          <w:rFonts w:ascii="Calibri" w:hAnsi="Calibri" w:cs="Calibri"/>
          <w:color w:val="000000"/>
        </w:rPr>
      </w:pPr>
      <w:r w:rsidRPr="00AC1B06">
        <w:rPr>
          <w:rFonts w:ascii="Calibri" w:hAnsi="Calibri" w:cs="Calibri"/>
          <w:color w:val="000000"/>
        </w:rPr>
        <w:t>Both community groups focused on the largest disasters that they had experienced and the one which had the greatest communal threat to their community. Individuals and communities may only have so much cognitive ability to focus on threats that they focus on the most immediate threat via their threat appraisal, and for the participants within this project it appeared to either be from flooding, poverty, or COVID-19 rather than from fire. This creates a challenge for SYFR, who focus on fires, suggesting conflicting logics between SYFR and their state logics, and the community.</w:t>
      </w:r>
    </w:p>
    <w:p w14:paraId="0F9FBAA3" w14:textId="77777777" w:rsidR="004F6AAA" w:rsidRPr="00AC1B06" w:rsidRDefault="004F6AAA" w:rsidP="00A0151B">
      <w:pPr>
        <w:pStyle w:val="NormalWeb"/>
        <w:spacing w:before="0" w:after="0" w:line="360" w:lineRule="auto"/>
        <w:rPr>
          <w:rFonts w:ascii="Calibri" w:hAnsi="Calibri" w:cs="Calibri"/>
        </w:rPr>
      </w:pPr>
    </w:p>
    <w:p w14:paraId="0E1F7FE6" w14:textId="77777777" w:rsidR="00787F73" w:rsidRDefault="00742FB7" w:rsidP="00A0151B">
      <w:pPr>
        <w:pStyle w:val="NormalWeb"/>
        <w:spacing w:before="0" w:after="0" w:line="360" w:lineRule="auto"/>
        <w:rPr>
          <w:rFonts w:ascii="Calibri" w:hAnsi="Calibri" w:cs="Calibri"/>
          <w:color w:val="000000"/>
        </w:rPr>
      </w:pPr>
      <w:r w:rsidRPr="00AC1B06">
        <w:rPr>
          <w:rFonts w:ascii="Calibri" w:hAnsi="Calibri" w:cs="Calibri"/>
          <w:color w:val="000000"/>
        </w:rPr>
        <w:t xml:space="preserve">The literature on risk communication conveys the importance of two-way communication between agencies and communities, to develop a shared understanding of risk, and for agencies to listen and gather information from citizens to understand the potential barriers there are to developing threat appraisal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{"citationItems":[{"id":"ITEM-1","itemData":{"DOI":"10.1016/j.ijdrr.2016.11.014","ISSN":"22124209","abstract":"The use of social media applications by citizens, public authorities, and humanitarian organisations generates vast quantities of data. Research predominantly focuses on the use of social media and associated analysis tools during the short-term response phase of a disaster. As such, the use of social media analysis tools to harness social media data for preparedness purposes is currently unclear. This research uses a combination of semi-structured interviews with 20 Red Cross Red Crescent and humanitarian actors, an online survey, two workshops and desk-based research to examine the opportunities and barriers faced by humanitarian actors in using social media analysis tools to analyse social media data for disaster preparedness. Whilst social media analysis tools provide humanitarian actors with an opportunity to understand the effectiveness of their preparedness communication on social media, to monitor risks and disasters, and to build community preparedness networks, this study identified a limited use of social media analysis tools by research participants. This (non) use of social media analysis tools was influenced by the interaction between seven categories of barriers relating to the user of the tool or the tool itself: language, culture, value, financial, human resources, technology, and data. In discussing these barriers, the authors highlight the key role that context plays in determining the significance of each barrier on the selection and use of social media analysis tools for preparedness.","author":[{"dropping-particle":"","family":"Anson","given":"Susan","non-dropping-particle":"","parse-names":false,"suffix":""},{"dropping-particle":"","family":"Watson","given":"Hayley","non-dropping-particle":"","parse-names":false,"suffix":""},{"dropping-particle":"","family":"Wadhwa","given":"Kush","non-dropping-particle":"","parse-names":false,"suffix":""},{"dropping-particle":"","family":"Metz","given":"Karin","non-dropping-particle":"","parse-names":false,"suffix":""}],"container-title":"International Journal of Disaster Risk Reduction","id":"ITEM-1","issued":{"date-parts":[["2017"]]},"page":"131-139","publisher":"Elsevier Ltd","title":"Analysing social media data for disaster preparedness: Understanding the opportunities and barriers faced by humanitarian actors","type":"article-journal","volume":"21"},"uris":["http://www.mendeley.com/documents/?uuid=7c91a9ee-7c4a-421b-a2c6-6d5e6dd6dd52"]},{"id":"ITEM-2","itemData":{"DOI":"10.2202/1944-2866.1130","author":[{"dropping-particle":"","family":"Crump","given":"Jeremy","non-dropping-particle":"","parse-names":false,"suffix":""}],"container-title":"Policy and Internet","id":"ITEM-2","issue":"4","issued":{"date-parts":[["2011"]]},"page":"1 - 29","title":"What Are the Police Doing on Twitter? Social Media, the Police and the Public","type":"article-journal","volume":"3"},"uris":["http://www.mendeley.com/documents/?uuid=93b9b90c-c4cb-49b6-8cb2-534bbcb93a38"]},{"id":"ITEM-3","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Hazards","id":"ITEM-3","issued":{"date-parts":[["2018"]]},"page":"1665-1686","publisher":"Springer Netherlands","title":"Rethinking flood risk communication","type":"article-journal","volume":"92"},"uris":["http://www.mendeley.com/documents/?uuid=a75b9d7a-46e6-41f1-a446-75375a9342c5"]},{"id":"ITEM-4","itemData":{"DOI":"10.1080/13669877.2014.961517","ISSN":"1366-9877","author":[{"dropping-particle":"","family":"Regan","given":"Áine","non-dropping-particle":"","parse-names":false,"suffix":""},{"dropping-particle":"","family":"Raats","given":"Monique","non-dropping-particle":"","parse-names":false,"suffix":""},{"dropping-particle":"","family":"Shan","given":"Liran Christine","non-dropping-particle":"","parse-names":false,"suffix":""},{"dropping-particle":"","family":"Wall","given":"Patrick G","non-dropping-particle":"","parse-names":false,"suffix":""},{"dropping-particle":"","family":"McConnon","given":"Aine","non-dropping-particle":"","parse-names":false,"suffix":""}],"container-title":"Journal of Risk Research","id":"ITEM-4","issue":"1","issued":{"date-parts":[["2016"]]},"page":"119-132","publisher":"Routledge","title":"Risk communication and social media during food safety crises : a study of stakeholders ’ opinions in Ireland","type":"article-journal","volume":"19"},"uris":["http://www.mendeley.com/documents/?uuid=93b71440-a063-4fcd-a9e7-146cc5654f5e"]},{"id":"ITEM-5","itemData":{"DOI":"10.1080/17538947.2018.1480670","ISSN":"17538955","abstract":"Although Twitter is used for emergency management activities, the relevance of tweets during a hazard event is still open to debate. In this study, six different computational (i.e. Natural Language Processing) and spatiotemporal analytical approaches were implemented to assess the relevance of risk information extracted from tweets obtained during the 2013 Colorado flood event. Primarily, tweets containing information about the flooding events and its impacts were analysed. Examination of the relationships between tweet volume and its content with precipitation amount, damage extent, and official reports revealed that relevant tweets provided information about the event and its impacts rather than any other risk information that public expects to receive via alert messages. However, only 14% of the geo-tagged tweets and only 0.06% of the total fire hose tweets were found to be relevant to the event. By providing insight into the quality of social media data and its usefulness to emergency management activities, this study contributes to the literature on quality of big data. Future research in this area would focus on assessing the reliability of relevant tweets for disaster related situational awareness.","author":[{"dropping-particle":"","family":"Liu","given":"Xiaohui","non-dropping-particle":"","parse-names":false,"suffix":""},{"dropping-particle":"","family":"Kar","given":"Bandana","non-dropping-particle":"","parse-names":false,"suffix":""},{"dropping-particle":"","family":"Zhang","given":"Chaoyang","non-dropping-particle":"","parse-names":false,"suffix":""},{"dropping-particle":"","family":"Cochran","given":"David M.","non-dropping-particle":"","parse-names":false,"suffix":""}],"container-title":"International Journal of Digital Earth","id":"ITEM-5","issue":"7","issued":{"date-parts":[["2019"]]},"page":"781-801","publisher":"Taylor &amp; Francis","title":"Assessing relevance of tweets for risk communication","type":"article-journal","volume":"12"},"uris":["http://www.mendeley.com/documents/?uuid=a1aeac85-39ce-43ac-8e69-76cb0fe26dfc"]},{"id":"ITEM-6","itemData":{"DOI":"10.1016/j.ijdrr.2022.102903","ISSN":"22124209","abstract":"In today's information age, both excess and lack of information can cause a disaster. COVID-19 pandemic not only highlighted the significance of risk communication but also pointed out several unintended and distressing consequences due to information gaps and miscommunications. Despite facing a common threat, the local communities suffered differential impacts during the pandemic. This paper classifies the nature of risk communications experienced across different countries into three categories, namely: inadequate, ideal, and infodemic risk communication that influenced the local perceptions and responses. It further argues that inadequately planned risk communications tend to create new risks and compromise the efforts towards managing a disaster. As global risks are responded locally, there is a need for more inclusive and engaging risk communication that involves communities as responsible stakeholders who understand, plan, and respond to risks to increase their propensity for resilience during disasters and crisis situations.","author":[{"dropping-particle":"","family":"Khan","given":"Shabana","non-dropping-particle":"","parse-names":false,"suffix":""},{"dropping-particle":"","family":"Mishra","given":"Jyoti","non-dropping-particle":"","parse-names":false,"suffix":""},{"dropping-particle":"","family":"Ahmed","given":"Nova","non-dropping-particle":"","parse-names":false,"suffix":""},{"dropping-particle":"","family":"Onyige","given":"Chioma Daisy","non-dropping-particle":"","parse-names":false,"suffix":""},{"dropping-particle":"","family":"Lin","given":"Kuanhui Elaine","non-dropping-particle":"","parse-names":false,"suffix":""},{"dropping-particle":"","family":"Siew","given":"Renard","non-dropping-particle":"","parse-names":false,"suffix":""},{"dropping-particle":"","family":"Lim","given":"Boon Han","non-dropping-particle":"","parse-names":false,"suffix":""}],"container-title":"International Journal of Disaster Risk Reduction","id":"ITEM-6","issued":{"date-parts":[["2022"]]},"page":"1-13","title":"Risk communication and community engagement during COVID-19","type":"article-journal","volume":"74"},"uris":["http://www.mendeley.com/documents/?uuid=849f61bc-f758-47e1-97be-298ae2c6fa66"]},{"id":"ITEM-7","itemData":{"DOI":"10.1016/j.ijdrr.2022.103084","ISSN":"22124209","abstract":"We present a scoping review of methods used to elicit individuals' mental models of science or risk. Developing a shared understanding of the science related to risk is crucial for diverse individuals to collaboratively manage disaster consequences. Mental models, or people's psychological representation of how the ‘world works’, present a valuable tool to achieve this. Potential applications range from developing effective risk communication for use in short-warning situations to community co-development of future communication protocols for the co-management of risk. A diverse range of tools, in diverse fields, have thus been developed to elicit these mental models. Forty-four articles were selected via inclusion criteria from 561 found through a systematic search. We identified a wide range of direct and indirect elicitation techniques (concept, cognitive, flow, information world, knowledge, mind, and fuzzy cognitive maps, and decision influence diagrams) and interview-based techniques. Many used multiple elicitation techniques such as free-drawing, interviews, free-listing, sorting tasks, attitudinal surveys, photograph elicitation, metaphor analysis, and mapping software. We identify several challenges when designing elicitation methods, including researcher influence, the importance of external visualization, a lack of evaluation, the role of ‘experts’, and ethical considerations due to the influence of the process itself. We present a preliminary typology for elicitation and analysis and suggest future research should explore methods to assess the evolution of mental models to understand how conceptualisations change through time, experience, or public education programs. These lessons have the potential to benefit both science and disaster risk communication activities, given best practice calls for mutually constructed understanding.","author":[{"dropping-particle":"","family":"Doyle","given":"Emma E.H.","non-dropping-particle":"","parse-names":false,"suffix":""},{"dropping-particle":"","family":"Harrison","given":"Sara E.","non-dropping-particle":"","parse-names":false,"suffix":""},{"dropping-particle":"","family":"Hill","given":"Stephen R.","non-dropping-particle":"","parse-names":false,"suffix":""},{"dropping-particle":"","family":"Williams","given":"Matt","non-dropping-particle":"","parse-names":false,"suffix":""},{"dropping-particle":"","family":"Paton","given":"Douglas","non-dropping-particle":"","parse-names":false,"suffix":""},{"dropping-particle":"","family":"Bostrom","given":"Ann","non-dropping-particle":"","parse-names":false,"suffix":""}],"container-title":"International Journal of Disaster Risk Reduction","id":"ITEM-7","issued":{"date-parts":[["2022"]]},"page":"1 - 23","title":"Eliciting mental models of science and risk for disaster communication: A scoping review of methodologies","type":"article-journal","volume":"77"},"uris":["http://www.mendeley.com/documents/?uuid=d3565a89-f230-4d7e-8038-01121e626bb2"]}],"mendeley":{"formattedCitation":"(Doyle et al., 2022; Khan et al., 2022; Liu et al., 2019; Rollason et al., 2018; Anson et al., 2017; Regan et al., 2016; Crump, 2011)","plainTextFormattedCitation":"(Doyle et al., 2022; Khan et al., 2022; Liu et al., 2019; Rollason et al., 2018; Anson et al., 2017; Regan et al., 2016; Crump, 2011)","previouslyFormattedCitation":"(Doyle et al., 2022; Khan et al., 2022; Liu et al., 2019; Rollason et al., 2018; Anson et al., 2017; Regan et al., 2016; Crump, 2011)"},"properties":{"noteIndex":0},"schema":"https://github.com/citation-style-language/schema/raw/master/csl-citation.json"}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rPr>
        <w:t>(Doyle et al., 2022; Khan et al., 2022; Liu et al., 2019; Rollason et al., 2018; Anson et al., 2017; Regan et al., 2016; Crump, 2011)</w:t>
      </w:r>
      <w:r w:rsidRPr="00AC1B06">
        <w:rPr>
          <w:rFonts w:ascii="Calibri" w:hAnsi="Calibri" w:cs="Calibri"/>
          <w:color w:val="000000"/>
        </w:rPr>
        <w:fldChar w:fldCharType="end"/>
      </w:r>
      <w:r w:rsidRPr="00AC1B06">
        <w:rPr>
          <w:rFonts w:ascii="Calibri" w:hAnsi="Calibri" w:cs="Calibri"/>
          <w:color w:val="000000"/>
        </w:rPr>
        <w:t>. However, as discussed in RQ1 and RQ2, there are limited resources to undertake this kind of work in person, due to the cost required to conduct this level of community engagement. Therefore, there need to be a focus on traditional and social media and how to create the engagement which will enable SYFR to better understand the community’s risk perception. However, as examined at the beginning of this section</w:t>
      </w:r>
      <w:r w:rsidR="00122C6A">
        <w:rPr>
          <w:rFonts w:ascii="Calibri" w:hAnsi="Calibri" w:cs="Calibri"/>
          <w:color w:val="000000"/>
        </w:rPr>
        <w:t>,</w:t>
      </w:r>
      <w:r w:rsidRPr="00AC1B06">
        <w:rPr>
          <w:rFonts w:ascii="Calibri" w:hAnsi="Calibri" w:cs="Calibri"/>
          <w:color w:val="000000"/>
        </w:rPr>
        <w:t xml:space="preserve"> before this happens there needs to be an appraisal of their social media following. </w:t>
      </w:r>
    </w:p>
    <w:p w14:paraId="3B558B35" w14:textId="77777777" w:rsidR="004F6AAA" w:rsidRPr="00AC1B06" w:rsidRDefault="004F6AAA" w:rsidP="00866155">
      <w:pPr>
        <w:pStyle w:val="NormalWeb"/>
        <w:spacing w:before="240" w:after="240" w:line="360" w:lineRule="auto"/>
        <w:rPr>
          <w:rFonts w:ascii="Calibri" w:hAnsi="Calibri" w:cs="Calibri"/>
        </w:rPr>
      </w:pPr>
    </w:p>
    <w:p w14:paraId="697A639C" w14:textId="77777777" w:rsidR="00787F73" w:rsidRDefault="00742FB7" w:rsidP="00866155">
      <w:pPr>
        <w:pStyle w:val="Heading4"/>
        <w:spacing w:line="360" w:lineRule="auto"/>
      </w:pPr>
      <w:bookmarkStart w:id="1060" w:name="_Toc153205134"/>
      <w:bookmarkStart w:id="1061" w:name="_Toc158371027"/>
      <w:r>
        <w:t>Timings of the disaster</w:t>
      </w:r>
      <w:bookmarkEnd w:id="1060"/>
      <w:r>
        <w:t xml:space="preserve"> and building resilience</w:t>
      </w:r>
      <w:bookmarkEnd w:id="1061"/>
    </w:p>
    <w:p w14:paraId="174C3556" w14:textId="77777777" w:rsidR="00787F73" w:rsidRDefault="00742FB7" w:rsidP="00A0151B">
      <w:pPr>
        <w:pStyle w:val="NormalWeb"/>
        <w:spacing w:before="0" w:after="0" w:line="360" w:lineRule="auto"/>
        <w:rPr>
          <w:rFonts w:ascii="Calibri" w:hAnsi="Calibri" w:cs="Calibri"/>
          <w:color w:val="000000"/>
        </w:rPr>
      </w:pPr>
      <w:r w:rsidRPr="00AC1B06">
        <w:rPr>
          <w:rFonts w:ascii="Calibri" w:hAnsi="Calibri" w:cs="Calibri"/>
          <w:color w:val="000000"/>
        </w:rPr>
        <w:t xml:space="preserve">This project focuses on developing community resilience, which can be done proactively or reactively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(Carmen et al., 2022)</w:t>
      </w:r>
      <w:r w:rsidRPr="00AC1B06">
        <w:rPr>
          <w:rFonts w:ascii="Calibri" w:hAnsi="Calibri" w:cs="Calibri"/>
          <w:color w:val="000000"/>
        </w:rPr>
        <w:fldChar w:fldCharType="end"/>
      </w:r>
      <w:r w:rsidRPr="00AC1B06">
        <w:rPr>
          <w:rFonts w:ascii="Calibri" w:hAnsi="Calibri" w:cs="Calibri"/>
          <w:color w:val="000000"/>
        </w:rPr>
        <w:t xml:space="preserve"> with reactive resilience referring to behaviours and actions which aim to cope with an immediate and present risk, and proactive resilience referring to behaviours and actions which aim to use experimentation, reflection, and learning to understand potential new risks and threats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(Carmen et al., 2022)</w:t>
      </w:r>
      <w:r w:rsidRPr="00AC1B06">
        <w:rPr>
          <w:rFonts w:ascii="Calibri" w:hAnsi="Calibri" w:cs="Calibri"/>
          <w:color w:val="000000"/>
        </w:rPr>
        <w:fldChar w:fldCharType="end"/>
      </w:r>
      <w:r w:rsidRPr="00AC1B06">
        <w:rPr>
          <w:rFonts w:ascii="Calibri" w:hAnsi="Calibri" w:cs="Calibri"/>
          <w:color w:val="000000"/>
        </w:rPr>
        <w:t xml:space="preserve">. The communities in this research had already experienced a disaster (flooding, poverty, and COVID-19), which meant </w:t>
      </w:r>
      <w:r w:rsidRPr="00AC1B06">
        <w:rPr>
          <w:rFonts w:ascii="Calibri" w:hAnsi="Calibri" w:cs="Calibri"/>
          <w:color w:val="000000"/>
        </w:rPr>
        <w:lastRenderedPageBreak/>
        <w:t xml:space="preserve">that they were working towards reactive resilience and trying to prevent incidents happening again. Within the risk communication literature, it is noted that timing is an important factor, ensuring that communities are warned with enough time to act, and therefore it is important to understand how communities react to their threat appraisal being activated so that they can better support individuals with their coping appraisals.  </w:t>
      </w:r>
    </w:p>
    <w:p w14:paraId="208F79DF" w14:textId="77777777" w:rsidR="004F6AAA" w:rsidRPr="00AC1B06" w:rsidRDefault="004F6AAA" w:rsidP="00A0151B">
      <w:pPr>
        <w:pStyle w:val="NormalWeb"/>
        <w:spacing w:before="0" w:after="0" w:line="360" w:lineRule="auto"/>
        <w:rPr>
          <w:rFonts w:ascii="Calibri" w:hAnsi="Calibri" w:cs="Calibri"/>
        </w:rPr>
      </w:pPr>
    </w:p>
    <w:p w14:paraId="61A6D9AA" w14:textId="26A6E75F" w:rsidR="00787F73" w:rsidRDefault="00742FB7" w:rsidP="00A0151B">
      <w:pPr>
        <w:pStyle w:val="NormalWeb"/>
        <w:spacing w:before="0" w:after="0" w:line="360" w:lineRule="auto"/>
        <w:rPr>
          <w:rFonts w:ascii="Calibri" w:hAnsi="Calibri" w:cs="Calibri"/>
          <w:color w:val="000000"/>
        </w:rPr>
      </w:pPr>
      <w:r w:rsidRPr="00AC1B06">
        <w:rPr>
          <w:rFonts w:ascii="Calibri" w:hAnsi="Calibri" w:cs="Calibri"/>
          <w:color w:val="000000"/>
        </w:rPr>
        <w:t>After the flooding had occurred in the LR community, there appeared to be a building of community resilience with members of the community seeking out training and education around flooding</w:t>
      </w:r>
      <w:r w:rsidR="00CF5D0F">
        <w:rPr>
          <w:rFonts w:ascii="Calibri" w:hAnsi="Calibri" w:cs="Calibri"/>
          <w:color w:val="000000"/>
        </w:rPr>
        <w:t>.</w:t>
      </w:r>
      <w:r w:rsidRPr="00AC1B06">
        <w:rPr>
          <w:rFonts w:ascii="Calibri" w:hAnsi="Calibri" w:cs="Calibri"/>
          <w:color w:val="000000"/>
        </w:rPr>
        <w:t xml:space="preserve"> </w:t>
      </w:r>
      <w:r w:rsidR="00CF5D0F">
        <w:rPr>
          <w:rFonts w:ascii="Calibri" w:hAnsi="Calibri" w:cs="Calibri"/>
          <w:color w:val="000000"/>
        </w:rPr>
        <w:t>This</w:t>
      </w:r>
      <w:r w:rsidRPr="00AC1B06">
        <w:rPr>
          <w:rFonts w:ascii="Calibri" w:hAnsi="Calibri" w:cs="Calibri"/>
          <w:color w:val="000000"/>
        </w:rPr>
        <w:t xml:space="preserve"> is viewed as one of the main elements required for developing community resilience (Patel et al., 2017). This was seen with more people volunteering to be flood wardens, increasing the numbers from 5 to 26 with a wider range of ages (the previous flood warden team were all retired), showing that the community were aware of the important work the flood wardens were doing and wanted to be involved. In the interview, the participants explained that this dramatic increase meant people started asking how they could engage with other community members and sign up to be wardens:</w:t>
      </w:r>
    </w:p>
    <w:p w14:paraId="1622E094" w14:textId="77777777" w:rsidR="004F6AAA" w:rsidRPr="00AC1B06" w:rsidRDefault="004F6AAA" w:rsidP="00A0151B">
      <w:pPr>
        <w:pStyle w:val="NormalWeb"/>
        <w:spacing w:before="0" w:after="0" w:line="360" w:lineRule="auto"/>
        <w:rPr>
          <w:rFonts w:ascii="Calibri" w:hAnsi="Calibri" w:cs="Calibri"/>
        </w:rPr>
      </w:pPr>
    </w:p>
    <w:p w14:paraId="58F93C27" w14:textId="77777777" w:rsidR="00787F73" w:rsidRDefault="00742FB7" w:rsidP="00A0151B">
      <w:pPr>
        <w:pStyle w:val="NormalWeb"/>
        <w:spacing w:before="0" w:after="0" w:line="360" w:lineRule="auto"/>
        <w:ind w:left="720" w:right="663"/>
        <w:rPr>
          <w:rFonts w:ascii="Calibri" w:hAnsi="Calibri" w:cs="Calibri"/>
          <w:color w:val="000000"/>
        </w:rPr>
      </w:pPr>
      <w:r w:rsidRPr="00AC1B06">
        <w:rPr>
          <w:rStyle w:val="QuoteChar"/>
          <w:rFonts w:cs="Calibri"/>
        </w:rPr>
        <w:t>“My strange tongue-in-cheek reply was, by being flooded, it pulled people together.”</w:t>
      </w:r>
      <w:r w:rsidRPr="00AC1B06">
        <w:rPr>
          <w:rFonts w:ascii="Calibri" w:hAnsi="Calibri" w:cs="Calibri"/>
          <w:color w:val="000000"/>
        </w:rPr>
        <w:t xml:space="preserve"> (LR interview)</w:t>
      </w:r>
    </w:p>
    <w:p w14:paraId="23E788C4" w14:textId="77777777" w:rsidR="004F6AAA" w:rsidRPr="00AC1B06" w:rsidRDefault="004F6AAA" w:rsidP="00A0151B">
      <w:pPr>
        <w:pStyle w:val="NormalWeb"/>
        <w:spacing w:before="0" w:after="0" w:line="360" w:lineRule="auto"/>
        <w:ind w:left="720" w:right="663"/>
        <w:rPr>
          <w:rFonts w:ascii="Calibri" w:hAnsi="Calibri" w:cs="Calibri"/>
        </w:rPr>
      </w:pPr>
    </w:p>
    <w:p w14:paraId="6C85857F" w14:textId="61AF43AE" w:rsidR="00787F73" w:rsidRDefault="00742FB7" w:rsidP="004F6AAA">
      <w:pPr>
        <w:pStyle w:val="NormalWeb"/>
        <w:spacing w:before="0" w:after="0" w:line="360" w:lineRule="auto"/>
        <w:rPr>
          <w:rFonts w:ascii="Calibri" w:hAnsi="Calibri" w:cs="Calibri"/>
          <w:color w:val="000000"/>
        </w:rPr>
      </w:pPr>
      <w:r w:rsidRPr="00AC1B06">
        <w:rPr>
          <w:rFonts w:ascii="Calibri" w:hAnsi="Calibri" w:cs="Calibri"/>
          <w:color w:val="000000"/>
        </w:rPr>
        <w:t xml:space="preserve">This shows the sudden drive to increase resilience in the aftermath of a disaster, which is viewed as a crucial time to develop responsive resilience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{"citationItems":[{"id":"ITEM-1","itemData":{"DOI":"10.1080/23789689.2020.1722546","ISSN":"23789697","abstract":"Floods can be devastating to communities and result in fatalities and injuries, negatively impacting the economy, and quality of life. This paper presents a review of community resilience research with a focus on flood hazard including recent advances in flood risk quantification methods and trends to integrate socio-economic factors. The focus of this review was placed on flood risk components including hazard, exposure, and vulnerability to move the current research from deterministic to probabilistic approaches in order to propagate uncertainties through flood modeling, damage, loss, and recovery. Both short-term and long-term impacts of different flood resilience measures are included. The largest gap identified in flood risk research was the need for a standardized quantitative assessment tool or framework that could measure the impact of approaches to improve resilience at the community level. That tool should include the interactions between the different community systems (physical infrastructure, economic systems, and social systems).","author":[{"dropping-particle":"","family":"Nofal","given":"Omar M.","non-dropping-particle":"","parse-names":false,"suffix":""},{"dropping-particle":"","family":"Lindt","given":"John W.","non-dropping-particle":"van de","parse-names":false,"suffix":""}],"container-title":"Sustainable and Resilient Infrastructure","id":"ITEM-1","issue":"3","issued":{"date-parts":[["2022"]]},"page":"171-187","title":"Understanding flood risk in the context of community resilience modeling for the built environment: research needs and trends","type":"article-journal","volume":"7"},"uris":["http://www.mendeley.com/documents/?uuid=6738e6e3-5c34-45fa-8d91-c43de1d0a89c"]}],"mendeley":{"formattedCitation":"(Nofal &amp; van de Lindt, 2022)","plainTextFormattedCitation":"(Nofal &amp; van de Lindt, 2022)","previouslyFormattedCitation":"(Nofal &amp; van de Lindt, 2022)"},"properties":{"noteIndex":0},"schema":"https://github.com/citation-style-language/schema/raw/master/csl-citation.json"}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(Nofal &amp; van de Lindt, 2022)</w:t>
      </w:r>
      <w:r w:rsidRPr="00AC1B06">
        <w:rPr>
          <w:rFonts w:ascii="Calibri" w:hAnsi="Calibri" w:cs="Calibri"/>
          <w:color w:val="000000"/>
        </w:rPr>
        <w:fldChar w:fldCharType="end"/>
      </w:r>
      <w:r w:rsidRPr="00AC1B06">
        <w:rPr>
          <w:rFonts w:ascii="Calibri" w:hAnsi="Calibri" w:cs="Calibri"/>
          <w:color w:val="000000"/>
        </w:rPr>
        <w:t xml:space="preserve">. This highlights the cyclical nature of the </w:t>
      </w:r>
      <w:r w:rsidR="0038275C" w:rsidRPr="0038275C">
        <w:rPr>
          <w:rFonts w:ascii="Calibri" w:hAnsi="Calibri" w:cs="Calibri"/>
          <w:color w:val="000000"/>
        </w:rPr>
        <w:t xml:space="preserve">Disaster Management Cycle </w:t>
      </w:r>
      <w:r w:rsidRPr="00AC1B06">
        <w:rPr>
          <w:rFonts w:ascii="Calibri" w:hAnsi="Calibri" w:cs="Calibri"/>
          <w:color w:val="000000"/>
        </w:rPr>
        <w:t xml:space="preserve">and the importance of not only aiming to mitigate and prevent disaster events from occurring, but also to learn from events which were not expected, as explored in the double loop </w:t>
      </w:r>
      <w:r w:rsidR="0038275C" w:rsidRPr="0038275C">
        <w:rPr>
          <w:rFonts w:ascii="Calibri" w:hAnsi="Calibri" w:cs="Calibri"/>
          <w:color w:val="000000"/>
        </w:rPr>
        <w:t xml:space="preserve">Disaster Management Cycle </w:t>
      </w:r>
      <w:r w:rsidRPr="00AC1B06">
        <w:rPr>
          <w:rFonts w:ascii="Calibri" w:hAnsi="Calibri" w:cs="Calibri"/>
          <w:color w:val="000000"/>
        </w:rPr>
        <w:t xml:space="preserve">(O’Brien et al., 2010). </w:t>
      </w:r>
    </w:p>
    <w:p w14:paraId="28CEE4C9" w14:textId="77777777" w:rsidR="004F6AAA" w:rsidRPr="00AC1B06" w:rsidRDefault="004F6AAA" w:rsidP="00A0151B">
      <w:pPr>
        <w:pStyle w:val="NormalWeb"/>
        <w:spacing w:before="0" w:after="0" w:line="360" w:lineRule="auto"/>
        <w:rPr>
          <w:rFonts w:ascii="Calibri" w:hAnsi="Calibri" w:cs="Calibri"/>
        </w:rPr>
      </w:pPr>
    </w:p>
    <w:p w14:paraId="595F5777" w14:textId="73705DD4" w:rsidR="00787F73" w:rsidRDefault="00C84401" w:rsidP="00866155">
      <w:pPr>
        <w:pStyle w:val="NormalWeb"/>
        <w:spacing w:before="240" w:after="240" w:line="360" w:lineRule="auto"/>
        <w:rPr>
          <w:rFonts w:ascii="Calibri" w:hAnsi="Calibri" w:cs="Calibri"/>
          <w:color w:val="000000"/>
        </w:rPr>
      </w:pPr>
      <w:r w:rsidRPr="00010F12">
        <w:rPr>
          <w:rFonts w:ascii="Calibri" w:hAnsi="Calibri" w:cs="Calibri"/>
        </w:rPr>
        <w:t>While</w:t>
      </w:r>
      <w:r w:rsidR="00742FB7" w:rsidRPr="00AC1B06">
        <w:rPr>
          <w:rFonts w:ascii="Calibri" w:hAnsi="Calibri" w:cs="Calibri"/>
          <w:color w:val="000000"/>
        </w:rPr>
        <w:t xml:space="preserve"> working with the LR group, it was clear that they were trying to develop community and personal resilience to the flooding, including making adaptations to their homes to help them withstand flood water, educating themselves of why the flooding happened, and joining community networks</w:t>
      </w:r>
      <w:r w:rsidR="00CF5D0F">
        <w:rPr>
          <w:rFonts w:ascii="Calibri" w:hAnsi="Calibri" w:cs="Calibri"/>
          <w:color w:val="000000"/>
        </w:rPr>
        <w:t>.</w:t>
      </w:r>
      <w:r w:rsidR="00742FB7" w:rsidRPr="00AC1B06">
        <w:rPr>
          <w:rFonts w:ascii="Calibri" w:hAnsi="Calibri" w:cs="Calibri"/>
          <w:color w:val="000000"/>
        </w:rPr>
        <w:t xml:space="preserve"> </w:t>
      </w:r>
      <w:r w:rsidR="00CF5D0F">
        <w:rPr>
          <w:rFonts w:ascii="Calibri" w:hAnsi="Calibri" w:cs="Calibri"/>
          <w:color w:val="000000"/>
        </w:rPr>
        <w:t>H</w:t>
      </w:r>
      <w:r w:rsidR="00742FB7" w:rsidRPr="00AC1B06">
        <w:rPr>
          <w:rFonts w:ascii="Calibri" w:hAnsi="Calibri" w:cs="Calibri"/>
          <w:color w:val="000000"/>
        </w:rPr>
        <w:t xml:space="preserve">owever, it must be noted, this was possible as the flood water had washed away and they were no longer in the disaster. Whereas the HR </w:t>
      </w:r>
      <w:r w:rsidR="00742FB7" w:rsidRPr="00AC1B06">
        <w:rPr>
          <w:rFonts w:ascii="Calibri" w:hAnsi="Calibri" w:cs="Calibri"/>
          <w:color w:val="000000"/>
        </w:rPr>
        <w:lastRenderedPageBreak/>
        <w:t>community were still experiencing poverty and anti-social behaviour</w:t>
      </w:r>
      <w:r w:rsidR="00CF5D0F">
        <w:rPr>
          <w:rFonts w:ascii="Calibri" w:hAnsi="Calibri" w:cs="Calibri"/>
          <w:color w:val="000000"/>
        </w:rPr>
        <w:t>.</w:t>
      </w:r>
      <w:r w:rsidR="00742FB7" w:rsidRPr="00AC1B06">
        <w:rPr>
          <w:rFonts w:ascii="Calibri" w:hAnsi="Calibri" w:cs="Calibri"/>
          <w:color w:val="000000"/>
        </w:rPr>
        <w:t xml:space="preserve"> </w:t>
      </w:r>
      <w:r w:rsidR="00CF5D0F">
        <w:rPr>
          <w:rFonts w:ascii="Calibri" w:hAnsi="Calibri" w:cs="Calibri"/>
          <w:color w:val="000000"/>
        </w:rPr>
        <w:t>T</w:t>
      </w:r>
      <w:r w:rsidR="00742FB7" w:rsidRPr="00AC1B06">
        <w:rPr>
          <w:rFonts w:ascii="Calibri" w:hAnsi="Calibri" w:cs="Calibri"/>
          <w:color w:val="000000"/>
        </w:rPr>
        <w:t xml:space="preserve">his meant that they had not yet moved from the event phase into the response of recovery phase of the </w:t>
      </w:r>
      <w:r w:rsidR="0038275C" w:rsidRPr="0038275C">
        <w:rPr>
          <w:rFonts w:ascii="Calibri" w:hAnsi="Calibri" w:cs="Calibri"/>
          <w:color w:val="000000"/>
        </w:rPr>
        <w:t>Disaster Management Cycle</w:t>
      </w:r>
      <w:r w:rsidR="00742FB7" w:rsidRPr="00AC1B06">
        <w:rPr>
          <w:rFonts w:ascii="Calibri" w:hAnsi="Calibri" w:cs="Calibri"/>
          <w:color w:val="000000"/>
        </w:rPr>
        <w:t>. Due to the type of disaster that they were experiencing, it would be difficult to take mitigating actions, as it was a structural societal issue which was influencing them.</w:t>
      </w:r>
    </w:p>
    <w:p w14:paraId="63E97678" w14:textId="77777777" w:rsidR="004F6AAA" w:rsidRPr="00AC1B06" w:rsidRDefault="004F6AAA" w:rsidP="00A0151B">
      <w:pPr>
        <w:pStyle w:val="NormalWeb"/>
        <w:spacing w:before="0" w:after="0" w:line="360" w:lineRule="auto"/>
        <w:rPr>
          <w:rFonts w:ascii="Calibri" w:hAnsi="Calibri" w:cs="Calibri"/>
        </w:rPr>
      </w:pPr>
    </w:p>
    <w:p w14:paraId="39AB53A9" w14:textId="77777777" w:rsidR="00787F73" w:rsidRPr="00373C24" w:rsidRDefault="00742FB7" w:rsidP="00866155">
      <w:pPr>
        <w:rPr>
          <w:rFonts w:cs="Calibri"/>
        </w:rPr>
      </w:pPr>
      <w:r w:rsidRPr="00AC1B06">
        <w:rPr>
          <w:rFonts w:cs="Calibri"/>
        </w:rPr>
        <w:t xml:space="preserve">SYFR’s campaign calendars and fire risk prevention PICs focused on proactive resilience and attempted to educate individuals on how to prevent a fire from happening. However, the community data collected within this project only showed communities working towards responsive resilience. This is a limitation of this research, namely that it would be impossible to link a PIC or any risk communication to a prevented fire or disaster. This highlights why SYFR use incident data to try and infer whether the risk communication PIC had worked, however, as noted in chapter 5, it is difficult to know whether any change in the incident data simply occurred or was </w:t>
      </w:r>
      <w:r w:rsidRPr="00373C24">
        <w:rPr>
          <w:rFonts w:cs="Calibri"/>
        </w:rPr>
        <w:t>strictly due to a specific event.</w:t>
      </w:r>
    </w:p>
    <w:p w14:paraId="7CB555A7" w14:textId="77777777" w:rsidR="00122C6A" w:rsidRPr="00373C24" w:rsidRDefault="00122C6A" w:rsidP="00866155">
      <w:pPr>
        <w:rPr>
          <w:rFonts w:cs="Calibri"/>
        </w:rPr>
      </w:pPr>
    </w:p>
    <w:p w14:paraId="53A3F103" w14:textId="77777777" w:rsidR="00787F73" w:rsidRDefault="00742FB7" w:rsidP="00866155">
      <w:pPr>
        <w:pStyle w:val="Heading3"/>
      </w:pPr>
      <w:bookmarkStart w:id="1062" w:name="_Toc158371028"/>
      <w:bookmarkStart w:id="1063" w:name="_Toc158371093"/>
      <w:bookmarkStart w:id="1064" w:name="_Toc153205135"/>
      <w:bookmarkStart w:id="1065" w:name="_Toc193367263"/>
      <w:r w:rsidRPr="00373C24">
        <w:t>6.3.5: The community’s relationship to organisations</w:t>
      </w:r>
      <w:bookmarkEnd w:id="1062"/>
      <w:bookmarkEnd w:id="1063"/>
      <w:bookmarkEnd w:id="1064"/>
      <w:bookmarkEnd w:id="1065"/>
    </w:p>
    <w:p w14:paraId="5361D7FB" w14:textId="77777777" w:rsidR="00787F73" w:rsidRDefault="00742FB7" w:rsidP="00866155">
      <w:r>
        <w:rPr>
          <w:rFonts w:cs="Calibri"/>
        </w:rPr>
        <w:t>Within the discussions with the low and high-risk community groups, it was evident that their experiences and relationships with public sector organisations were very different. The LR community appeared to engage with organisations (such as the Environment Agency and smaller community groups) and be critical of their work, perhaps due to the community’s skills and experience garnered through various professional roles, whereas the HR community were more wary and untrusting of outside organisations.</w:t>
      </w:r>
    </w:p>
    <w:p w14:paraId="6BA7947E" w14:textId="77777777" w:rsidR="00787F73" w:rsidRDefault="00787F73" w:rsidP="00866155">
      <w:pPr>
        <w:rPr>
          <w:rFonts w:cs="Calibri"/>
        </w:rPr>
      </w:pPr>
    </w:p>
    <w:p w14:paraId="16F89D96" w14:textId="77777777" w:rsidR="00787F73" w:rsidRDefault="00742FB7" w:rsidP="00866155">
      <w:pPr>
        <w:pStyle w:val="Heading4"/>
        <w:spacing w:line="360" w:lineRule="auto"/>
      </w:pPr>
      <w:bookmarkStart w:id="1066" w:name="_Toc153205136"/>
      <w:bookmarkStart w:id="1067" w:name="_Toc158371029"/>
      <w:r>
        <w:t>An assertive criticality of organisations</w:t>
      </w:r>
      <w:bookmarkEnd w:id="1066"/>
      <w:bookmarkEnd w:id="1067"/>
    </w:p>
    <w:p w14:paraId="5AC2480D" w14:textId="77777777" w:rsidR="00787F73" w:rsidRPr="00AC1B06" w:rsidRDefault="00742FB7" w:rsidP="00866155">
      <w:r w:rsidRPr="00AC1B06">
        <w:rPr>
          <w:rFonts w:cs="Calibri"/>
        </w:rPr>
        <w:t>Prior to the flood, the LR community appeared to have a level of trust for external agencies, such as the Environment Agency (EA) through their work together as flood wardens and the monitoring of the river levels. However, this changed when the community became aware that the EA had known of the potential dangers of the ground water flooding. In the focus group, one participant voiced their frustration that the EA had explained to them that they had not prioritised the funding to fix the ground water risk until after the flood:</w:t>
      </w:r>
    </w:p>
    <w:p w14:paraId="6A52FC47" w14:textId="77777777" w:rsidR="00787F73" w:rsidRDefault="00742FB7" w:rsidP="00866155">
      <w:pPr>
        <w:pStyle w:val="TranscriptTableText"/>
        <w:spacing w:line="360" w:lineRule="auto"/>
        <w:ind w:left="720" w:right="663"/>
        <w:jc w:val="both"/>
        <w:rPr>
          <w:rFonts w:ascii="Calibri" w:hAnsi="Calibri" w:cs="Calibri"/>
          <w:sz w:val="24"/>
          <w:szCs w:val="24"/>
        </w:rPr>
      </w:pPr>
      <w:r w:rsidRPr="00AC1B06">
        <w:rPr>
          <w:rStyle w:val="QuoteChar"/>
          <w:rFonts w:cs="Calibri"/>
          <w:szCs w:val="24"/>
        </w:rPr>
        <w:lastRenderedPageBreak/>
        <w:t>“I'm very disappointed the Environment Agency didn’t actually tell us we were going to flood. That’s a disappointment (…) they knew what was wrong years ago, but they didn’t prioritise spending to fix it (…) they're going to fix it (…) Well, that’s great. But wouldn’t it have been nice if you had fixed it before?”</w:t>
      </w:r>
      <w:r w:rsidRPr="00AC1B06">
        <w:rPr>
          <w:rFonts w:ascii="Calibri" w:hAnsi="Calibri" w:cs="Calibri"/>
          <w:sz w:val="24"/>
          <w:szCs w:val="24"/>
        </w:rPr>
        <w:t xml:space="preserve"> (P1LR</w:t>
      </w:r>
      <w:r w:rsidR="0044412F">
        <w:rPr>
          <w:rFonts w:ascii="Calibri" w:hAnsi="Calibri" w:cs="Calibri"/>
          <w:sz w:val="24"/>
          <w:szCs w:val="24"/>
        </w:rPr>
        <w:t xml:space="preserve"> focus group</w:t>
      </w:r>
      <w:r w:rsidRPr="00AC1B06">
        <w:rPr>
          <w:rFonts w:ascii="Calibri" w:hAnsi="Calibri" w:cs="Calibri"/>
          <w:sz w:val="24"/>
          <w:szCs w:val="24"/>
        </w:rPr>
        <w:t>)</w:t>
      </w:r>
    </w:p>
    <w:p w14:paraId="6E887FED" w14:textId="77777777" w:rsidR="004F6AAA" w:rsidRPr="00AC1B06" w:rsidRDefault="004F6AAA" w:rsidP="00A0151B">
      <w:pPr>
        <w:pStyle w:val="TranscriptTableText"/>
        <w:spacing w:before="0" w:after="0" w:line="360" w:lineRule="auto"/>
        <w:ind w:left="720" w:right="663"/>
        <w:jc w:val="both"/>
        <w:rPr>
          <w:sz w:val="24"/>
          <w:szCs w:val="24"/>
        </w:rPr>
      </w:pPr>
    </w:p>
    <w:p w14:paraId="0CA51CAB" w14:textId="1F561AC3" w:rsidR="00787F73" w:rsidRDefault="00742FB7" w:rsidP="00866155">
      <w:pPr>
        <w:rPr>
          <w:rFonts w:cs="Calibri"/>
        </w:rPr>
      </w:pPr>
      <w:r w:rsidRPr="00AC1B06">
        <w:rPr>
          <w:rFonts w:cs="Calibri"/>
        </w:rPr>
        <w:t xml:space="preserve">They went on to note that the EA had increased communication with the community since the flooding, providing more information on the work they conducted to help reduce the threat of a similar flood event, though it appears that the trust in the organisation had been damaged. The structural work conducted by the EA suggests a reactive resilience, only prioritising the investment after the event has happened even though there had been the potential for a proactive resilience </w:t>
      </w:r>
      <w:r w:rsidRPr="00AC1B06">
        <w:fldChar w:fldCharType="begin" w:fldLock="1"/>
      </w:r>
      <w:r w:rsidRPr="00AC1B06">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sidRPr="00AC1B06">
        <w:rPr>
          <w:rFonts w:cs="Calibri"/>
        </w:rPr>
        <w:fldChar w:fldCharType="separate"/>
      </w:r>
      <w:r w:rsidRPr="00AC1B06">
        <w:rPr>
          <w:rFonts w:cs="Calibri"/>
          <w:noProof/>
        </w:rPr>
        <w:t>(Carmen et al., 2022)</w:t>
      </w:r>
      <w:r w:rsidRPr="00AC1B06">
        <w:rPr>
          <w:rFonts w:cs="Calibri"/>
        </w:rPr>
        <w:fldChar w:fldCharType="end"/>
      </w:r>
      <w:r w:rsidRPr="00AC1B06">
        <w:rPr>
          <w:rFonts w:cs="Calibri"/>
        </w:rPr>
        <w:t xml:space="preserve">. Due to this, the community’s trust in the EA was reduced and replaced with frustration, potentially damaging their reputation and relationship with the community for future events. The literature notes the importance of developing community resilience but also of agencies building trust and linking social capital with communities for the sharing of risk information via PICs </w:t>
      </w:r>
      <w:r w:rsidRPr="00AC1B06">
        <w:fldChar w:fldCharType="begin" w:fldLock="1"/>
      </w:r>
      <w:r w:rsidRPr="00AC1B06">
        <w:rPr>
          <w:rFonts w:cs="Calibri"/>
        </w:rPr>
        <w:instrText>ADDIN CSL_CITATION {"citationItems":[{"id":"ITEM-1","itemData":{"DOI":"10.1111/1468-5973.12195","ISSN":"14685973","abstract":"Social media has become an integrated part of human communication, both as a means to establish and maintain social relationships, and as a means of sharing and co&amp;#8208;creating information. Social media comes with an array of possibilities for individuals as well as organizations, corporations, and authorities. Within the field of crisis communication, social media possibilities such as online sharing and social networking have had an impact on the way crisis information is disseminated and updated. This paper addresses the issues related to using social media for communicating crisis information and broadcasting alert messages to the general population, discusses the role of social media in future pan&amp;#8208;European crisis alerting, and presents a prototype system demonstrating the possibilities. An extensive systematic literature review was carried out to identify factors that affect the use of social media for alerting and warning. These factors were mirrored in experiences, collected through interviews, obtained by emergency management organizations in three European countries (Sweden, Czech Republic, and Spain). The factors finally form the basis for suggestions and recommendations regarding the design of technological tools for both communication and information collection to serve as an integral part of a future pan&amp;#8208;European crisis alerting system.","author":[{"dropping-particle":"","family":"Brynielsson","given":"Joel","non-dropping-particle":"","parse-names":false,"suffix":""},{"dropping-particle":"","family":"Granåsen","given":"Magdalena","non-dropping-particle":"","parse-names":false,"suffix":""},{"dropping-particle":"","family":"Lindquist","given":"Sinna","non-dropping-particle":"","parse-names":false,"suffix":""},{"dropping-particle":"","family":"Narganes Quijano","given":"Maribel","non-dropping-particle":"","parse-names":false,"suffix":""},{"dropping-particle":"","family":"Nilsson","given":"Susanna","non-dropping-particle":"","parse-names":false,"suffix":""},{"dropping-particle":"","family":"Trnka","given":"Jiri","non-dropping-particle":"","parse-names":false,"suffix":""}],"container-title":"Journal of Contingencies and Crisis Management","id":"ITEM-1","issue":"1","issued":{"date-parts":[["2018"]]},"page":"28-40","title":"Informing crisis alerts using social media: Best practices and proof of concept","type":"article-journal","volume":"26"},"uris":["http://www.mendeley.com/documents/?uuid=fc9c28a7-84e6-4ab4-89e1-372a245eb7f4"]},{"id":"ITEM-2","itemData":{"DOI":"10.1177/0894439317721985","ISSN":"15528286","abstract":"© The Author(s) 2017. While emerging technologies such as social media have demonstrated value for crisis communications, significant question remains regarding how these tools can be most effectively leveraged to facilitate the flow of valid information under crisis conditions. In an effort to address these issues, this article examines the use of Twitter during the 2015–2016 Zika virus outbreak in the United States. Particular attention is paid to network structures within the Zika conversation and how different actors and communities contribute to the flow of information throughout the broader Twitter community. Public-facing organizations can benefit from a deeper understanding of the nature and structure of spontaneously occurring communities on social media as well as the types of content that they create and circulate. As such, these findings have significant implications for the development of effective social media strategies during natural disasters and public health emergencies. In particular, this analysis identifies several predominant themes communicated through Zika-related tweets as well as a number of distinct communities and influential actors. The findings suggest that respected political actors, public institutions, as well as those with valid scientific credentials can help to facilitate the flow of accurate and vital information across disparate communities.","author":[{"dropping-particle":"","family":"Hagen","given":"Loni","non-dropping-particle":"","parse-names":false,"suffix":""},{"dropping-particle":"","family":"Keller","given":"Thomas","non-dropping-particle":"","parse-names":false,"suffix":""},{"dropping-particle":"","family":"Neely","given":"Stephen","non-dropping-particle":"","parse-names":false,"suffix":""},{"dropping-particle":"","family":"DePaula","given":"Nic","non-dropping-particle":"","parse-names":false,"suffix":""},{"dropping-particle":"","family":"Robert-Cooperman","given":"Claudia","non-dropping-particle":"","parse-names":false,"suffix":""}],"container-title":"Social Science Computer Review","id":"ITEM-2","issue":"5","issued":{"date-parts":[["2018"]]},"page":"523-541","title":"Crisis Communications in the Age of Social Media: A Network Analysis of Zika-Related Tweets","type":"article-journal","volume":"36"},"uris":["http://www.mendeley.com/documents/?uuid=ee190255-6115-4f33-a816-3d19d3c3e85b"]},{"id":"ITEM-3","itemData":{"DOI":"10.1111/gove.12645","ISSN":"14680491","abstract":"While information campaigns have been widely recognized as a pillar of public health crisis management and heightened by the current COVID-19 pandemic, an insufficient number of studies have investigated the impact of information disclosure on influencing citizen cooperation crucial for emergency management. Focusing on generic information disclosure practices during the recovery period from January 19, 2020, to February 29, 2020, in China and by employing a difference-in-difference method, this study finds that information disclosure significantly enhanced citizen coproduction as measured by aggregated search queries of COVID-19-related information, and earlier disclosure yielded greater effect more quickly. Moreover, government capacity and citizens' trust in government at the local level significantly moderate the positive impact of information disclosure. This study uncovers the novel relationship between information disclosure and citizen coproduction during emergencies in the Chinese context.","author":[{"dropping-particle":"","family":"Wu","given":"Yiping","non-dropping-particle":"","parse-names":false,"suffix":""},{"dropping-particle":"","family":"Xiao","given":"Hanyu","non-dropping-particle":"","parse-names":false,"suffix":""},{"dropping-particle":"","family":"Yang","given":"Fang","non-dropping-particle":"","parse-names":false,"suffix":""}],"container-title":"Governance","id":"ITEM-3","issue":"4","issued":{"date-parts":[["2022"]]},"page":"1005-1027","title":"Government information disclosure and citizen coproduction during COVID-19 in China","type":"article-journal","volume":"35"},"uris":["http://www.mendeley.com/documents/?uuid=23abe183-22b0-432d-ae37-147088b539b7"]},{"id":"ITEM-4","itemData":{"DOI":"10.1007/s13280-021-01678-9","ISBN":"1328002101","ISSN":"16547209","PMID":"35015248","abstract":"Social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-4","issue":"6","issued":{"date-parts":[["2022"]]},"page":"1371-1387","title":"Building community resilience in a context of climate change: The role of social capital","type":"article-journal","volume":"51"},"uris":["http://www.mendeley.com/documents/?uuid=811839c2-2eda-4cbc-80b5-6bfc7c4a8392"]}],"mendeley":{"formattedCitation":"(Carmen et al., 2022; Wu, Xiao, &amp; Yang, 2022; Brynielsson et al., 2018; Hagen et al., 2018)","plainTextFormattedCitation":"(Carmen et al., 2022; Wu, Xiao, &amp; Yang, 2022; Brynielsson et al., 2018; Hagen et al., 2018)","previouslyFormattedCitation":"(Carmen et al., 2022; Wu, Xiao, &amp; Yang, 2022; Brynielsson et al., 2018; Hagen et al., 2018)"},"properties":{"noteIndex":0},"schema":"https://github.com/citation-style-language/schema/raw/master/csl-citation.json"}</w:instrText>
      </w:r>
      <w:r w:rsidRPr="00AC1B06">
        <w:rPr>
          <w:rFonts w:cs="Calibri"/>
        </w:rPr>
        <w:fldChar w:fldCharType="separate"/>
      </w:r>
      <w:r w:rsidRPr="00AC1B06">
        <w:rPr>
          <w:rFonts w:cs="Calibri"/>
          <w:noProof/>
        </w:rPr>
        <w:t>(Carmen et al., 2022; Wu, Xiao, &amp; Yang, 2022; Brynielsson et al., 2018; Hagen et al., 2018)</w:t>
      </w:r>
      <w:r w:rsidRPr="00AC1B06">
        <w:rPr>
          <w:rFonts w:cs="Calibri"/>
        </w:rPr>
        <w:fldChar w:fldCharType="end"/>
      </w:r>
      <w:r w:rsidRPr="00AC1B06">
        <w:rPr>
          <w:rFonts w:cs="Calibri"/>
        </w:rPr>
        <w:t>.</w:t>
      </w:r>
    </w:p>
    <w:p w14:paraId="28465FDC" w14:textId="77777777" w:rsidR="004F6AAA" w:rsidRDefault="004F6AAA" w:rsidP="00866155">
      <w:pPr>
        <w:rPr>
          <w:rFonts w:cs="Calibri"/>
        </w:rPr>
      </w:pPr>
    </w:p>
    <w:p w14:paraId="5F40C74C" w14:textId="38CC88F9" w:rsidR="00787F73" w:rsidRPr="00AC1B06" w:rsidRDefault="00C84401" w:rsidP="00866155">
      <w:r w:rsidRPr="00010F12">
        <w:rPr>
          <w:rFonts w:cs="Calibri"/>
        </w:rPr>
        <w:t>While</w:t>
      </w:r>
      <w:r w:rsidR="00742FB7" w:rsidRPr="00AC1B06">
        <w:rPr>
          <w:rFonts w:cs="Calibri"/>
        </w:rPr>
        <w:t xml:space="preserve"> the analysis above shows a frustration with agencies and businesses, it also suggests a perception of personal agency and expectation of how they should be treated. This can be viewed as a collective efficacy and empowerment within the community, which is an element associated with the development of community resilience </w:t>
      </w:r>
      <w:r w:rsidR="00742FB7" w:rsidRPr="00AC1B06">
        <w:fldChar w:fldCharType="begin" w:fldLock="1"/>
      </w:r>
      <w:r w:rsidR="00974B75" w:rsidRPr="00AC1B06">
        <w:rPr>
          <w:rFonts w:cs="Calibri"/>
        </w:rPr>
        <w:instrText>ADDIN CSL_CITATION {"citationItems":[{"id":"ITEM-1","itemData":{"DOI":"10.1371/currents.dis.db775aff25efc5ac4f0660ad9c9f7db2","ISSN":"2157-3999","abstract":"Background: Government, industry and charitable organisations have an increasing focus on programs intended to support community resilience to disasters. But has consensus been reached as to what defines 'community resilience' and what its core characteristics are? Methods: We undertook a systematic literature review of definitions of community resilience related to disasters. We conducted an inductive thematic analysis of the definitions and descriptions that we identified, in order to determine the proposed characteristics of community resilience prior to, during and after a disaster. Results: We identified 80 relevant papers. There was no evidence of a common, agreed definition of community resilience. In spite of this, evidence was found of nine core elements of community resilience that were common among the definitions. The core elements were: local knowledge, community networks and relationships, communication, health, governance and leadership, resources, economic investment, preparedness, and mental outlook. Within these core elements, we identified 19 sub-elements linked to community resilience. Conclusion: Our findings show that community resilience remains an amorphous concept that is understood and applied differently by different research groups. Yet in spite of the differences in conception and application, there are well-understood elements that are widely proposed as important for a resilient community. A focus on these individual elements may be more productive than attempting to define and study community resilience as a distinct concept. Tweet Patel SS, Rogers MB, Amlôt R, Rubin GJ. What Do We Mean by 'Community Resilience'? A","author":[{"dropping-particle":"","family":"Patel","given":"Sonny S","non-dropping-particle":"","parse-names":false,"suffix":""},{"dropping-particle":"","family":"Rogers","given":"M Brooke","non-dropping-particle":"","parse-names":false,"suffix":""},{"dropping-particle":"","family":"Amlôt","given":"Richard","non-dropping-particle":"","parse-names":false,"suffix":""},{"dropping-particle":"","family":"Rubin","given":"G James","non-dropping-particle":"","parse-names":false,"suffix":""}],"container-title":"PLoS currents","id":"ITEM-1","issued":{"date-parts":[["2017"]]},"page":"1-22","title":"What Do We Mean by 'Community Resilience'? A Systematic Literature Review of How It Is Defined in the Literature","type":"article-journal","volume":"9"},"uris":["http://www.mendeley.com/documents/?uuid=8b7e845a-0cc5-4c23-b38e-826bdf09e29d"]}],"mendeley":{"formattedCitation":"(Patel et al., 2017)","plainTextFormattedCitation":"(Patel et al., 2017)","previouslyFormattedCitation":"(Patel et al., 2017)"},"properties":{"noteIndex":0},"schema":"https://github.com/citation-style-language/schema/raw/master/csl-citation.json"}</w:instrText>
      </w:r>
      <w:r w:rsidR="00742FB7" w:rsidRPr="00AC1B06">
        <w:rPr>
          <w:rFonts w:cs="Calibri"/>
        </w:rPr>
        <w:fldChar w:fldCharType="separate"/>
      </w:r>
      <w:r w:rsidR="00742FB7" w:rsidRPr="00AC1B06">
        <w:rPr>
          <w:rFonts w:cs="Calibri"/>
          <w:noProof/>
        </w:rPr>
        <w:t>(Patel et al., 2017)</w:t>
      </w:r>
      <w:r w:rsidR="00742FB7" w:rsidRPr="00AC1B06">
        <w:rPr>
          <w:rFonts w:cs="Calibri"/>
        </w:rPr>
        <w:fldChar w:fldCharType="end"/>
      </w:r>
      <w:r w:rsidR="00742FB7" w:rsidRPr="00AC1B06">
        <w:rPr>
          <w:rFonts w:cs="Calibri"/>
        </w:rPr>
        <w:t xml:space="preserve">. The community members were also continuing to work with the agencies, suggesting a community aim to develop the relationship and improve the levels of engagement between the agencies and the community and demanding a stronger linking social capital </w:t>
      </w:r>
      <w:r w:rsidR="00742FB7" w:rsidRPr="00AC1B06">
        <w:fldChar w:fldCharType="begin" w:fldLock="1"/>
      </w:r>
      <w:r w:rsidR="00742FB7" w:rsidRPr="00AC1B06">
        <w:rPr>
          <w:rFonts w:cs="Calibri"/>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India","type":"article-journal","volume":"19"},"uris":["http://www.mendeley.com/documents/?uuid=d8bcf27c-1efc-4c15-8204-cd8b37719dd2"]},{"id":"ITEM-2","itemData":{"author":[{"dropping-particle":"","family":"Ludin","given":"Salizar M.","non-dropping-particle":"","parse-names":false,"suffix":""},{"dropping-particle":"","family":"Rohaizat","given":"Munirah","non-dropping-particle":"","parse-names":false,"suffix":""},{"dropping-particle":"","family":"Arbon","given":"Paul","non-dropping-particle":"","parse-names":false,"suffix":""}],"container-title":"Health and Social Care in the Community","id":"ITEM-2","issue":"3","issued":{"date-parts":[["2019"]]},"page":"621 - 631","title":"The association between social cohesion and community disaster resilience: A cross‐sectional study","type":"article-journal","volume":"27"},"uris":["http://www.mendeley.com/documents/?uuid=818d7348-40a6-4380-acb5-bd2c514990f2"]}],"mendeley":{"formattedCitation":"(Ludin, Rohaizat, &amp; Arbon, 2019; Sanyal &amp; Routray, 2016)","plainTextFormattedCitation":"(Ludin, Rohaizat, &amp; Arbon, 2019; Sanyal &amp; Routray, 2016)","previouslyFormattedCitation":"(Ludin, Rohaizat, &amp; Arbon, 2019; Sanyal &amp; Routray, 2016)"},"properties":{"noteIndex":0},"schema":"https://github.com/citation-style-language/schema/raw/master/csl-citation.json"}</w:instrText>
      </w:r>
      <w:r w:rsidR="00742FB7" w:rsidRPr="00AC1B06">
        <w:rPr>
          <w:rFonts w:cs="Calibri"/>
        </w:rPr>
        <w:fldChar w:fldCharType="separate"/>
      </w:r>
      <w:r w:rsidR="00742FB7" w:rsidRPr="00AC1B06">
        <w:rPr>
          <w:rFonts w:cs="Calibri"/>
          <w:noProof/>
        </w:rPr>
        <w:t>(Ludin, Rohaizat, &amp; Arbon, 2019; Sanyal &amp; Routray, 2016)</w:t>
      </w:r>
      <w:r w:rsidR="00742FB7" w:rsidRPr="00AC1B06">
        <w:rPr>
          <w:rFonts w:cs="Calibri"/>
        </w:rPr>
        <w:fldChar w:fldCharType="end"/>
      </w:r>
      <w:r w:rsidR="00742FB7" w:rsidRPr="00AC1B06">
        <w:rPr>
          <w:rFonts w:cs="Calibri"/>
        </w:rPr>
        <w:t>. The above analysis highlights the need for agencies such as SYFR to be open and transparent with the communities that they work with, and to develop trust and linking social capital prior to a disaster, through more in-depth and practical community engagement.</w:t>
      </w:r>
    </w:p>
    <w:p w14:paraId="532A8F44" w14:textId="77777777" w:rsidR="00787F73" w:rsidRDefault="00787F73" w:rsidP="00866155">
      <w:pPr>
        <w:rPr>
          <w:rFonts w:cs="Calibri"/>
        </w:rPr>
      </w:pPr>
    </w:p>
    <w:p w14:paraId="22C709AF" w14:textId="77777777" w:rsidR="00787F73" w:rsidRDefault="00742FB7" w:rsidP="00866155">
      <w:pPr>
        <w:pStyle w:val="Heading4"/>
        <w:spacing w:line="360" w:lineRule="auto"/>
      </w:pPr>
      <w:bookmarkStart w:id="1068" w:name="_Toc153205137"/>
      <w:bookmarkStart w:id="1069" w:name="_Toc98148501"/>
      <w:bookmarkStart w:id="1070" w:name="_Toc152952955"/>
      <w:bookmarkStart w:id="1071" w:name="_Toc149839753"/>
      <w:bookmarkStart w:id="1072" w:name="_Toc150351361"/>
      <w:bookmarkStart w:id="1073" w:name="_Toc158371030"/>
      <w:bookmarkStart w:id="1074" w:name="_Toc152769365"/>
      <w:bookmarkStart w:id="1075" w:name="_Toc152777259"/>
      <w:bookmarkStart w:id="1076" w:name="_Toc152953918"/>
      <w:r>
        <w:lastRenderedPageBreak/>
        <w:t>The power of lanyards and clipboards</w:t>
      </w:r>
      <w:bookmarkEnd w:id="1068"/>
      <w:bookmarkEnd w:id="1069"/>
      <w:bookmarkEnd w:id="1070"/>
      <w:bookmarkEnd w:id="1071"/>
      <w:bookmarkEnd w:id="1072"/>
      <w:bookmarkEnd w:id="1073"/>
      <w:bookmarkEnd w:id="1074"/>
      <w:bookmarkEnd w:id="1075"/>
      <w:bookmarkEnd w:id="1076"/>
    </w:p>
    <w:p w14:paraId="48CB3A38" w14:textId="77777777" w:rsidR="00787F73" w:rsidRDefault="00742FB7" w:rsidP="00866155">
      <w:pPr>
        <w:rPr>
          <w:rFonts w:cs="Calibri"/>
        </w:rPr>
      </w:pPr>
      <w:r w:rsidRPr="00AC1B06">
        <w:rPr>
          <w:rFonts w:cs="Calibri"/>
        </w:rPr>
        <w:t>When discussing the HR community’s relationship with external agencies, it was clear that their relationship with organisations was very different to the relationship held with external agencies by the LR community members. Representatives from the HR community explained that members of their community had felt so unsupported for such a long time that they started to disengage and avoid services, creating a distrust of outsiders, with participant 1 noting:</w:t>
      </w:r>
    </w:p>
    <w:p w14:paraId="3D622949" w14:textId="77777777" w:rsidR="004F6AAA" w:rsidRPr="00AC1B06" w:rsidRDefault="004F6AAA" w:rsidP="00866155"/>
    <w:p w14:paraId="3785404C" w14:textId="77777777" w:rsidR="00787F73" w:rsidRDefault="00742FB7" w:rsidP="00866155">
      <w:pPr>
        <w:pStyle w:val="Quote"/>
        <w:spacing w:line="360" w:lineRule="auto"/>
        <w:jc w:val="both"/>
        <w:rPr>
          <w:rFonts w:cs="Calibri"/>
          <w:szCs w:val="24"/>
        </w:rPr>
      </w:pPr>
      <w:r w:rsidRPr="00AC1B06">
        <w:rPr>
          <w:rFonts w:cs="Calibri"/>
          <w:szCs w:val="24"/>
        </w:rPr>
        <w:t>“I had a fear of services, I had a fear of authority figures” (P1HR</w:t>
      </w:r>
      <w:r w:rsidR="0044412F">
        <w:rPr>
          <w:rFonts w:cs="Calibri"/>
          <w:szCs w:val="24"/>
        </w:rPr>
        <w:t xml:space="preserve"> focus group</w:t>
      </w:r>
      <w:r w:rsidRPr="00AC1B06">
        <w:rPr>
          <w:rFonts w:cs="Calibri"/>
          <w:szCs w:val="24"/>
        </w:rPr>
        <w:t>)</w:t>
      </w:r>
    </w:p>
    <w:p w14:paraId="5BCD8CD4" w14:textId="77777777" w:rsidR="004F6AAA" w:rsidRPr="00A0151B" w:rsidRDefault="004F6AAA" w:rsidP="00A0151B">
      <w:pPr>
        <w:rPr>
          <w:lang w:eastAsia="en-US"/>
        </w:rPr>
      </w:pPr>
    </w:p>
    <w:p w14:paraId="0E00882B" w14:textId="77777777" w:rsidR="00787F73" w:rsidRDefault="00742FB7" w:rsidP="00866155">
      <w:pPr>
        <w:rPr>
          <w:rFonts w:cs="Calibri"/>
        </w:rPr>
      </w:pPr>
      <w:r w:rsidRPr="00AC1B06">
        <w:rPr>
          <w:rFonts w:cs="Calibri"/>
        </w:rPr>
        <w:t>This creates a challenge for organisations wanting to engage with high-risk community groups. If the individuals and wider community have a fear of authority, they will not engage with any risk communication or community work; participant one then added:</w:t>
      </w:r>
    </w:p>
    <w:p w14:paraId="023E9D7F" w14:textId="77777777" w:rsidR="004F6AAA" w:rsidRPr="00AC1B06" w:rsidRDefault="004F6AAA" w:rsidP="00866155"/>
    <w:p w14:paraId="457483F5" w14:textId="77777777" w:rsidR="00787F73" w:rsidRDefault="00742FB7" w:rsidP="00866155">
      <w:pPr>
        <w:pStyle w:val="Transcript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Calibri" w:hAnsi="Calibri" w:cs="Calibri"/>
          <w:sz w:val="24"/>
          <w:szCs w:val="24"/>
        </w:rPr>
      </w:pPr>
      <w:r w:rsidRPr="00AC1B06">
        <w:rPr>
          <w:rStyle w:val="QuoteChar"/>
          <w:rFonts w:cs="Calibri"/>
          <w:szCs w:val="24"/>
        </w:rPr>
        <w:t xml:space="preserve">“… face-to-face, it’s got to be face-to-face, you’ve got to have conversations with people, and you’ve got to do it without a lanyard, you’ve got to do it without being official.” </w:t>
      </w:r>
      <w:r w:rsidRPr="00AC1B06">
        <w:rPr>
          <w:rFonts w:ascii="Calibri" w:hAnsi="Calibri" w:cs="Calibri"/>
          <w:sz w:val="24"/>
          <w:szCs w:val="24"/>
        </w:rPr>
        <w:t>(P1HR</w:t>
      </w:r>
      <w:r w:rsidR="0044412F">
        <w:rPr>
          <w:rFonts w:ascii="Calibri" w:hAnsi="Calibri" w:cs="Calibri"/>
          <w:sz w:val="24"/>
          <w:szCs w:val="24"/>
        </w:rPr>
        <w:t xml:space="preserve"> focus group</w:t>
      </w:r>
      <w:r w:rsidRPr="00AC1B06">
        <w:rPr>
          <w:rFonts w:ascii="Calibri" w:hAnsi="Calibri" w:cs="Calibri"/>
          <w:sz w:val="24"/>
          <w:szCs w:val="24"/>
        </w:rPr>
        <w:t>)</w:t>
      </w:r>
    </w:p>
    <w:p w14:paraId="6C569229" w14:textId="77777777" w:rsidR="004F6AAA" w:rsidRPr="00AC1B06" w:rsidRDefault="004F6AAA" w:rsidP="00866155">
      <w:pPr>
        <w:pStyle w:val="Transcript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p>
    <w:p w14:paraId="21F71989" w14:textId="77777777" w:rsidR="00787F73" w:rsidRPr="00AC1B06" w:rsidRDefault="00742FB7" w:rsidP="00866155">
      <w:r w:rsidRPr="00AC1B06">
        <w:rPr>
          <w:rFonts w:cs="Calibri"/>
        </w:rPr>
        <w:t>This lack of trust and wanting to engage with external agencies creates a challenge for agencies such as SYFR to communicate risk, but also more widely their ability to access support which is offered. This lack of trust for external agencies comes from a history of disappointment at not being supported, with services being reduced and support being removed, however, this also highlights potential benefits of working with community members on community relations to build trust.</w:t>
      </w:r>
    </w:p>
    <w:p w14:paraId="1F9B53D8" w14:textId="77777777" w:rsidR="00787F73" w:rsidRPr="00AC1B06" w:rsidRDefault="00787F73" w:rsidP="00866155">
      <w:pPr>
        <w:rPr>
          <w:rFonts w:cs="Calibri"/>
        </w:rPr>
      </w:pPr>
    </w:p>
    <w:p w14:paraId="24EC4C5A" w14:textId="77777777" w:rsidR="00787F73" w:rsidRDefault="00742FB7" w:rsidP="00866155">
      <w:pPr>
        <w:rPr>
          <w:rFonts w:cs="Calibri"/>
        </w:rPr>
      </w:pPr>
      <w:r w:rsidRPr="00AC1B06">
        <w:rPr>
          <w:rFonts w:cs="Calibri"/>
        </w:rPr>
        <w:t xml:space="preserve">SYFR are aware of the trust that communities have for professionals (discussed in section 4.3.3) </w:t>
      </w:r>
      <w:r w:rsidRPr="00AC1B06">
        <w:t xml:space="preserve">and its potential </w:t>
      </w:r>
      <w:r w:rsidRPr="00AC1B06">
        <w:rPr>
          <w:rFonts w:cs="Calibri"/>
        </w:rPr>
        <w:t xml:space="preserve">to be a barrier to their prevention work. This indicates that more can be done to support communities in prevention work, perhaps engaging with communities at a more local level, such as the changing role of firefighters and the increased role within </w:t>
      </w:r>
      <w:r w:rsidRPr="00AC1B06">
        <w:rPr>
          <w:rFonts w:cs="Calibri"/>
        </w:rPr>
        <w:lastRenderedPageBreak/>
        <w:t>community prevention work. However, the Communications team explained that firefighters conducting community work was not always part of the role of a firefighter:</w:t>
      </w:r>
    </w:p>
    <w:p w14:paraId="0E1A90E9" w14:textId="77777777" w:rsidR="004F6AAA" w:rsidRPr="00AC1B06" w:rsidRDefault="004F6AAA" w:rsidP="00866155"/>
    <w:p w14:paraId="1839EC18" w14:textId="77777777" w:rsidR="00787F73" w:rsidRDefault="00742FB7" w:rsidP="00866155">
      <w:pPr>
        <w:pStyle w:val="TranscriptTableText"/>
        <w:spacing w:line="360" w:lineRule="auto"/>
        <w:ind w:left="720" w:right="663"/>
        <w:rPr>
          <w:rFonts w:ascii="Calibri" w:hAnsi="Calibri" w:cs="Calibri"/>
          <w:sz w:val="24"/>
          <w:szCs w:val="24"/>
        </w:rPr>
      </w:pPr>
      <w:r w:rsidRPr="00AC1B06">
        <w:rPr>
          <w:rStyle w:val="QuoteChar"/>
          <w:rFonts w:cs="Calibri"/>
          <w:szCs w:val="24"/>
        </w:rPr>
        <w:t>“…community safety work is a fairly recent thing (…) It’s in the statutory duty that they’ve got to go and do that (…) So, they should be going out and doing community safety work. Which they do, and a lot of them are very good at it, but, of course, people have different opinions on it (…) So, the challenge for us, really, is trying to get them on board so that they will go out and practically support what we do.”</w:t>
      </w:r>
      <w:r w:rsidRPr="00AC1B06">
        <w:rPr>
          <w:rFonts w:ascii="Calibri" w:hAnsi="Calibri" w:cs="Calibri"/>
          <w:sz w:val="24"/>
          <w:szCs w:val="24"/>
        </w:rPr>
        <w:t xml:space="preserve"> (CM </w:t>
      </w:r>
      <w:r w:rsidR="0044412F">
        <w:rPr>
          <w:rFonts w:ascii="Calibri" w:hAnsi="Calibri" w:cs="Calibri"/>
          <w:sz w:val="24"/>
          <w:szCs w:val="24"/>
        </w:rPr>
        <w:t xml:space="preserve">interview, </w:t>
      </w:r>
      <w:r w:rsidRPr="00AC1B06">
        <w:rPr>
          <w:rFonts w:ascii="Calibri" w:hAnsi="Calibri" w:cs="Calibri"/>
          <w:sz w:val="24"/>
          <w:szCs w:val="24"/>
        </w:rPr>
        <w:t>07.08.19)</w:t>
      </w:r>
    </w:p>
    <w:p w14:paraId="09504D80" w14:textId="77777777" w:rsidR="004F6AAA" w:rsidRPr="00AC1B06" w:rsidRDefault="004F6AAA" w:rsidP="00866155">
      <w:pPr>
        <w:pStyle w:val="TranscriptTableText"/>
        <w:spacing w:line="360" w:lineRule="auto"/>
        <w:ind w:left="720" w:right="663"/>
        <w:rPr>
          <w:sz w:val="24"/>
          <w:szCs w:val="24"/>
        </w:rPr>
      </w:pPr>
    </w:p>
    <w:p w14:paraId="01230E91" w14:textId="19AF9525" w:rsidR="00787F73" w:rsidRPr="00AC1B06" w:rsidRDefault="00742FB7" w:rsidP="00866155">
      <w:r w:rsidRPr="00AC1B06">
        <w:rPr>
          <w:rFonts w:cs="Calibri"/>
        </w:rPr>
        <w:t xml:space="preserve">This suggest a changing state of institutional logics within the role of a firefighter, and </w:t>
      </w:r>
      <w:r w:rsidR="00C84401">
        <w:rPr>
          <w:rFonts w:cs="Calibri"/>
        </w:rPr>
        <w:t>while</w:t>
      </w:r>
      <w:r w:rsidR="00C84401" w:rsidRPr="00AC1B06">
        <w:rPr>
          <w:rFonts w:cs="Calibri"/>
        </w:rPr>
        <w:t xml:space="preserve"> </w:t>
      </w:r>
      <w:r w:rsidRPr="00AC1B06">
        <w:rPr>
          <w:rFonts w:cs="Calibri"/>
        </w:rPr>
        <w:t xml:space="preserve">the regulatory element of the institution has changed with a statutory obligation, there is still a need to develop the normative and cultural-cognitive pillars of the institution to increase this level of community engagement. This, combined with a reduction in funding and resources for FRS across England, makes face-to-face engagement challenging for an FRS such as the SYFR, and it places greater importance on engaging on social media and understanding the community’s relationship to social media. </w:t>
      </w:r>
    </w:p>
    <w:p w14:paraId="38F28CD8" w14:textId="77777777" w:rsidR="00787F73" w:rsidRDefault="00787F73" w:rsidP="00866155">
      <w:pPr>
        <w:rPr>
          <w:rFonts w:cs="Calibri"/>
        </w:rPr>
      </w:pPr>
    </w:p>
    <w:p w14:paraId="4C120ED7" w14:textId="77777777" w:rsidR="00787F73" w:rsidRDefault="00742FB7" w:rsidP="00866155">
      <w:pPr>
        <w:pStyle w:val="Heading4"/>
        <w:spacing w:line="360" w:lineRule="auto"/>
      </w:pPr>
      <w:bookmarkStart w:id="1077" w:name="_Toc153205138"/>
      <w:bookmarkStart w:id="1078" w:name="_Toc158371031"/>
      <w:r>
        <w:rPr>
          <w:rStyle w:val="Heading4Char"/>
          <w:rFonts w:ascii="Calibri" w:hAnsi="Calibri" w:cs="Calibri"/>
        </w:rPr>
        <w:t>6.3.6: The community’s relationship to social media</w:t>
      </w:r>
      <w:bookmarkStart w:id="1079" w:name="_Toc93336085"/>
      <w:bookmarkStart w:id="1080" w:name="_Toc98148504"/>
      <w:bookmarkStart w:id="1081" w:name="_Toc152769368"/>
      <w:bookmarkStart w:id="1082" w:name="_Toc150351364"/>
      <w:bookmarkStart w:id="1083" w:name="_Toc149839756"/>
      <w:bookmarkStart w:id="1084" w:name="_Toc152953921"/>
      <w:bookmarkStart w:id="1085" w:name="_Toc152777262"/>
      <w:bookmarkStart w:id="1086" w:name="_Toc152952958"/>
      <w:bookmarkEnd w:id="1077"/>
      <w:bookmarkEnd w:id="1078"/>
    </w:p>
    <w:p w14:paraId="6BD02146" w14:textId="77777777" w:rsidR="00787F73" w:rsidRPr="00AC1B06" w:rsidRDefault="00742FB7" w:rsidP="00866155">
      <w:pPr>
        <w:pStyle w:val="NormalWeb"/>
        <w:spacing w:before="240" w:after="240" w:line="360" w:lineRule="auto"/>
        <w:rPr>
          <w:rFonts w:ascii="Calibri" w:hAnsi="Calibri" w:cs="Calibri"/>
        </w:rPr>
      </w:pPr>
      <w:r w:rsidRPr="00AC1B06">
        <w:rPr>
          <w:rFonts w:ascii="Calibri" w:hAnsi="Calibri" w:cs="Calibri"/>
          <w:color w:val="000000"/>
        </w:rPr>
        <w:t>When discussing social media with the LR group, they explained that being members of the local community Facebook page had not only been a way for them to be notified about the impending flooding, but also that it enabled quick networking within the community. Both participants in this focus group noted that they had been made aware of the risk of flooding via the community run Neighbourhood Watch emails and through the Facebook page of the local council, but when the updates stopped (the reason they stopped is unknown; it could have been the end of business hours) they were left without information. It was then through Facebook and WhatsApp groups that they were made aware of the rising flood waters through members of the community updating everyone on the situation on their roads:</w:t>
      </w:r>
    </w:p>
    <w:p w14:paraId="2A996C19" w14:textId="77777777" w:rsidR="00787F73" w:rsidRDefault="00742FB7" w:rsidP="00A0151B">
      <w:pPr>
        <w:pStyle w:val="NormalWeb"/>
        <w:spacing w:before="0" w:after="0" w:line="360" w:lineRule="auto"/>
        <w:ind w:left="720" w:right="663"/>
        <w:rPr>
          <w:rStyle w:val="QuoteChar"/>
          <w:rFonts w:cs="Calibri"/>
        </w:rPr>
      </w:pPr>
      <w:r w:rsidRPr="00AC1B06">
        <w:rPr>
          <w:rStyle w:val="QuoteChar"/>
          <w:rFonts w:cs="Calibri"/>
        </w:rPr>
        <w:lastRenderedPageBreak/>
        <w:t>“…if I had not seen that post from my neighbour (…). And I had not seen that generic post on that Facebook group, I would have been oblivious as well. I had been sat watching telly with curtains shut.” (P1LR</w:t>
      </w:r>
      <w:r w:rsidR="0044412F">
        <w:rPr>
          <w:rStyle w:val="QuoteChar"/>
          <w:rFonts w:cs="Calibri"/>
        </w:rPr>
        <w:t xml:space="preserve"> focus group</w:t>
      </w:r>
      <w:r w:rsidRPr="00AC1B06">
        <w:rPr>
          <w:rStyle w:val="QuoteChar"/>
          <w:rFonts w:cs="Calibri"/>
        </w:rPr>
        <w:t>)</w:t>
      </w:r>
    </w:p>
    <w:p w14:paraId="4A5509CB" w14:textId="77777777" w:rsidR="004F6AAA" w:rsidRPr="00AC1B06" w:rsidRDefault="004F6AAA" w:rsidP="00A0151B">
      <w:pPr>
        <w:pStyle w:val="NormalWeb"/>
        <w:spacing w:before="0" w:after="0" w:line="360" w:lineRule="auto"/>
        <w:ind w:left="720" w:right="663"/>
        <w:rPr>
          <w:rFonts w:ascii="Calibri" w:hAnsi="Calibri" w:cs="Calibri"/>
        </w:rPr>
      </w:pPr>
    </w:p>
    <w:p w14:paraId="5AD4C3B0" w14:textId="77777777" w:rsidR="00787F73" w:rsidRDefault="00742FB7" w:rsidP="00A0151B">
      <w:pPr>
        <w:pStyle w:val="NormalWeb"/>
        <w:spacing w:before="0" w:after="0" w:line="360" w:lineRule="auto"/>
        <w:rPr>
          <w:rFonts w:ascii="Calibri" w:hAnsi="Calibri" w:cs="Calibri"/>
        </w:rPr>
      </w:pPr>
      <w:r w:rsidRPr="00AC1B06">
        <w:rPr>
          <w:rFonts w:ascii="Calibri" w:hAnsi="Calibri" w:cs="Calibri"/>
          <w:color w:val="000000"/>
        </w:rPr>
        <w:t xml:space="preserve">This indicates that the community had been receiving risk communication from public agencies and community groups prior to the flooding, but when the communication stopped, they turned to social media. This suggests that the local council was initially the trusted source of information that they turned to, and the second source was social media. Within the risk communication literature it is noted that there needs to be trust for official channels prior to an event, because when a disaster hits communities immediately go to the sources of information that they trust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{"citationItems":[{"id":"ITEM-1","itemData":{"DOI":"10.1080/01292986.2021.2007274","ISSN":"17420911","abstract":"Social media have become widely used platforms for risk communication. Nevertheless, as this paper identifies there are potential challenges associated with the use social media, i.e. trust and credibility, misinformation, and digital inequality. This study uses three case studies to analyze the Indonesian government’s messaging strategies on social media for disaster risk communication, while navigating these challenges. Thematic content analysis of Indonesian emergency units’ social media posts during disaster events and of in-depth interviews with the personnel of the government agencies reveal the problematic aspects of the unidirectional top-down pattern of social media disaster risk communication. The messages mainly convey information about situations related to the disasters and government activities in local communities during disasters. Government agencies did not see social media as an appropriate channel for local communities most likely to be impacted or that such communities are shaped by culturally embedded beliefs and who might have limited accesses to the technology. This study suggests that patterns of social media use for disaster risk communication can differ across cultures. The collectivist culture of Indonesian communities has led to the two-step flow of communication model that proposes embracing culture and social capital to build trust, credibility, and overcome digital inequalities.","author":[{"dropping-particle":"","family":"Yudarwati","given":"Gregoria A.","non-dropping-particle":"","parse-names":false,"suffix":""},{"dropping-particle":"","family":"Putranto","given":"Ignatius A.","non-dropping-particle":"","parse-names":false,"suffix":""},{"dropping-particle":"","family":"Delmo","given":"Kate M.","non-dropping-particle":"","parse-names":false,"suffix":""}],"container-title":"Asian Journal of Communication","id":"ITEM-1","issue":"1","issued":{"date-parts":[["2022"]]},"page":"1-20","title":"Examining the Indonesian government’s social media use for disaster risk communication","type":"article-journal","volume":"32"},"uris":["http://www.mendeley.com/documents/?uuid=bdbad111-07a8-4bc0-870b-e36bc2073b13"]},{"id":"ITEM-2","itemData":{"DOI":"10.1111/gove.12645","ISSN":"14680491","abstract":"While information campaigns have been widely recognized as a pillar of public health crisis management and heightened by the current COVID-19 pandemic, an insufficient number of studies have investigated the impact of information disclosure on influencing citizen cooperation crucial for emergency management. Focusing on generic information disclosure practices during the recovery period from January 19, 2020, to February 29, 2020, in China and by employing a difference-in-difference method, this study finds that information disclosure significantly enhanced citizen coproduction as measured by aggregated search queries of COVID-19-related information, and earlier disclosure yielded greater effect more quickly. Moreover, government capacity and citizens' trust in government at the local level significantly moderate the positive impact of information disclosure. This study uncovers the novel relationship between information disclosure and citizen coproduction during emergencies in the Chinese context.","author":[{"dropping-particle":"","family":"Wu","given":"Yiping","non-dropping-particle":"","parse-names":false,"suffix":""},{"dropping-particle":"","family":"Xiao","given":"Hanyu","non-dropping-particle":"","parse-names":false,"suffix":""},{"dropping-particle":"","family":"Yang","given":"Fang","non-dropping-particle":"","parse-names":false,"suffix":""}],"container-title":"Governance","id":"ITEM-2","issue":"4","issued":{"date-parts":[["2022"]]},"page":"1005-1027","title":"Government information disclosure and citizen coproduction during COVID-19 in China","type":"article-journal","volume":"35"},"uris":["http://www.mendeley.com/documents/?uuid=23abe183-22b0-432d-ae37-147088b539b7"]}],"mendeley":{"formattedCitation":"(Wu, Xiao, &amp; Yang, 2022; Yudarwati, Putranto, &amp; Delmo, 2022)","plainTextFormattedCitation":"(Wu, Xiao, &amp; Yang, 2022; Yudarwati, Putranto, &amp; Delmo, 2022)","previouslyFormattedCitation":"(Wu, Xiao, &amp; Yang, 2022; Yudarwati, Putranto, &amp; Delmo, 2022)"},"properties":{"noteIndex":0},"schema":"https://github.com/citation-style-language/schema/raw/master/csl-citation.json"}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rPr>
        <w:t>(Wu, Xiao, &amp; Yang, 2022; Yudarwati, Putranto, &amp; Delmo, 2022)</w:t>
      </w:r>
      <w:r w:rsidRPr="00AC1B06">
        <w:rPr>
          <w:rFonts w:ascii="Calibri" w:hAnsi="Calibri" w:cs="Calibri"/>
          <w:color w:val="000000"/>
        </w:rPr>
        <w:fldChar w:fldCharType="end"/>
      </w:r>
      <w:r w:rsidRPr="00AC1B06">
        <w:rPr>
          <w:rFonts w:ascii="Calibri" w:hAnsi="Calibri" w:cs="Calibri"/>
        </w:rPr>
        <w:t xml:space="preserve">. This also highlights a social media logic of connectivity </w:t>
      </w:r>
      <w:r w:rsidRPr="00AC1B06">
        <w:rPr>
          <w:rFonts w:ascii="Calibri" w:hAnsi="Calibri" w:cs="Calibri"/>
        </w:rPr>
        <w:fldChar w:fldCharType="begin" w:fldLock="1"/>
      </w:r>
      <w:r w:rsidRPr="00AC1B06">
        <w:rPr>
          <w:rFonts w:ascii="Calibri" w:hAnsi="Calibri" w:cs="Calibri"/>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sidRPr="00AC1B06">
        <w:rPr>
          <w:rFonts w:ascii="Calibri" w:hAnsi="Calibri" w:cs="Calibri"/>
        </w:rPr>
        <w:fldChar w:fldCharType="separate"/>
      </w:r>
      <w:r w:rsidRPr="00AC1B06">
        <w:rPr>
          <w:rFonts w:ascii="Calibri" w:hAnsi="Calibri" w:cs="Calibri"/>
          <w:noProof/>
        </w:rPr>
        <w:t>(van Dijck &amp; Poell, 2013)</w:t>
      </w:r>
      <w:r w:rsidRPr="00AC1B06">
        <w:rPr>
          <w:rFonts w:ascii="Calibri" w:hAnsi="Calibri" w:cs="Calibri"/>
        </w:rPr>
        <w:fldChar w:fldCharType="end"/>
      </w:r>
      <w:r w:rsidRPr="00AC1B06">
        <w:rPr>
          <w:rFonts w:ascii="Calibri" w:hAnsi="Calibri" w:cs="Calibri"/>
        </w:rPr>
        <w:t xml:space="preserve">, encouraging users to engage with social media to make connections with people in their area. </w:t>
      </w:r>
    </w:p>
    <w:p w14:paraId="79DA7478" w14:textId="77777777" w:rsidR="004F6AAA" w:rsidRPr="00AC1B06" w:rsidRDefault="004F6AAA" w:rsidP="00A0151B">
      <w:pPr>
        <w:pStyle w:val="NormalWeb"/>
        <w:spacing w:before="0" w:after="0" w:line="360" w:lineRule="auto"/>
        <w:rPr>
          <w:rFonts w:ascii="Calibri" w:hAnsi="Calibri" w:cs="Calibri"/>
        </w:rPr>
      </w:pPr>
    </w:p>
    <w:p w14:paraId="2F641127" w14:textId="77777777" w:rsidR="00787F73" w:rsidRDefault="00742FB7" w:rsidP="00A0151B">
      <w:pPr>
        <w:pStyle w:val="NormalWeb"/>
        <w:spacing w:before="0" w:after="0" w:line="360" w:lineRule="auto"/>
        <w:rPr>
          <w:rFonts w:ascii="Calibri" w:hAnsi="Calibri" w:cs="Calibri"/>
          <w:color w:val="000000"/>
        </w:rPr>
      </w:pPr>
      <w:r w:rsidRPr="00AC1B06">
        <w:rPr>
          <w:rFonts w:ascii="Calibri" w:hAnsi="Calibri" w:cs="Calibri"/>
          <w:color w:val="000000"/>
        </w:rPr>
        <w:t xml:space="preserve">Using the community Facebook group enabled community members who did not know each other prior to the event to message and update each other. This indicates that social media platforms can provide the infrastructure and services with which to create and maintain community networks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{"citationItems":[{"id":"ITEM-1","itemData":{"DOI":"10.1080/08941920.2012.736605","ISBN":"0894-1920","ISSN":"08941920","PMID":"84423027","abstract":"We explore opportunities for an integrated approach in community resilience to inform new research directions and practice, using the productive common ground between two strands of literature on community resilience, one from social-ecological systems and the other from the psychology of development and mental health. The first strand treats resilience as a systems concept, dealing with adaptive relationships and learning in social-ecological systems across nested levels, with attention to feedbacks, nonlinearity, unpredictability, scale, renewal cycles, drivers, system memory, disturbance events, and windows of opportunity. The second strand emphasizes identifying and developing community strengths, and building resilience through agency and self-organization, with attention to people-place connections, values and beliefs, knowledge and learning, social networks, collaborative governance, economic diversification, infrastructure, leadership, and outlook. An integrative approach seated in the complex adaptive system and ecological understanding can incorporate the identification of explicit social strengths and connections to place, activated by agency and self-organizing. &amp;copy; 2013 Copyright Taylor and Francis Group, LLC.","author":[{"dropping-particle":"","family":"Berkes","given":"Fikret","non-dropping-particle":"","parse-names":false,"suffix":""},{"dropping-particle":"","family":"Ross","given":"Helen","non-dropping-particle":"","parse-names":false,"suffix":""}],"container-title":"Society and Natural Resources","id":"ITEM-1","issue":"1","issued":{"date-parts":[["2013"]]},"page":"5-20","title":"Community Resilience: Toward an Integrated Approach","type":"article-journal","volume":"26"},"uris":["http://www.mendeley.com/documents/?uuid=0b80407c-2c27-4353-a9ed-b8cff357c953"]},{"id":"ITEM-2","itemData":{"DOI":"10.1371/currents.dis.db775aff25efc5ac4f0660ad9c9f7db2","ISSN":"2157-3999","abstract":"Background: Government, industry and charitable organisations have an increasing focus on programs intended to support community resilience to disasters. But has consensus been reached as to what defines 'community resilience' and what its core characteristics are? Methods: We undertook a systematic literature review of definitions of community resilience related to disasters. We conducted an inductive thematic analysis of the definitions and descriptions that we identified, in order to determine the proposed characteristics of community resilience prior to, during and after a disaster. Results: We identified 80 relevant papers. There was no evidence of a common, agreed definition of community resilience. In spite of this, evidence was found of nine core elements of community resilience that were common among the definitions. The core elements were: local knowledge, community networks and relationships, communication, health, governance and leadership, resources, economic investment, preparedness, and mental outlook. Within these core elements, we identified 19 sub-elements linked to community resilience. Conclusion: Our findings show that community resilience remains an amorphous concept that is understood and applied differently by different research groups. Yet in spite of the differences in conception and application, there are well-understood elements that are widely proposed as important for a resilient community. A focus on these individual elements may be more productive than attempting to define and study community resilience as a distinct concept. Tweet Patel SS, Rogers MB, Amlôt R, Rubin GJ. What Do We Mean by 'Community Resilience'? A","author":[{"dropping-particle":"","family":"Patel","given":"Sonny S","non-dropping-particle":"","parse-names":false,"suffix":""},{"dropping-particle":"","family":"Rogers","given":"M Brooke","non-dropping-particle":"","parse-names":false,"suffix":""},{"dropping-particle":"","family":"Amlôt","given":"Richard","non-dropping-particle":"","parse-names":false,"suffix":""},{"dropping-particle":"","family":"Rubin","given":"G James","non-dropping-particle":"","parse-names":false,"suffix":""}],"container-title":"PLoS currents","id":"ITEM-2","issued":{"date-parts":[["2017"]]},"page":"1-22","title":"What Do We Mean by 'Community Resilience'? A Systematic Literature Review of How It Is Defined in the Literature","type":"article-journal","volume":"9"},"uris":["http://www.mendeley.com/documents/?uuid=8b7e845a-0cc5-4c23-b38e-826bdf09e29d"]},{"id":"ITEM-3","itemData":{"DOI":"10.1007/s10464-011-9427-0","ISBN":"1573-2770 (Electronic)\\r0091-0562 (Linking)","ISSN":"00910562","PMID":"21287261","abstract":"In this paper we draw on the findings of a critical, multi-sited ethnographic study of two rural communities affected by a wildfire in British Columbia, Canada to examine the salience of place, identity, and social capital to the disaster recovery process and community disaster resilience. We argue that a reconfiguration of disaster recovery is required that more meaningfully considers the role of place in the disaster recovery process and opens up the space for a more reflective and intentional consideration of the disorientation and disruption associated with disasters and our organized response to that disorientation. We describe a social-psychological process, reorientation, in which affected individuals and communities navigate the psychological, social and emotional responses to the symbolic and material changes to social and geographic place that result from the fire's destruction. The reorientation process emphasizes the critical importance of place not only as an orienting framework in recovery but also as the ground upon which social capital and community disaster resilience are built. This approach to understanding and responding to the disorientation of disasters has implications for community psychologists and other service providers engaged in supporting disaster survivors. This includes the need to consider the complex dynamic of contextual and cultural factors that influence the disaster recovery process.","author":[{"dropping-particle":"","family":"Cox","given":"Robin S.","non-dropping-particle":"","parse-names":false,"suffix":""},{"dropping-particle":"","family":"Perry","given":"Karen Marie Elah","non-dropping-particle":"","parse-names":false,"suffix":""}],"container-title":"American Journal of Community Psychology","id":"ITEM-3","issued":{"date-parts":[["2011"]]},"page":"395-411","title":"Like a Fish Out of Water: Reconsidering Disaster Recovery and the Role of Place and Social Capital in Community Disaster Resilience","type":"article-journal","volume":"48"},"uris":["http://www.mendeley.com/documents/?uuid=7cc0bc64-5b6c-47d3-b8e2-087a2c2fd9f6"]}],"mendeley":{"formattedCitation":"(Patel et al., 2017; Berkes &amp; Ross, 2013; Cox &amp; Perry, 2011)","plainTextFormattedCitation":"(Patel et al., 2017; Berkes &amp; Ross, 2013; Cox &amp; Perry, 2011)","previouslyFormattedCitation":"(Patel et al., 2017; Berkes &amp; Ross, 2013; Cox &amp; Perry, 2011)"},"properties":{"noteIndex":0},"schema":"https://github.com/citation-style-language/schema/raw/master/csl-citation.json"}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(Patel et al., 2017; Berkes &amp; Ross, 2013; Cox &amp; Perry, 2011)</w:t>
      </w:r>
      <w:r w:rsidRPr="00AC1B06">
        <w:rPr>
          <w:rFonts w:ascii="Calibri" w:hAnsi="Calibri" w:cs="Calibri"/>
          <w:color w:val="000000"/>
        </w:rPr>
        <w:fldChar w:fldCharType="end"/>
      </w:r>
      <w:r w:rsidRPr="00AC1B06">
        <w:rPr>
          <w:rFonts w:ascii="Calibri" w:hAnsi="Calibri" w:cs="Calibri"/>
          <w:color w:val="000000"/>
        </w:rPr>
        <w:t>. Social media companies not only enabled a connection in the local area, but they also extended the community. One participant explained that they saw a post on Facebook where someone outside the village was concerned about relatives living in the village, and they were able to comment and let the family members know that they were okay and that the flood had not reached their street yet:</w:t>
      </w:r>
    </w:p>
    <w:p w14:paraId="7F848E48" w14:textId="77777777" w:rsidR="004F6AAA" w:rsidRPr="00AC1B06" w:rsidRDefault="004F6AAA" w:rsidP="00A0151B">
      <w:pPr>
        <w:pStyle w:val="NormalWeb"/>
        <w:spacing w:before="0" w:after="0" w:line="360" w:lineRule="auto"/>
        <w:rPr>
          <w:rFonts w:ascii="Calibri" w:hAnsi="Calibri" w:cs="Calibri"/>
        </w:rPr>
      </w:pPr>
    </w:p>
    <w:p w14:paraId="2CF2D352" w14:textId="77777777" w:rsidR="00787F73" w:rsidRDefault="00742FB7" w:rsidP="00A0151B">
      <w:pPr>
        <w:pStyle w:val="TranscriptTableText"/>
        <w:spacing w:before="0" w:after="0" w:line="360" w:lineRule="auto"/>
        <w:ind w:left="720" w:right="663"/>
        <w:rPr>
          <w:rFonts w:ascii="Calibri" w:hAnsi="Calibri" w:cs="Calibri"/>
          <w:sz w:val="24"/>
          <w:szCs w:val="24"/>
        </w:rPr>
      </w:pPr>
      <w:r w:rsidRPr="00AC1B06">
        <w:rPr>
          <w:rStyle w:val="QuoteChar"/>
          <w:rFonts w:cs="Calibri"/>
          <w:szCs w:val="24"/>
        </w:rPr>
        <w:t>“And it was lovely to be able to say, it’s two doors down. They're fine. The road's starting to clear. I felt that was a great thing. I think Facebook really was a winner in the flood situation because otherwise you just didn’t know nothing”</w:t>
      </w:r>
      <w:r w:rsidRPr="00AC1B06">
        <w:rPr>
          <w:rFonts w:ascii="Calibri" w:hAnsi="Calibri" w:cs="Calibri"/>
          <w:sz w:val="24"/>
          <w:szCs w:val="24"/>
        </w:rPr>
        <w:t xml:space="preserve"> (P1LR</w:t>
      </w:r>
      <w:r w:rsidR="0044412F">
        <w:rPr>
          <w:rFonts w:ascii="Calibri" w:hAnsi="Calibri" w:cs="Calibri"/>
          <w:sz w:val="24"/>
          <w:szCs w:val="24"/>
        </w:rPr>
        <w:t xml:space="preserve"> focus group</w:t>
      </w:r>
      <w:r w:rsidRPr="00AC1B06">
        <w:rPr>
          <w:rFonts w:ascii="Calibri" w:hAnsi="Calibri" w:cs="Calibri"/>
          <w:sz w:val="24"/>
          <w:szCs w:val="24"/>
        </w:rPr>
        <w:t>)</w:t>
      </w:r>
    </w:p>
    <w:p w14:paraId="5D93EFE4" w14:textId="77777777" w:rsidR="004F6AAA" w:rsidRPr="00AC1B06" w:rsidRDefault="004F6AAA" w:rsidP="00A0151B">
      <w:pPr>
        <w:pStyle w:val="TranscriptTableText"/>
        <w:spacing w:before="0" w:after="0" w:line="360" w:lineRule="auto"/>
        <w:ind w:left="720" w:right="663"/>
        <w:rPr>
          <w:rFonts w:ascii="Calibri" w:hAnsi="Calibri" w:cs="Calibri"/>
          <w:sz w:val="24"/>
          <w:szCs w:val="24"/>
        </w:rPr>
      </w:pPr>
    </w:p>
    <w:p w14:paraId="7AA1B592" w14:textId="7FF97A5D" w:rsidR="00787F73" w:rsidRDefault="00742FB7" w:rsidP="00A0151B">
      <w:pPr>
        <w:pStyle w:val="NormalWeb"/>
        <w:spacing w:before="0" w:after="0" w:line="360" w:lineRule="auto"/>
        <w:rPr>
          <w:rFonts w:ascii="Calibri" w:hAnsi="Calibri" w:cs="Calibri"/>
          <w:color w:val="000000"/>
        </w:rPr>
      </w:pPr>
      <w:r w:rsidRPr="00AC1B06">
        <w:rPr>
          <w:rFonts w:ascii="Calibri" w:hAnsi="Calibri" w:cs="Calibri"/>
          <w:color w:val="000000"/>
        </w:rPr>
        <w:t xml:space="preserve">Even though the participant did not know these people prior to the event, they were able to provide information to concerned family members. This shows the benefit of the Facebook </w:t>
      </w:r>
      <w:r w:rsidRPr="00AC1B06">
        <w:rPr>
          <w:rFonts w:ascii="Calibri" w:hAnsi="Calibri" w:cs="Calibri"/>
          <w:color w:val="000000"/>
        </w:rPr>
        <w:lastRenderedPageBreak/>
        <w:t xml:space="preserve">group to connect not only people within the village to each other, but also individuals who are outside of the geographical area. This suggests the development of bridging social capital, building relationships outside of the community </w:t>
      </w:r>
      <w:r w:rsidRPr="00AC1B06">
        <w:rPr>
          <w:rFonts w:ascii="Calibri" w:hAnsi="Calibri" w:cs="Calibri"/>
        </w:rPr>
        <w:fldChar w:fldCharType="begin" w:fldLock="1"/>
      </w:r>
      <w:r w:rsidRPr="00AC1B06">
        <w:rPr>
          <w:rFonts w:ascii="Calibri" w:hAnsi="Calibri" w:cs="Calibri"/>
          <w:color w:val="000000"/>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India","type":"article-journal","volume":"19"},"uris":["http://www.mendeley.com/documents/?uuid=d8bcf27c-1efc-4c15-8204-cd8b37719dd2"]},{"id":"ITEM-2","itemData":{"DOI":"10.1007/s13280-021-01678-9","ISBN":"1328002101","ISSN":"16547209","PMID":"35015248","abstract":"Social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-2","issue":"6","issued":{"date-parts":[["2022"]]},"page":"1371-1387","title":"Building community resilience in a context of climate change: The role of social capital","type":"article-journal","volume":"51"},"uris":["http://www.mendeley.com/documents/?uuid=811839c2-2eda-4cbc-80b5-6bfc7c4a8392"]}],"mendeley":{"formattedCitation":"(Carmen et al., 2022; Sanyal &amp; Routray, 2016)","plainTextFormattedCitation":"(Carmen et al., 2022; Sanyal &amp; Routray, 2016)","previouslyFormattedCitation":"(Carmen et al., 2022; Sanyal &amp; Routray, 2016)"},"properties":{"noteIndex":0},"schema":"https://github.com/citation-style-language/schema/raw/master/csl-citation.json"}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(Carmen et al., 2022; Sanyal &amp; Routray, 2016)</w:t>
      </w:r>
      <w:r w:rsidRPr="00AC1B06">
        <w:rPr>
          <w:rFonts w:ascii="Calibri" w:hAnsi="Calibri" w:cs="Calibri"/>
          <w:color w:val="000000"/>
        </w:rPr>
        <w:fldChar w:fldCharType="end"/>
      </w:r>
      <w:r w:rsidRPr="00AC1B06">
        <w:rPr>
          <w:rFonts w:ascii="Calibri" w:hAnsi="Calibri" w:cs="Calibri"/>
          <w:color w:val="000000"/>
        </w:rPr>
        <w:t xml:space="preserve"> and shows the potential of a hyperlocal approach to engagement by organisations such as SYFR. As noted in chapter 4, SYFR had ambitions to work within these types of groups, but due to resource constraints it was not feasible to do this on a large scale. </w:t>
      </w:r>
    </w:p>
    <w:p w14:paraId="4967DEB4" w14:textId="77777777" w:rsidR="004F6AAA" w:rsidRPr="00AC1B06" w:rsidRDefault="004F6AAA" w:rsidP="00A0151B">
      <w:pPr>
        <w:pStyle w:val="NormalWeb"/>
        <w:spacing w:before="0" w:after="0" w:line="360" w:lineRule="auto"/>
        <w:rPr>
          <w:rFonts w:ascii="Calibri" w:hAnsi="Calibri" w:cs="Calibri"/>
        </w:rPr>
      </w:pPr>
    </w:p>
    <w:p w14:paraId="28BF9881" w14:textId="77777777" w:rsidR="00787F73" w:rsidRDefault="00742FB7" w:rsidP="00A0151B">
      <w:pPr>
        <w:pStyle w:val="NormalWeb"/>
        <w:spacing w:before="0" w:after="0" w:line="360" w:lineRule="auto"/>
        <w:rPr>
          <w:rFonts w:ascii="Calibri" w:hAnsi="Calibri" w:cs="Calibri"/>
          <w:color w:val="000000"/>
        </w:rPr>
      </w:pPr>
      <w:r w:rsidRPr="00AC1B06">
        <w:rPr>
          <w:rFonts w:ascii="Calibri" w:hAnsi="Calibri" w:cs="Calibri"/>
          <w:color w:val="000000"/>
        </w:rPr>
        <w:t>The LR group noted how the community Facebook page had been used throughout the flood, including in the response and recovery phases, with people sharing information and social support. Since the flooding recovery phases was coming to an end, they noted that there appeared to be more events advertised, suggesting that the community logics of cohesion had been activated by the disaster: </w:t>
      </w:r>
    </w:p>
    <w:p w14:paraId="41DB03C4" w14:textId="77777777" w:rsidR="004F6AAA" w:rsidRPr="00AC1B06" w:rsidRDefault="004F6AAA" w:rsidP="00A0151B">
      <w:pPr>
        <w:pStyle w:val="NormalWeb"/>
        <w:spacing w:before="0" w:after="0" w:line="360" w:lineRule="auto"/>
        <w:rPr>
          <w:rFonts w:ascii="Calibri" w:hAnsi="Calibri" w:cs="Calibri"/>
        </w:rPr>
      </w:pPr>
    </w:p>
    <w:p w14:paraId="594A4715" w14:textId="77777777" w:rsidR="00787F73" w:rsidRDefault="00742FB7" w:rsidP="00A0151B">
      <w:pPr>
        <w:pStyle w:val="TranscriptTableText"/>
        <w:spacing w:before="0" w:after="0" w:line="360" w:lineRule="auto"/>
        <w:ind w:left="720" w:right="663"/>
        <w:rPr>
          <w:rFonts w:ascii="Calibri" w:hAnsi="Calibri" w:cs="Calibri"/>
          <w:sz w:val="24"/>
          <w:szCs w:val="24"/>
        </w:rPr>
      </w:pPr>
      <w:r w:rsidRPr="00AC1B06">
        <w:rPr>
          <w:rStyle w:val="QuoteChar"/>
          <w:rFonts w:cs="Calibri"/>
          <w:szCs w:val="24"/>
        </w:rPr>
        <w:t>“… [the] community had a Facebook group before the flood, it very rarely was used. And I feel like since the flood it’s been a regular used thing to advertise events like the carols, the [pub name removed] and the Christmas fair, which before I wouldn’t have known about, I don’t think.”</w:t>
      </w:r>
      <w:r w:rsidRPr="00AC1B06">
        <w:rPr>
          <w:rFonts w:ascii="Calibri" w:hAnsi="Calibri" w:cs="Calibri"/>
          <w:sz w:val="24"/>
          <w:szCs w:val="24"/>
        </w:rPr>
        <w:t xml:space="preserve"> (P1LR</w:t>
      </w:r>
      <w:r w:rsidR="0044412F">
        <w:rPr>
          <w:rFonts w:ascii="Calibri" w:hAnsi="Calibri" w:cs="Calibri"/>
          <w:sz w:val="24"/>
          <w:szCs w:val="24"/>
        </w:rPr>
        <w:t xml:space="preserve"> focus group</w:t>
      </w:r>
      <w:r w:rsidRPr="00AC1B06">
        <w:rPr>
          <w:rFonts w:ascii="Calibri" w:hAnsi="Calibri" w:cs="Calibri"/>
          <w:sz w:val="24"/>
          <w:szCs w:val="24"/>
        </w:rPr>
        <w:t>)</w:t>
      </w:r>
    </w:p>
    <w:p w14:paraId="64EA9195" w14:textId="77777777" w:rsidR="004F6AAA" w:rsidRPr="00AC1B06" w:rsidRDefault="004F6AAA" w:rsidP="00A0151B">
      <w:pPr>
        <w:pStyle w:val="TranscriptTableText"/>
        <w:spacing w:before="0" w:after="0" w:line="360" w:lineRule="auto"/>
        <w:ind w:left="720" w:right="663"/>
        <w:rPr>
          <w:rFonts w:ascii="Calibri" w:hAnsi="Calibri" w:cs="Calibri"/>
          <w:sz w:val="24"/>
          <w:szCs w:val="24"/>
        </w:rPr>
      </w:pPr>
    </w:p>
    <w:p w14:paraId="1195CFA4" w14:textId="22DE5EDE" w:rsidR="00787F73" w:rsidRDefault="00C84401" w:rsidP="004F6AAA">
      <w:pPr>
        <w:pStyle w:val="NormalWeb"/>
        <w:spacing w:before="0" w:after="0" w:line="360" w:lineRule="auto"/>
        <w:rPr>
          <w:rFonts w:ascii="Calibri" w:hAnsi="Calibri" w:cs="Calibri"/>
          <w:color w:val="000000"/>
        </w:rPr>
      </w:pPr>
      <w:r w:rsidRPr="00010F12">
        <w:rPr>
          <w:rFonts w:ascii="Calibri" w:hAnsi="Calibri" w:cs="Calibri"/>
        </w:rPr>
        <w:t>While</w:t>
      </w:r>
      <w:r w:rsidR="00742FB7" w:rsidRPr="00AC1B06">
        <w:rPr>
          <w:rFonts w:ascii="Calibri" w:hAnsi="Calibri" w:cs="Calibri"/>
          <w:color w:val="000000"/>
        </w:rPr>
        <w:t xml:space="preserve"> the LR community was able to utilise Facebook for support and building community resilience, the HR community was unable to use Facebook in the same way, as there did not appear to be the community capacity to support each other due to the socio-economic structural nature of their hazard. With participant 1 noting that </w:t>
      </w:r>
      <w:r>
        <w:rPr>
          <w:rFonts w:ascii="Calibri" w:hAnsi="Calibri" w:cs="Calibri"/>
          <w:color w:val="000000"/>
        </w:rPr>
        <w:t>while</w:t>
      </w:r>
      <w:r w:rsidRPr="00AC1B06">
        <w:rPr>
          <w:rFonts w:ascii="Calibri" w:hAnsi="Calibri" w:cs="Calibri"/>
          <w:color w:val="000000"/>
        </w:rPr>
        <w:t xml:space="preserve"> </w:t>
      </w:r>
      <w:r w:rsidR="00742FB7" w:rsidRPr="00AC1B06">
        <w:rPr>
          <w:rFonts w:ascii="Calibri" w:hAnsi="Calibri" w:cs="Calibri"/>
          <w:color w:val="000000"/>
        </w:rPr>
        <w:t>some people had tried to engage with their community on social media, the majority were excluded given their lack of experience of using Facebook during COVID-19:</w:t>
      </w:r>
    </w:p>
    <w:p w14:paraId="33AFA756" w14:textId="77777777" w:rsidR="004F6AAA" w:rsidRPr="00AC1B06" w:rsidRDefault="004F6AAA" w:rsidP="00A0151B">
      <w:pPr>
        <w:pStyle w:val="NormalWeb"/>
        <w:spacing w:before="0" w:after="0" w:line="360" w:lineRule="auto"/>
        <w:rPr>
          <w:rFonts w:ascii="Calibri" w:hAnsi="Calibri" w:cs="Calibri"/>
        </w:rPr>
      </w:pPr>
    </w:p>
    <w:p w14:paraId="3B4B8658" w14:textId="77777777" w:rsidR="00787F73" w:rsidRDefault="00742FB7" w:rsidP="00866155">
      <w:pPr>
        <w:pStyle w:val="Quote"/>
        <w:spacing w:line="360" w:lineRule="auto"/>
        <w:ind w:left="862" w:right="663"/>
        <w:jc w:val="left"/>
        <w:rPr>
          <w:rFonts w:cs="Calibri"/>
          <w:color w:val="000000"/>
          <w:szCs w:val="24"/>
        </w:rPr>
      </w:pPr>
      <w:r w:rsidRPr="00AC1B06">
        <w:rPr>
          <w:rFonts w:cs="Calibri"/>
          <w:color w:val="000000"/>
          <w:szCs w:val="24"/>
        </w:rPr>
        <w:t>“</w:t>
      </w:r>
      <w:r w:rsidRPr="00AC1B06">
        <w:rPr>
          <w:rFonts w:cs="Calibri"/>
          <w:szCs w:val="24"/>
        </w:rPr>
        <w:t>Everybody started drumming up this, you need to join this, you need to know about that, so people started to try and drum that up. And that was slow progress because not a lot of people around here have access to the internet.</w:t>
      </w:r>
      <w:r w:rsidRPr="00AC1B06">
        <w:rPr>
          <w:rFonts w:cs="Calibri"/>
          <w:color w:val="000000"/>
          <w:szCs w:val="24"/>
        </w:rPr>
        <w:t>” (P1HR</w:t>
      </w:r>
      <w:r w:rsidR="0044412F">
        <w:rPr>
          <w:rFonts w:cs="Calibri"/>
          <w:color w:val="000000"/>
          <w:szCs w:val="24"/>
        </w:rPr>
        <w:t xml:space="preserve"> focus group</w:t>
      </w:r>
      <w:r w:rsidRPr="00AC1B06">
        <w:rPr>
          <w:rFonts w:cs="Calibri"/>
          <w:color w:val="000000"/>
          <w:szCs w:val="24"/>
        </w:rPr>
        <w:t>)</w:t>
      </w:r>
    </w:p>
    <w:p w14:paraId="7E3F75F2" w14:textId="77777777" w:rsidR="004F6AAA" w:rsidRPr="00A0151B" w:rsidRDefault="004F6AAA" w:rsidP="00A0151B">
      <w:pPr>
        <w:rPr>
          <w:lang w:eastAsia="en-US"/>
        </w:rPr>
      </w:pPr>
    </w:p>
    <w:p w14:paraId="5B6DA78C" w14:textId="77777777" w:rsidR="00787F73" w:rsidRDefault="00742FB7" w:rsidP="00866155">
      <w:pPr>
        <w:pStyle w:val="NormalWeb"/>
        <w:spacing w:before="240" w:after="240" w:line="360" w:lineRule="auto"/>
        <w:rPr>
          <w:rFonts w:ascii="Calibri" w:hAnsi="Calibri" w:cs="Calibri"/>
          <w:color w:val="000000"/>
        </w:rPr>
      </w:pPr>
      <w:r w:rsidRPr="00AC1B06">
        <w:rPr>
          <w:rFonts w:ascii="Calibri" w:hAnsi="Calibri" w:cs="Calibri"/>
          <w:color w:val="000000"/>
        </w:rPr>
        <w:lastRenderedPageBreak/>
        <w:t xml:space="preserve">The HR community appeared to have people wanting to start community initiatives, including participant 2 who worked for a community organisation, however, as participant 1 noted, it was challenging accessing the community. This creates a challenge for SYFR as the community, which they categorise as high-risk, are not engaging via their main communication channel (social media). This demonstrates the broader challenge of the digital divide.  </w:t>
      </w:r>
    </w:p>
    <w:p w14:paraId="65053BBD" w14:textId="77777777" w:rsidR="004F6AAA" w:rsidRPr="00AC1B06" w:rsidRDefault="004F6AAA" w:rsidP="00A0151B">
      <w:pPr>
        <w:pStyle w:val="NormalWeb"/>
        <w:spacing w:before="0" w:after="0" w:line="360" w:lineRule="auto"/>
        <w:rPr>
          <w:rFonts w:ascii="Calibri" w:hAnsi="Calibri" w:cs="Calibri"/>
        </w:rPr>
      </w:pPr>
    </w:p>
    <w:p w14:paraId="18C18DF0" w14:textId="77777777" w:rsidR="00787F73" w:rsidRDefault="00742FB7" w:rsidP="00866155">
      <w:pPr>
        <w:pStyle w:val="Heading4"/>
        <w:spacing w:line="360" w:lineRule="auto"/>
      </w:pPr>
      <w:bookmarkStart w:id="1087" w:name="_Toc153205139"/>
      <w:bookmarkStart w:id="1088" w:name="_Toc158371032"/>
      <w:r>
        <w:t>The digital divide</w:t>
      </w:r>
      <w:bookmarkEnd w:id="1087"/>
      <w:bookmarkEnd w:id="1088"/>
    </w:p>
    <w:p w14:paraId="546EEF20" w14:textId="47EA2AA3" w:rsidR="00787F73" w:rsidRDefault="00C84401" w:rsidP="00A0151B">
      <w:pPr>
        <w:pStyle w:val="NormalWeb"/>
        <w:spacing w:before="0" w:after="0" w:line="360" w:lineRule="auto"/>
        <w:rPr>
          <w:rFonts w:ascii="Calibri" w:hAnsi="Calibri" w:cs="Calibri"/>
          <w:color w:val="000000"/>
        </w:rPr>
      </w:pPr>
      <w:r w:rsidRPr="00010F12">
        <w:rPr>
          <w:rFonts w:ascii="Calibri" w:hAnsi="Calibri" w:cs="Calibri"/>
        </w:rPr>
        <w:t>While</w:t>
      </w:r>
      <w:r w:rsidR="00742FB7" w:rsidRPr="00AC1B06">
        <w:rPr>
          <w:rFonts w:ascii="Calibri" w:hAnsi="Calibri" w:cs="Calibri"/>
          <w:color w:val="000000"/>
        </w:rPr>
        <w:t xml:space="preserve"> there are many positives of engaging with communities online via social media sites, these benefits are not universally experienced. There are many people who are unable to access the technology:</w:t>
      </w:r>
    </w:p>
    <w:p w14:paraId="1269F379" w14:textId="77777777" w:rsidR="004F6AAA" w:rsidRPr="00AC1B06" w:rsidRDefault="004F6AAA" w:rsidP="00A0151B">
      <w:pPr>
        <w:pStyle w:val="NormalWeb"/>
        <w:spacing w:before="0" w:after="0" w:line="360" w:lineRule="auto"/>
        <w:rPr>
          <w:rFonts w:ascii="Calibri" w:hAnsi="Calibri" w:cs="Calibri"/>
        </w:rPr>
      </w:pPr>
    </w:p>
    <w:p w14:paraId="3ED88EA5" w14:textId="77777777" w:rsidR="00787F73" w:rsidRDefault="00742FB7" w:rsidP="00A0151B">
      <w:pPr>
        <w:pStyle w:val="NormalWeb"/>
        <w:spacing w:before="0" w:after="0" w:line="360" w:lineRule="auto"/>
        <w:ind w:left="720" w:right="663"/>
        <w:rPr>
          <w:rFonts w:ascii="Calibri" w:hAnsi="Calibri" w:cs="Calibri"/>
          <w:color w:val="000000"/>
        </w:rPr>
      </w:pPr>
      <w:r w:rsidRPr="00AC1B06">
        <w:rPr>
          <w:rStyle w:val="QuoteChar"/>
          <w:rFonts w:cs="Calibri"/>
        </w:rPr>
        <w:t>“.. it’s not even old people, it’s just poor people. They don’t have smart phones, they can’t afford wi-fi, they don’t have laptops; the only way they can access these forums are through schools and libraries.”</w:t>
      </w:r>
      <w:r w:rsidRPr="00AC1B06">
        <w:rPr>
          <w:rFonts w:ascii="Calibri" w:hAnsi="Calibri" w:cs="Calibri"/>
          <w:color w:val="000000"/>
        </w:rPr>
        <w:t xml:space="preserve"> (P1HR</w:t>
      </w:r>
      <w:r w:rsidR="0044412F">
        <w:rPr>
          <w:rFonts w:ascii="Calibri" w:hAnsi="Calibri" w:cs="Calibri"/>
          <w:color w:val="000000"/>
        </w:rPr>
        <w:t xml:space="preserve"> focus group</w:t>
      </w:r>
      <w:r w:rsidRPr="00AC1B06">
        <w:rPr>
          <w:rFonts w:ascii="Calibri" w:hAnsi="Calibri" w:cs="Calibri"/>
          <w:color w:val="000000"/>
        </w:rPr>
        <w:t>)</w:t>
      </w:r>
    </w:p>
    <w:p w14:paraId="01EAC9FF" w14:textId="77777777" w:rsidR="004F6AAA" w:rsidRPr="00AC1B06" w:rsidRDefault="004F6AAA" w:rsidP="00A0151B">
      <w:pPr>
        <w:pStyle w:val="NormalWeb"/>
        <w:spacing w:before="0" w:after="0" w:line="360" w:lineRule="auto"/>
        <w:ind w:left="720" w:right="663"/>
        <w:rPr>
          <w:rFonts w:ascii="Calibri" w:hAnsi="Calibri" w:cs="Calibri"/>
        </w:rPr>
      </w:pPr>
    </w:p>
    <w:p w14:paraId="14E518A0" w14:textId="20712417" w:rsidR="00787F73" w:rsidRDefault="00742FB7" w:rsidP="004F6AAA">
      <w:pPr>
        <w:pStyle w:val="NormalWeb"/>
        <w:spacing w:before="0" w:after="0" w:line="360" w:lineRule="auto"/>
        <w:rPr>
          <w:rFonts w:ascii="Calibri" w:hAnsi="Calibri" w:cs="Calibri"/>
          <w:color w:val="000000"/>
        </w:rPr>
      </w:pPr>
      <w:r w:rsidRPr="00AC1B06">
        <w:rPr>
          <w:rFonts w:ascii="Calibri" w:hAnsi="Calibri" w:cs="Calibri"/>
          <w:color w:val="000000"/>
        </w:rPr>
        <w:t xml:space="preserve">One element of the digital divide is the inability to access the technology, known as the first level divide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{"citationItems":[{"id":"ITEM-1","itemData":{"DOI":"10.1177/1461444810386774","abstract":"Because of the growing amount of information on the internet and people's increasing dependence on information, internet skills should be considered as a vital resource in contemporary society. This article focuses on the differential possession of internet skills among the Dutch population. In two studies, an in-depth range of internet skills are measured by charging subjects assignments to be accomplished on the internet. Subjects were recruited by applying a random stratified sampling method over gender, age, and education. While the level of operational and formal internet skills appeared quite high, the level of information and strategic internet skills is questionable. Whereas education appeared an important contributor to all skill levels, age only appeared a significant contributor to operational and formal skills. The results strengthen the findings that the original digital divide of physical internet access has evolved into a divide that includes differences in skills to use the internet.","author":[{"dropping-particle":"","family":"Deursen","given":"Alexander","non-dropping-particle":"van","parse-names":false,"suffix":""},{"dropping-particle":"","family":"Dijk","given":"Jan","non-dropping-particle":"van","parse-names":false,"suffix":""}],"container-title":"New Media &amp; Society","id":"ITEM-1","issue":"6","issued":{"date-parts":[["2010"]]},"page":"893 - 911","title":"Internet skills and the digital divide","type":"article-journal","volume":"13"},"uris":["http://www.mendeley.com/documents/?uuid=4ab52788-a677-3403-95f9-543bd1f5b973"]},{"id":"ITEM-2","itemData":{"DOI":"10.1080/1369118X.2015.1084023","ISSN":"14684462","abstract":"ABSTRACTBased on the idea that Internet use can be conceptualized in terms of depth (frequency) and width (differentiated) uses of the Web, this study explored how socio-demographic factors and digital skills are related to frequency and types of Facebook use among young adults. It used a face-to-face representative survey conducted in the three main urban areas of Chile among a sample of 18-to 29-year olds. The results found that men and more educated young people had higher levels of skills, confirming that the so-called ‘digital natives’ are not a monolithic group. They also revealed that digital skills did not predict frequency of Facebook use. Furthermore, lower educated young people tended to use Facebook more frequently. Although these results go against the long-established digital divide research, traditional digital gaps emerged when types of use were analyzed. While more educated and skillful individuals tended to use Facebook for informational and mobilizing purposes, socio-demographic factors...","author":[{"dropping-particle":"","family":"Correa","given":"Teresa","non-dropping-particle":"","parse-names":false,"suffix":""}],"container-title":"Information Communication and Society","id":"ITEM-2","issue":"8","issued":{"date-parts":[["2016"]]},"page":"1095-1107","title":"Digital skills and social media use: how Internet skills are related to different types of Facebook use among ‘digital natives’","type":"article-journal","volume":"19"},"uris":["http://www.mendeley.com/documents/?uuid=487b665a-3545-479d-8afb-aa5e78296f9d"]},{"id":"ITEM-3","itemData":{"DOI":"10.1007/s13753-022-00399-1","ISSN":"21926395","abstract":"This study examined the propensity of social media use by underserved communities by drawing on the literature on the digital divide and attribution theory. Specifically, this research explored the factors that can influence the use of social media for disaster management. The study used survey methodology to collect data and partial least squares structural equation modeling (PLS-SEM) to analyze the data and test the hypotheses. The results of the study indicate: (1) that the propensity of social media use for disaster management is low for underserved communities; (2) a positive relationship between an individual’s effort and the intention to use social media for disaster management; and (3) a negative relationship between task difficulty and the intention to use social media for disaster management. The study expanded the literature on the use of social media in disaster management. The article also provides both theoretical and practical implications.","author":[{"dropping-particle":"","family":"Ramakrishnan","given":"Thiagarajan","non-dropping-particle":"","parse-names":false,"suffix":""},{"dropping-particle":"","family":"Ngamassi","given":"Louis","non-dropping-particle":"","parse-names":false,"suffix":""},{"dropping-particle":"","family":"Rahman","given":"Shahedur","non-dropping-particle":"","parse-names":false,"suffix":""}],"container-title":"International Journal of Disaster Risk Science","id":"ITEM-3","issued":{"date-parts":[["2022"]]},"page":"52-65","title":"Examining the Factors that Influence the Use of Social Media for Disaster Management by Underserved Communities","type":"article-journal","volume":"13"},"uris":["http://www.mendeley.com/documents/?uuid=78f79e65-57eb-4b0f-a3c9-31e43d9f8e7c"]}],"mendeley":{"formattedCitation":"(Ramakrishnan, Ngamassi, &amp; Rahman, 2022; Correa, 2016; van Deursen &amp; van Dijk, 2010)","plainTextFormattedCitation":"(Ramakrishnan, Ngamassi, &amp; Rahman, 2022; Correa, 2016; van Deursen &amp; van Dijk, 2010)","previouslyFormattedCitation":"(Ramakrishnan, Ngamassi, &amp; Rahman, 2022; Correa, 2016; van Deursen &amp; van Dijk, 2010)"},"properties":{"noteIndex":0},"schema":"https://github.com/citation-style-language/schema/raw/master/csl-citation.json"}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rPr>
        <w:t>(Ramakrishnan, Ngamassi, &amp; Rahman, 2022; Correa, 2016; van Deursen &amp; van Dijk, 2010)</w:t>
      </w:r>
      <w:r w:rsidRPr="00AC1B06">
        <w:rPr>
          <w:rFonts w:ascii="Calibri" w:hAnsi="Calibri" w:cs="Calibri"/>
          <w:color w:val="000000"/>
        </w:rPr>
        <w:fldChar w:fldCharType="end"/>
      </w:r>
      <w:r w:rsidR="00D13269">
        <w:rPr>
          <w:rFonts w:ascii="Calibri" w:hAnsi="Calibri" w:cs="Calibri"/>
          <w:color w:val="000000"/>
        </w:rPr>
        <w:t>.</w:t>
      </w:r>
      <w:r w:rsidRPr="00AC1B06">
        <w:rPr>
          <w:rFonts w:ascii="Calibri" w:hAnsi="Calibri" w:cs="Calibri"/>
          <w:color w:val="000000"/>
        </w:rPr>
        <w:t xml:space="preserve"> </w:t>
      </w:r>
      <w:r w:rsidR="00D13269">
        <w:rPr>
          <w:rFonts w:ascii="Calibri" w:hAnsi="Calibri" w:cs="Calibri"/>
          <w:color w:val="000000"/>
        </w:rPr>
        <w:t>H</w:t>
      </w:r>
      <w:r w:rsidRPr="00AC1B06">
        <w:rPr>
          <w:rFonts w:ascii="Calibri" w:hAnsi="Calibri" w:cs="Calibri"/>
          <w:color w:val="000000"/>
        </w:rPr>
        <w:t xml:space="preserve">ere we can see that even though individuals do not have access to their own devices, community services such as the library can enable community members to engage with these groups online, or indirectly, individuals may have friends and family who can help them engage online. This suggests the presence of a social media logic, with individuals wanting to engage online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rPr>
        <w:t>(van Dijck &amp; Poell, 2013)</w:t>
      </w:r>
      <w:r w:rsidRPr="00AC1B06">
        <w:rPr>
          <w:rFonts w:ascii="Calibri" w:hAnsi="Calibri" w:cs="Calibri"/>
          <w:color w:val="000000"/>
        </w:rPr>
        <w:fldChar w:fldCharType="end"/>
      </w:r>
      <w:r w:rsidRPr="00AC1B06">
        <w:rPr>
          <w:rFonts w:ascii="Calibri" w:hAnsi="Calibri" w:cs="Calibri"/>
        </w:rPr>
        <w:t xml:space="preserve">. </w:t>
      </w:r>
      <w:r w:rsidR="00C84401" w:rsidRPr="00010F12">
        <w:rPr>
          <w:rFonts w:ascii="Calibri" w:hAnsi="Calibri" w:cs="Calibri"/>
        </w:rPr>
        <w:t>While</w:t>
      </w:r>
      <w:r w:rsidRPr="00AC1B06">
        <w:rPr>
          <w:rFonts w:ascii="Calibri" w:hAnsi="Calibri" w:cs="Calibri"/>
        </w:rPr>
        <w:t xml:space="preserve"> community members were able to use the library to engage online, these services were not accessible during COVID-19 </w:t>
      </w:r>
      <w:r w:rsidRPr="00AC1B06">
        <w:rPr>
          <w:rFonts w:ascii="Calibri" w:hAnsi="Calibri" w:cs="Calibri"/>
          <w:color w:val="000000"/>
        </w:rPr>
        <w:t>-19 due to the closing of libraries and other public venues for social distancing measures:</w:t>
      </w:r>
    </w:p>
    <w:p w14:paraId="009DC2FA" w14:textId="77777777" w:rsidR="004F6AAA" w:rsidRPr="00AC1B06" w:rsidRDefault="004F6AAA" w:rsidP="00A0151B">
      <w:pPr>
        <w:pStyle w:val="NormalWeb"/>
        <w:spacing w:before="0" w:after="0" w:line="360" w:lineRule="auto"/>
        <w:rPr>
          <w:rFonts w:ascii="Calibri" w:hAnsi="Calibri" w:cs="Calibri"/>
        </w:rPr>
      </w:pPr>
    </w:p>
    <w:p w14:paraId="33EE6CF2" w14:textId="77777777" w:rsidR="00787F73" w:rsidRPr="00AC1B06" w:rsidRDefault="00742FB7" w:rsidP="00866155">
      <w:pPr>
        <w:pStyle w:val="TranscriptTableText"/>
        <w:spacing w:line="360" w:lineRule="auto"/>
        <w:ind w:left="720" w:right="663"/>
        <w:rPr>
          <w:rFonts w:ascii="Calibri" w:hAnsi="Calibri" w:cs="Calibri"/>
          <w:sz w:val="24"/>
          <w:szCs w:val="24"/>
        </w:rPr>
      </w:pPr>
      <w:r w:rsidRPr="00AC1B06">
        <w:rPr>
          <w:rStyle w:val="QuoteChar"/>
          <w:rFonts w:cs="Calibri"/>
          <w:szCs w:val="24"/>
        </w:rPr>
        <w:t>“… the closest library used to be about 200 metres from my house, the closest library to me now is a 40-minute walk (…) So, there’s no forum for anybody. The schools can still access the local library, the one that’s just up from me, but the general public, we’re not allowed in now”</w:t>
      </w:r>
      <w:r w:rsidRPr="00AC1B06">
        <w:rPr>
          <w:rFonts w:ascii="Calibri" w:hAnsi="Calibri" w:cs="Calibri"/>
          <w:sz w:val="24"/>
          <w:szCs w:val="24"/>
        </w:rPr>
        <w:t xml:space="preserve"> (P1HR</w:t>
      </w:r>
      <w:r w:rsidR="0044412F">
        <w:rPr>
          <w:rFonts w:ascii="Calibri" w:hAnsi="Calibri" w:cs="Calibri"/>
          <w:sz w:val="24"/>
          <w:szCs w:val="24"/>
        </w:rPr>
        <w:t xml:space="preserve"> focus group</w:t>
      </w:r>
      <w:r w:rsidRPr="00AC1B06">
        <w:rPr>
          <w:rFonts w:ascii="Calibri" w:hAnsi="Calibri" w:cs="Calibri"/>
          <w:sz w:val="24"/>
          <w:szCs w:val="24"/>
        </w:rPr>
        <w:t>).</w:t>
      </w:r>
    </w:p>
    <w:p w14:paraId="5CD649F1" w14:textId="2F824572" w:rsidR="00787F73" w:rsidRDefault="00742FB7" w:rsidP="00866155">
      <w:pPr>
        <w:pStyle w:val="NormalWeb"/>
        <w:spacing w:before="240" w:after="240" w:line="360" w:lineRule="auto"/>
        <w:rPr>
          <w:rFonts w:ascii="Calibri" w:hAnsi="Calibri" w:cs="Calibri"/>
        </w:rPr>
      </w:pPr>
      <w:r w:rsidRPr="00AC1B06">
        <w:rPr>
          <w:rFonts w:ascii="Calibri" w:hAnsi="Calibri" w:cs="Calibri"/>
          <w:color w:val="000000"/>
        </w:rPr>
        <w:lastRenderedPageBreak/>
        <w:t xml:space="preserve">The impact of the library closing due to COVID-19 meant that marginalised members of the community were unable to gain information about social support via social media. </w:t>
      </w:r>
      <w:r w:rsidR="00C84401" w:rsidRPr="00010F12">
        <w:rPr>
          <w:rFonts w:ascii="Calibri" w:hAnsi="Calibri" w:cs="Calibri"/>
        </w:rPr>
        <w:t>While</w:t>
      </w:r>
      <w:r w:rsidRPr="00AC1B06">
        <w:rPr>
          <w:rFonts w:ascii="Calibri" w:hAnsi="Calibri" w:cs="Calibri"/>
          <w:color w:val="000000"/>
        </w:rPr>
        <w:t xml:space="preserve"> this was a temporary restriction during COVID, greater budget cuts to public services have put community services at risk, and this puts at further risk the most marginalised members in society. This is consistent with the literature which notes that s</w:t>
      </w:r>
      <w:r w:rsidRPr="00AC1B06">
        <w:rPr>
          <w:rFonts w:ascii="Calibri" w:hAnsi="Calibri" w:cs="Calibri"/>
        </w:rPr>
        <w:t xml:space="preserve">ocial inequalities and the digital divide are closely related </w:t>
      </w:r>
      <w:r w:rsidRPr="00AC1B06">
        <w:rPr>
          <w:rFonts w:ascii="Calibri" w:hAnsi="Calibri" w:cs="Calibri"/>
        </w:rPr>
        <w:fldChar w:fldCharType="begin" w:fldLock="1"/>
      </w:r>
      <w:r w:rsidRPr="00AC1B06">
        <w:rPr>
          <w:rFonts w:ascii="Calibri" w:hAnsi="Calibri" w:cs="Calibri"/>
        </w:rPr>
        <w:instrText>ADDIN CSL_CITATION {"citationItems":[{"id":"ITEM-1","itemData":{"DOI":"10.1016/j.poetic.2006.05.004","abstract":"From the end of the 1990s onwards the digital divide, commonly defined as the gap between those who have and do not have access to computers and the Internet, has been a central issue on the scholarly and political agenda of new media development. This article makes an inventory of 5 years of digital divide research (2000–2005). The article focuses on three questions. (1) To what type of inequality does the digital divide concept refer? (2) What is new about the inequality of access to and use of ICTs as compared to other scarce material and immaterial resources? (3) Do new types of inequality exist or rise in the information society? The results of digital divide research are classified under four successive types of access: motivational, physical, skills and usage. A shift of attention from physical access to skills and usage is observed. In terms of physical access the divide seems to be closing in the most developed countries; concerning digital skills and the use of applications the divide persists or widens. Among the shortcomings of digital divide research are its lack of theory, conceptual definition, interdisciplinary approach, qualitative research and longitudinal research. #","author":[{"dropping-particle":"","family":"Dijk","given":"Jan A G M","non-dropping-particle":"van","parse-names":false,"suffix":""}],"container-title":"Poetics","id":"ITEM-1","issue":"4-5","issued":{"date-parts":[["2006"]]},"page":"221 - 235","title":"Digital divide research, achievements and shortcomings","type":"article-journal","volume":"34"},"uris":["http://www.mendeley.com/documents/?uuid=81626349-ddbe-3702-8994-c9efb377b397"]},{"id":"ITEM-2","itemData":{"DOI":"10.1080/1369118X.2015.1084023","ISSN":"14684462","abstract":"ABSTRACTBased on the idea that Internet use can be conceptualized in terms of depth (frequency) and width (differentiated) uses of the Web, this study explored how socio-demographic factors and digital skills are related to frequency and types of Facebook use among young adults. It used a face-to-face representative survey conducted in the three main urban areas of Chile among a sample of 18-to 29-year olds. The results found that men and more educated young people had higher levels of skills, confirming that the so-called ‘digital natives’ are not a monolithic group. They also revealed that digital skills did not predict frequency of Facebook use. Furthermore, lower educated young people tended to use Facebook more frequently. Although these results go against the long-established digital divide research, traditional digital gaps emerged when types of use were analyzed. While more educated and skillful individuals tended to use Facebook for informational and mobilizing purposes, socio-demographic factors...","author":[{"dropping-particle":"","family":"Correa","given":"Teresa","non-dropping-particle":"","parse-names":false,"suffix":""}],"container-title":"Information Communication and Society","id":"ITEM-2","issue":"8","issued":{"date-parts":[["2016"]]},"page":"1095-1107","title":"Digital skills and social media use: how Internet skills are related to different types of Facebook use among ‘digital natives’","type":"article-journal","volume":"19"},"uris":["http://www.mendeley.com/documents/?uuid=487b665a-3545-479d-8afb-aa5e78296f9d"]},{"id":"ITEM-3","itemData":{"DOI":"10.1016/j.diggeo.2022.100041","ISSN":"26663783","abstract":"Digital exclusion and poverty are understood to be closely linked, and existing literature on the topic makes clear that the contexts of people's lives shape their experiences of digital exclusion in important ways. Indeed, the online and offline aspects of life are in many regards inextricable. As such, this paper focuses on the complex relationship between digital exclusion and poverty, and examines how a range of spatial, material, and temporal factors related to experiences of poverty shape opportunities to use the internet. Drawing upon qualitative data from interviews with coaches and participants in a programme which seeks to help low-income people find work, manage their money, and get online, the paper traces several key ways in which different aspects of poverty – including housing inequality – coalesce to shape experiences of digital exclusion. In doing so, the paper argues that examining the ways in which these seemingly offline aspects of poverty affect opportunities to use the internet provides an opportunity to enhance understandings of exactly how digital exclusion is manifested for those experiencing poverty.","author":[{"dropping-particle":"","family":"Holmes","given":"Hannah","non-dropping-particle":"","parse-names":false,"suffix":""},{"dropping-particle":"","family":"Burgess","given":"Gemma","non-dropping-particle":"","parse-names":false,"suffix":""}],"container-title":"Digital Geography and Society","id":"ITEM-3","issued":{"date-parts":[["2022"]]},"page":"1-9","title":"Digital exclusion and poverty in the UK: How structural inequality shapes experiences of getting online","type":"article-journal","volume":"3"},"uris":["http://www.mendeley.com/documents/?uuid=a5d72ba4-5729-45de-a51e-ca85c70c5384"]}],"mendeley":{"formattedCitation":"(Holmes &amp; Burgess, 2022; Correa, 2016; van Dijk, 2006)","plainTextFormattedCitation":"(Holmes &amp; Burgess, 2022; Correa, 2016; van Dijk, 2006)","previouslyFormattedCitation":"(Holmes &amp; Burgess, 2022; Correa, 2016; van Dijk, 2006)"},"properties":{"noteIndex":0},"schema":"https://github.com/citation-style-language/schema/raw/master/csl-citation.json"}</w:instrText>
      </w:r>
      <w:r w:rsidRPr="00AC1B06">
        <w:rPr>
          <w:rFonts w:ascii="Calibri" w:hAnsi="Calibri" w:cs="Calibri"/>
        </w:rPr>
        <w:fldChar w:fldCharType="separate"/>
      </w:r>
      <w:r w:rsidRPr="00AC1B06">
        <w:rPr>
          <w:rFonts w:ascii="Calibri" w:hAnsi="Calibri" w:cs="Calibri"/>
          <w:noProof/>
        </w:rPr>
        <w:t>(Holmes &amp; Burgess, 2022; Correa, 2016; van Dijk, 2006)</w:t>
      </w:r>
      <w:r w:rsidRPr="00AC1B06">
        <w:rPr>
          <w:rFonts w:ascii="Calibri" w:hAnsi="Calibri" w:cs="Calibri"/>
        </w:rPr>
        <w:fldChar w:fldCharType="end"/>
      </w:r>
      <w:r w:rsidRPr="00AC1B06">
        <w:rPr>
          <w:rFonts w:ascii="Calibri" w:hAnsi="Calibri" w:cs="Calibri"/>
        </w:rPr>
        <w:t>.</w:t>
      </w:r>
    </w:p>
    <w:p w14:paraId="3F3996F9" w14:textId="77777777" w:rsidR="004F6AAA" w:rsidRPr="00AC1B06" w:rsidRDefault="004F6AAA" w:rsidP="00A0151B">
      <w:pPr>
        <w:pStyle w:val="NormalWeb"/>
        <w:spacing w:before="0" w:after="0" w:line="360" w:lineRule="auto"/>
        <w:rPr>
          <w:rFonts w:ascii="Calibri" w:hAnsi="Calibri" w:cs="Calibri"/>
        </w:rPr>
      </w:pPr>
    </w:p>
    <w:p w14:paraId="23DF8E13" w14:textId="5B53532A" w:rsidR="00787F73" w:rsidRDefault="00C84401" w:rsidP="004F6AAA">
      <w:pPr>
        <w:rPr>
          <w:rFonts w:cs="Calibri"/>
          <w:color w:val="000000"/>
        </w:rPr>
      </w:pPr>
      <w:r w:rsidRPr="00010F12">
        <w:rPr>
          <w:rFonts w:cs="Calibri"/>
        </w:rPr>
        <w:t>While</w:t>
      </w:r>
      <w:r w:rsidR="00742FB7" w:rsidRPr="00AC1B06">
        <w:rPr>
          <w:rFonts w:cs="Calibri"/>
          <w:color w:val="000000"/>
        </w:rPr>
        <w:t xml:space="preserve"> there are individuals who do not have access to technology (hardware, internet, or social media), there are also people who choose not to engage online; these are known as </w:t>
      </w:r>
      <w:r w:rsidR="00742FB7" w:rsidRPr="00AC1B06">
        <w:rPr>
          <w:rFonts w:cs="Calibri"/>
          <w:i/>
          <w:iCs/>
        </w:rPr>
        <w:t>digital excluders</w:t>
      </w:r>
      <w:r w:rsidR="00742FB7" w:rsidRPr="00AC1B06">
        <w:rPr>
          <w:rFonts w:cs="Calibri"/>
        </w:rPr>
        <w:t xml:space="preserve"> </w:t>
      </w:r>
      <w:r w:rsidR="00742FB7" w:rsidRPr="00AC1B06">
        <w:rPr>
          <w:rFonts w:cs="Calibri"/>
        </w:rPr>
        <w:fldChar w:fldCharType="begin" w:fldLock="1"/>
      </w:r>
      <w:r w:rsidR="00742FB7" w:rsidRPr="00AC1B06">
        <w:rPr>
          <w:rFonts w:cs="Calibri"/>
        </w:rPr>
        <w:instrText>ADDIN CSL_CITATION {"citationItems":[{"id":"ITEM-1","itemData":{"DOI":"10.1080/1369118X.2017.1353640","ISSN":"14684462","abstract":"Researchers on digital divides have identified demographic and attitudinal factors associated with inequalities in access, skills, and patterns of Internet use, primarily around age, income, and education. While attitudes and values of Internet users and non-users have been studied over the years, they have rarely been used to identify broader ‘cultures of the Internet’ and their role in shaping digital divides. This paper builds on research in Britain, which focused on patterns of attitudes underpinning Internet cultures, to explore the degree that similar or distinctive cultures have developed in the USA, and whether and how they are useful in explaining digital divides. This study utilizes original data drawn from a 2016 telephone survey of residents across the State of Michigan that adapts survey items and methods from the Oxford Internet Survey (OxIS) of Britain. Based on these survey responses, the paper identifies and describes the cultures of the Internet among Michigan residents, as an exploratory case of the US as a whole, and shows how these cultures shape digital divides in Internet and social media use across this one American state. The robustness and explanatory power of these explorations of Internet cultures argues for further research on the United States and other nations.","author":[{"dropping-particle":"","family":"Dutton","given":"William H.","non-dropping-particle":"","parse-names":false,"suffix":""},{"dropping-particle":"","family":"Reisdorf","given":"Bianca C.","non-dropping-particle":"","parse-names":false,"suffix":""}],"container-title":"Information Communication and Society","id":"ITEM-1","issue":"1","issued":{"date-parts":[["2019"]]},"page":"18-38","title":"Cultural divides and digital inequalities: attitudes shaping Internet and social media divides","type":"article-journal","volume":"22"},"uris":["http://www.mendeley.com/documents/?uuid=129e5c56-5f9d-4f4f-9f23-28ff3433f44b"]}],"mendeley":{"formattedCitation":"(Dutton &amp; Reisdorf, 2019)","plainTextFormattedCitation":"(Dutton &amp; Reisdorf, 2019)","previouslyFormattedCitation":"(Dutton &amp; Reisdorf, 2019)"},"properties":{"noteIndex":0},"schema":"https://github.com/citation-style-language/schema/raw/master/csl-citation.json"}</w:instrText>
      </w:r>
      <w:r w:rsidR="00742FB7" w:rsidRPr="00AC1B06">
        <w:rPr>
          <w:rFonts w:cs="Calibri"/>
        </w:rPr>
        <w:fldChar w:fldCharType="separate"/>
      </w:r>
      <w:r w:rsidR="00742FB7" w:rsidRPr="00AC1B06">
        <w:rPr>
          <w:rFonts w:cs="Calibri"/>
          <w:noProof/>
        </w:rPr>
        <w:t>(Dutton &amp; Reisdorf, 2019)</w:t>
      </w:r>
      <w:r w:rsidR="00742FB7" w:rsidRPr="00AC1B06">
        <w:rPr>
          <w:rFonts w:cs="Calibri"/>
        </w:rPr>
        <w:fldChar w:fldCharType="end"/>
      </w:r>
      <w:r w:rsidR="00742FB7" w:rsidRPr="00AC1B06">
        <w:rPr>
          <w:rFonts w:cs="Calibri"/>
          <w:color w:val="000000"/>
        </w:rPr>
        <w:t xml:space="preserve">. In both the LR and HR groups I was told of people they knew who chose to not engage with social media, not through a lack of access, but </w:t>
      </w:r>
      <w:r w:rsidR="00D13269">
        <w:rPr>
          <w:rFonts w:cs="Calibri"/>
          <w:color w:val="000000"/>
        </w:rPr>
        <w:t>because</w:t>
      </w:r>
      <w:r w:rsidR="00D13269" w:rsidRPr="00AC1B06">
        <w:rPr>
          <w:rFonts w:cs="Calibri"/>
          <w:color w:val="000000"/>
        </w:rPr>
        <w:t xml:space="preserve"> </w:t>
      </w:r>
      <w:r w:rsidR="00742FB7" w:rsidRPr="00AC1B06">
        <w:rPr>
          <w:rFonts w:cs="Calibri"/>
          <w:color w:val="000000"/>
        </w:rPr>
        <w:t>they did not want to: </w:t>
      </w:r>
    </w:p>
    <w:p w14:paraId="35BA77F1" w14:textId="77777777" w:rsidR="004F6AAA" w:rsidRPr="00AC1B06" w:rsidRDefault="004F6AAA" w:rsidP="004F6AAA">
      <w:pPr>
        <w:rPr>
          <w:rFonts w:cs="Calibri"/>
        </w:rPr>
      </w:pPr>
    </w:p>
    <w:p w14:paraId="525A3B7A" w14:textId="77777777" w:rsidR="00787F73" w:rsidRDefault="00742FB7" w:rsidP="00A0151B">
      <w:pPr>
        <w:pStyle w:val="NormalWeb"/>
        <w:spacing w:before="0" w:after="240" w:line="360" w:lineRule="auto"/>
        <w:ind w:left="720" w:right="663"/>
        <w:rPr>
          <w:rFonts w:ascii="Calibri" w:hAnsi="Calibri" w:cs="Calibri"/>
          <w:color w:val="000000"/>
        </w:rPr>
      </w:pPr>
      <w:r w:rsidRPr="00AC1B06">
        <w:rPr>
          <w:rStyle w:val="QuoteChar"/>
          <w:rFonts w:cs="Calibri"/>
        </w:rPr>
        <w:t>“Council put their update out on Facebook. Well, that’s cracking if you’ve got Facebook. But not everybody does, do they? And I don’t just mean the elderly and some young people (…) My boss is late 40s, early 50s, doesn’t use Facebook, just does not interest him.”</w:t>
      </w:r>
      <w:r w:rsidRPr="00AC1B06">
        <w:rPr>
          <w:rFonts w:ascii="Calibri" w:hAnsi="Calibri" w:cs="Calibri"/>
          <w:color w:val="000000"/>
        </w:rPr>
        <w:t xml:space="preserve"> (P1LR</w:t>
      </w:r>
      <w:r w:rsidR="0044412F">
        <w:rPr>
          <w:rFonts w:ascii="Calibri" w:hAnsi="Calibri" w:cs="Calibri"/>
          <w:color w:val="000000"/>
        </w:rPr>
        <w:t xml:space="preserve"> focus group</w:t>
      </w:r>
      <w:r w:rsidRPr="00AC1B06">
        <w:rPr>
          <w:rFonts w:ascii="Calibri" w:hAnsi="Calibri" w:cs="Calibri"/>
          <w:color w:val="000000"/>
        </w:rPr>
        <w:t>)</w:t>
      </w:r>
    </w:p>
    <w:p w14:paraId="1D65CEA0" w14:textId="77777777" w:rsidR="004F6AAA" w:rsidRPr="00AC1B06" w:rsidRDefault="004F6AAA" w:rsidP="00A0151B">
      <w:pPr>
        <w:pStyle w:val="NormalWeb"/>
        <w:spacing w:before="0" w:after="0" w:line="360" w:lineRule="auto"/>
        <w:ind w:left="720" w:right="663"/>
        <w:rPr>
          <w:rFonts w:ascii="Calibri" w:hAnsi="Calibri" w:cs="Calibri"/>
        </w:rPr>
      </w:pPr>
    </w:p>
    <w:p w14:paraId="6AA8A995" w14:textId="77777777" w:rsidR="00787F73" w:rsidRDefault="00742FB7" w:rsidP="004F6AAA">
      <w:pPr>
        <w:rPr>
          <w:rFonts w:cs="Calibri"/>
          <w:color w:val="000000"/>
        </w:rPr>
      </w:pPr>
      <w:r w:rsidRPr="00AC1B06">
        <w:rPr>
          <w:rFonts w:cs="Calibri"/>
        </w:rPr>
        <w:t>The variation of levels of social media engagement within a community highlights the need to understand the demo</w:t>
      </w:r>
      <w:r w:rsidRPr="00AC1B06">
        <w:rPr>
          <w:rFonts w:cs="Calibri"/>
          <w:color w:val="000000"/>
        </w:rPr>
        <w:t>graphics and community composition of the community, as there are certain demographics who are less likely to engage online, such as older adults. Not only are people choosing not to engage online, but the social interactions on social media can put people off engaging online, as one participant put it:</w:t>
      </w:r>
    </w:p>
    <w:p w14:paraId="6A085D03" w14:textId="77777777" w:rsidR="004F6AAA" w:rsidRPr="00AC1B06" w:rsidRDefault="004F6AAA" w:rsidP="004F6AAA">
      <w:pPr>
        <w:rPr>
          <w:rFonts w:cs="Calibri"/>
        </w:rPr>
      </w:pPr>
    </w:p>
    <w:p w14:paraId="637EB968" w14:textId="77777777" w:rsidR="00787F73" w:rsidRDefault="00742FB7" w:rsidP="00866155">
      <w:pPr>
        <w:pStyle w:val="NormalWeb"/>
        <w:spacing w:before="240" w:after="240" w:line="360" w:lineRule="auto"/>
        <w:ind w:left="720" w:right="663"/>
        <w:rPr>
          <w:rFonts w:ascii="Calibri" w:hAnsi="Calibri" w:cs="Calibri"/>
          <w:color w:val="000000"/>
        </w:rPr>
      </w:pPr>
      <w:r w:rsidRPr="00AC1B06">
        <w:rPr>
          <w:rStyle w:val="QuoteChar"/>
          <w:rFonts w:cs="Calibri"/>
        </w:rPr>
        <w:t>“…there has to be a health warning with social media because it can do intended and unintended damage.”</w:t>
      </w:r>
      <w:r w:rsidRPr="00AC1B06">
        <w:rPr>
          <w:rFonts w:ascii="Calibri" w:hAnsi="Calibri" w:cs="Calibri"/>
          <w:color w:val="000000"/>
        </w:rPr>
        <w:t xml:space="preserve"> (LR interview) </w:t>
      </w:r>
    </w:p>
    <w:p w14:paraId="2955C380" w14:textId="77777777" w:rsidR="004F6AAA" w:rsidRPr="00AC1B06" w:rsidRDefault="004F6AAA" w:rsidP="00A0151B">
      <w:pPr>
        <w:pStyle w:val="NormalWeb"/>
        <w:spacing w:before="0" w:after="0" w:line="360" w:lineRule="auto"/>
        <w:ind w:left="720" w:right="663"/>
        <w:rPr>
          <w:rFonts w:ascii="Calibri" w:hAnsi="Calibri" w:cs="Calibri"/>
        </w:rPr>
      </w:pPr>
    </w:p>
    <w:p w14:paraId="0F9BA36D" w14:textId="77777777" w:rsidR="00787F73" w:rsidRDefault="00742FB7" w:rsidP="00866155">
      <w:pPr>
        <w:pStyle w:val="Heading4"/>
        <w:spacing w:line="360" w:lineRule="auto"/>
      </w:pPr>
      <w:bookmarkStart w:id="1089" w:name="_Toc158371033"/>
      <w:bookmarkStart w:id="1090" w:name="_Toc153205140"/>
      <w:r>
        <w:lastRenderedPageBreak/>
        <w:t>Challenges of social media</w:t>
      </w:r>
      <w:bookmarkEnd w:id="1089"/>
      <w:bookmarkEnd w:id="1090"/>
    </w:p>
    <w:p w14:paraId="60D93B80" w14:textId="26AA5431" w:rsidR="00787F73" w:rsidRDefault="00C84401" w:rsidP="00866155">
      <w:pPr>
        <w:pStyle w:val="NormalWeb"/>
        <w:spacing w:before="240" w:after="240" w:line="360" w:lineRule="auto"/>
        <w:rPr>
          <w:rFonts w:ascii="Calibri" w:hAnsi="Calibri" w:cs="Calibri"/>
          <w:color w:val="000000"/>
        </w:rPr>
      </w:pPr>
      <w:r w:rsidRPr="00010F12">
        <w:rPr>
          <w:rFonts w:ascii="Calibri" w:hAnsi="Calibri" w:cs="Calibri"/>
        </w:rPr>
        <w:t>While</w:t>
      </w:r>
      <w:r w:rsidR="00742FB7" w:rsidRPr="00AC1B06">
        <w:rPr>
          <w:rFonts w:ascii="Calibri" w:hAnsi="Calibri" w:cs="Calibri"/>
          <w:color w:val="000000"/>
        </w:rPr>
        <w:t xml:space="preserve"> the sense of community in the LR location was greatest in the aftermath of the flood, there were also other challenges. Through observations of the local community Facebook groups since early 2020, I was aware that the original community Facebook page was shut down and a new one created. It was through conducting the interviews and focus groups I discovered the disagreement which had taken place on the original Facebook group. The conflict was based on the allocation of funds which had been raised by the surrounding communities. The fundraising had been conducted by the community, and was organised by community members, and as such there were no regulations with the allocations of funds, which led to disagreements in the village over who should receive the money with some feeling that the wealthier members of the village should not receive any. These online disagreements impacted village life with people stepping down from the local council and others putting themselves up for election. The original Facebook group, which had been a great support for the community during the flood was then deleted, and a new one created. I was told that the new Facebook page did not have the same animosity as the first, as the people who had been most vocal in the arguments had not joined the new group, and had excluded themselves from the community discourse, but still resided in the village, suggesting internal conflict and different interpretations of the community logic </w:t>
      </w:r>
      <w:r w:rsidR="00742FB7" w:rsidRPr="00AC1B06">
        <w:rPr>
          <w:rFonts w:ascii="Calibri" w:hAnsi="Calibri" w:cs="Calibri"/>
        </w:rPr>
        <w:fldChar w:fldCharType="begin" w:fldLock="1"/>
      </w:r>
      <w:r w:rsidR="00E37B0E">
        <w:rPr>
          <w:rFonts w:ascii="Calibri" w:hAnsi="Calibri" w:cs="Calibri"/>
          <w:color w:val="000000"/>
        </w:rPr>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Process","type":"book"},"uris":["http://www.mendeley.com/documents/?uuid=7afe7588-cd0b-4a95-b78a-3214c1130169"]}],"mendeley":{"formattedCitation":"(Thornton, Ocasio, &amp; Lounsbury, 2012)","plainTextFormattedCitation":"(Thornton, Ocasio, &amp; Lounsbury, 2012)","previouslyFormattedCitation":"(Thornton, Ocasio, &amp; Lounsbury, 2012)"},"properties":{"noteIndex":0},"schema":"https://github.com/citation-style-language/schema/raw/master/csl-citation.json"}</w:instrText>
      </w:r>
      <w:r w:rsidR="00742FB7" w:rsidRPr="00AC1B06">
        <w:rPr>
          <w:rFonts w:ascii="Calibri" w:hAnsi="Calibri" w:cs="Calibri"/>
          <w:color w:val="000000"/>
        </w:rPr>
        <w:fldChar w:fldCharType="separate"/>
      </w:r>
      <w:r w:rsidR="007C12EC" w:rsidRPr="007C12EC">
        <w:rPr>
          <w:rFonts w:ascii="Calibri" w:hAnsi="Calibri" w:cs="Calibri"/>
          <w:noProof/>
          <w:color w:val="000000"/>
        </w:rPr>
        <w:t>(Thornton, Ocasio, &amp; Lounsbury, 2012)</w:t>
      </w:r>
      <w:r w:rsidR="00742FB7" w:rsidRPr="00AC1B06">
        <w:rPr>
          <w:rFonts w:ascii="Calibri" w:hAnsi="Calibri" w:cs="Calibri"/>
          <w:color w:val="000000"/>
        </w:rPr>
        <w:fldChar w:fldCharType="end"/>
      </w:r>
      <w:r w:rsidR="00742FB7" w:rsidRPr="00AC1B06">
        <w:rPr>
          <w:rFonts w:ascii="Calibri" w:hAnsi="Calibri" w:cs="Calibri"/>
          <w:color w:val="000000"/>
        </w:rPr>
        <w:t xml:space="preserve">. This continual use of social media, even after community disagreements indicates the presence of a social media logic </w:t>
      </w:r>
      <w:r w:rsidR="00742FB7" w:rsidRPr="00AC1B06">
        <w:rPr>
          <w:rFonts w:ascii="Calibri" w:hAnsi="Calibri" w:cs="Calibri"/>
        </w:rPr>
        <w:fldChar w:fldCharType="begin" w:fldLock="1"/>
      </w:r>
      <w:r w:rsidR="00742FB7" w:rsidRPr="00AC1B06">
        <w:rPr>
          <w:rFonts w:ascii="Calibri" w:hAnsi="Calibri" w:cs="Calibri"/>
          <w:color w:val="000000"/>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sidR="00742FB7" w:rsidRPr="00AC1B06">
        <w:rPr>
          <w:rFonts w:ascii="Calibri" w:hAnsi="Calibri" w:cs="Calibri"/>
          <w:color w:val="000000"/>
        </w:rPr>
        <w:fldChar w:fldCharType="separate"/>
      </w:r>
      <w:r w:rsidR="00742FB7" w:rsidRPr="00AC1B06">
        <w:rPr>
          <w:rFonts w:ascii="Calibri" w:hAnsi="Calibri" w:cs="Calibri"/>
          <w:noProof/>
          <w:color w:val="000000"/>
        </w:rPr>
        <w:t>(van Dijck &amp; Poell, 2013)</w:t>
      </w:r>
      <w:r w:rsidR="00742FB7" w:rsidRPr="00AC1B06">
        <w:rPr>
          <w:rFonts w:ascii="Calibri" w:hAnsi="Calibri" w:cs="Calibri"/>
          <w:color w:val="000000"/>
        </w:rPr>
        <w:fldChar w:fldCharType="end"/>
      </w:r>
      <w:r w:rsidR="00742FB7" w:rsidRPr="00AC1B06">
        <w:rPr>
          <w:rFonts w:ascii="Calibri" w:hAnsi="Calibri" w:cs="Calibri"/>
          <w:color w:val="000000"/>
        </w:rPr>
        <w:t xml:space="preserve"> combined with a community logic, with the community ensuring that they are on social media. When discussing the use of Facebook groups, the participants noted:</w:t>
      </w:r>
    </w:p>
    <w:p w14:paraId="216F19C6" w14:textId="77777777" w:rsidR="004F6AAA" w:rsidRPr="00AC1B06" w:rsidRDefault="004F6AAA" w:rsidP="00A0151B">
      <w:pPr>
        <w:pStyle w:val="NormalWeb"/>
        <w:spacing w:before="0" w:after="0" w:line="360" w:lineRule="auto"/>
        <w:rPr>
          <w:rFonts w:ascii="Calibri" w:hAnsi="Calibri" w:cs="Calibri"/>
        </w:rPr>
      </w:pPr>
    </w:p>
    <w:p w14:paraId="08CC9277" w14:textId="77777777" w:rsidR="00787F73" w:rsidRPr="00AC1B06" w:rsidRDefault="00742FB7" w:rsidP="00866155">
      <w:pPr>
        <w:pStyle w:val="Quote"/>
        <w:spacing w:line="360" w:lineRule="auto"/>
        <w:ind w:left="862" w:right="663"/>
        <w:jc w:val="left"/>
        <w:rPr>
          <w:rFonts w:cs="Calibri"/>
          <w:szCs w:val="24"/>
        </w:rPr>
      </w:pPr>
      <w:r w:rsidRPr="00AC1B06">
        <w:rPr>
          <w:rFonts w:cs="Calibri"/>
          <w:color w:val="000000"/>
          <w:szCs w:val="24"/>
        </w:rPr>
        <w:t>“</w:t>
      </w:r>
      <w:r w:rsidRPr="00AC1B06">
        <w:rPr>
          <w:rFonts w:cs="Calibri"/>
          <w:szCs w:val="24"/>
        </w:rPr>
        <w:t>P2: Some of the stuff that you see on Facebook is quite inflammatory and not very pleasant. But we don’t tend to get that on the village...</w:t>
      </w:r>
    </w:p>
    <w:p w14:paraId="2B1BA777" w14:textId="77777777" w:rsidR="00787F73" w:rsidRDefault="00742FB7" w:rsidP="00866155">
      <w:pPr>
        <w:pStyle w:val="Quote"/>
        <w:spacing w:line="360" w:lineRule="auto"/>
        <w:ind w:left="862" w:right="862"/>
        <w:jc w:val="both"/>
        <w:rPr>
          <w:rFonts w:cs="Calibri"/>
          <w:szCs w:val="24"/>
        </w:rPr>
      </w:pPr>
      <w:r w:rsidRPr="00AC1B06">
        <w:rPr>
          <w:rFonts w:cs="Calibri"/>
          <w:szCs w:val="24"/>
        </w:rPr>
        <w:t>P1: Not the new one” (LR</w:t>
      </w:r>
      <w:r w:rsidR="0044412F">
        <w:rPr>
          <w:rFonts w:cs="Calibri"/>
          <w:szCs w:val="24"/>
        </w:rPr>
        <w:t xml:space="preserve"> focus group</w:t>
      </w:r>
      <w:r w:rsidRPr="00AC1B06">
        <w:rPr>
          <w:rFonts w:cs="Calibri"/>
          <w:szCs w:val="24"/>
        </w:rPr>
        <w:t>)</w:t>
      </w:r>
    </w:p>
    <w:p w14:paraId="3D4899B1" w14:textId="77777777" w:rsidR="00956DFB" w:rsidRPr="00A0151B" w:rsidRDefault="00956DFB" w:rsidP="00A0151B">
      <w:pPr>
        <w:rPr>
          <w:lang w:eastAsia="en-US"/>
        </w:rPr>
      </w:pPr>
    </w:p>
    <w:p w14:paraId="5EF4379A" w14:textId="77777777" w:rsidR="00787F73" w:rsidRPr="00AC1B06" w:rsidRDefault="00742FB7" w:rsidP="00866155">
      <w:pPr>
        <w:pStyle w:val="NormalWeb"/>
        <w:spacing w:before="240" w:after="240" w:line="360" w:lineRule="auto"/>
        <w:rPr>
          <w:rFonts w:ascii="Calibri" w:hAnsi="Calibri" w:cs="Calibri"/>
        </w:rPr>
      </w:pPr>
      <w:r w:rsidRPr="00AC1B06">
        <w:rPr>
          <w:rFonts w:ascii="Calibri" w:hAnsi="Calibri" w:cs="Calibri"/>
          <w:color w:val="000000"/>
        </w:rPr>
        <w:t>Which was also echoed during my interview with the flood warden:</w:t>
      </w:r>
    </w:p>
    <w:p w14:paraId="5A05F1B3" w14:textId="77777777" w:rsidR="00787F73" w:rsidRDefault="00742FB7" w:rsidP="00866155">
      <w:pPr>
        <w:pStyle w:val="NormalWeb"/>
        <w:spacing w:before="240" w:after="240" w:line="360" w:lineRule="auto"/>
        <w:ind w:left="720" w:right="663"/>
        <w:rPr>
          <w:rFonts w:ascii="Calibri" w:hAnsi="Calibri" w:cs="Calibri"/>
          <w:color w:val="000000"/>
        </w:rPr>
      </w:pPr>
      <w:r w:rsidRPr="00AC1B06">
        <w:rPr>
          <w:rStyle w:val="QuoteChar"/>
          <w:rFonts w:cs="Calibri"/>
        </w:rPr>
        <w:lastRenderedPageBreak/>
        <w:t>“I have to say that my general impression was there was as much or more damage done by Facebook (…) the community spirit. It’s there, and it’s still there. But some people have been badly damaged by the use of Facebook. (…) but I would say that some of the time during the follow-up to flooding, it did as much or more damage than it did good.”</w:t>
      </w:r>
      <w:r w:rsidRPr="00AC1B06">
        <w:rPr>
          <w:rFonts w:ascii="Calibri" w:hAnsi="Calibri" w:cs="Calibri"/>
          <w:color w:val="000000"/>
        </w:rPr>
        <w:t xml:space="preserve"> (LR interview)</w:t>
      </w:r>
    </w:p>
    <w:p w14:paraId="2DA7A7EF" w14:textId="77777777" w:rsidR="00956DFB" w:rsidRPr="00AC1B06" w:rsidRDefault="00956DFB" w:rsidP="00A0151B">
      <w:pPr>
        <w:pStyle w:val="NormalWeb"/>
        <w:spacing w:before="0" w:after="0" w:line="360" w:lineRule="auto"/>
        <w:ind w:left="720" w:right="663"/>
        <w:rPr>
          <w:rFonts w:ascii="Calibri" w:hAnsi="Calibri" w:cs="Calibri"/>
        </w:rPr>
      </w:pPr>
    </w:p>
    <w:p w14:paraId="3116494E" w14:textId="77777777" w:rsidR="00787F73" w:rsidRDefault="00742FB7" w:rsidP="00866155">
      <w:pPr>
        <w:pStyle w:val="NormalWeb"/>
        <w:spacing w:before="240" w:after="240" w:line="360" w:lineRule="auto"/>
        <w:rPr>
          <w:rFonts w:ascii="Calibri" w:hAnsi="Calibri" w:cs="Calibri"/>
          <w:color w:val="000000"/>
        </w:rPr>
      </w:pPr>
      <w:r w:rsidRPr="00AC1B06">
        <w:rPr>
          <w:rFonts w:ascii="Calibri" w:hAnsi="Calibri" w:cs="Calibri"/>
          <w:color w:val="000000"/>
        </w:rPr>
        <w:t xml:space="preserve">This argument indicated that while there was a strong sense of community spirit and agency in the initial aftermath of the flooding, the lack of professionalism and organisation within the community surrounding the finances had impacted on the cohesion of the group. This implied that not all the community took the view that the fundraising was institutionally legitimate, and this created conflict within the community. The argument which took place within the recovery phase of the disaster can be viewed as influencing the building of community resilience as it influenced the local politics and changed the community organisation (Patel et al., 2017). This also created a challenge for SYFR, who had wanted to utilise local Facebook groups for part of their risk communication. However, these Facebook groups can be established and deleted quickly, making it challenging to keep track of the local politics and the different members of the community in each group. </w:t>
      </w:r>
    </w:p>
    <w:p w14:paraId="50EF8D36" w14:textId="77777777" w:rsidR="00956DFB" w:rsidRPr="00AC1B06" w:rsidRDefault="00956DFB" w:rsidP="00A0151B">
      <w:pPr>
        <w:pStyle w:val="NormalWeb"/>
        <w:spacing w:before="0" w:after="0" w:line="360" w:lineRule="auto"/>
        <w:rPr>
          <w:rFonts w:ascii="Calibri" w:hAnsi="Calibri" w:cs="Calibri"/>
        </w:rPr>
      </w:pPr>
    </w:p>
    <w:p w14:paraId="3F06F0AE" w14:textId="6F6C9EC9" w:rsidR="00787F73" w:rsidRDefault="00742FB7" w:rsidP="00A0151B">
      <w:pPr>
        <w:pStyle w:val="NormalWeb"/>
        <w:spacing w:before="0" w:after="0" w:line="360" w:lineRule="auto"/>
        <w:rPr>
          <w:rFonts w:ascii="Calibri" w:hAnsi="Calibri" w:cs="Calibri"/>
          <w:color w:val="000000"/>
        </w:rPr>
      </w:pPr>
      <w:r w:rsidRPr="00AC1B06">
        <w:rPr>
          <w:rFonts w:ascii="Calibri" w:hAnsi="Calibri" w:cs="Calibri"/>
          <w:color w:val="000000"/>
        </w:rPr>
        <w:t xml:space="preserve">In both focus groups, it was evident that </w:t>
      </w:r>
      <w:r w:rsidR="00C84401">
        <w:rPr>
          <w:rFonts w:ascii="Calibri" w:hAnsi="Calibri" w:cs="Calibri"/>
          <w:color w:val="000000"/>
        </w:rPr>
        <w:t>while</w:t>
      </w:r>
      <w:r w:rsidR="00C84401" w:rsidRPr="00AC1B06">
        <w:rPr>
          <w:rFonts w:ascii="Calibri" w:hAnsi="Calibri" w:cs="Calibri"/>
          <w:color w:val="000000"/>
        </w:rPr>
        <w:t xml:space="preserve"> </w:t>
      </w:r>
      <w:r w:rsidRPr="00AC1B06">
        <w:rPr>
          <w:rFonts w:ascii="Calibri" w:hAnsi="Calibri" w:cs="Calibri"/>
          <w:color w:val="000000"/>
        </w:rPr>
        <w:t xml:space="preserve">they had experienced benefits of social media, there was a growing concern over some of the interactions that people were having on social media. This seemed to be during disaster periods, when discussing the use of social media during the COVID-19 pandemic, participant 1 in the HR group noted: </w:t>
      </w:r>
    </w:p>
    <w:p w14:paraId="417CF248" w14:textId="77777777" w:rsidR="00956DFB" w:rsidRPr="00AC1B06" w:rsidRDefault="00956DFB" w:rsidP="00A0151B">
      <w:pPr>
        <w:pStyle w:val="NormalWeb"/>
        <w:spacing w:before="0" w:after="0" w:line="360" w:lineRule="auto"/>
        <w:rPr>
          <w:rFonts w:ascii="Calibri" w:hAnsi="Calibri" w:cs="Calibri"/>
        </w:rPr>
      </w:pPr>
    </w:p>
    <w:p w14:paraId="084C17A9" w14:textId="77777777" w:rsidR="00787F73" w:rsidRPr="00AC1B06" w:rsidRDefault="00742FB7" w:rsidP="00866155">
      <w:pPr>
        <w:pStyle w:val="TranscriptTableText"/>
        <w:spacing w:line="360" w:lineRule="auto"/>
        <w:ind w:left="720" w:right="663"/>
        <w:rPr>
          <w:rFonts w:ascii="Calibri" w:hAnsi="Calibri" w:cs="Calibri"/>
          <w:sz w:val="24"/>
          <w:szCs w:val="24"/>
        </w:rPr>
      </w:pPr>
      <w:r w:rsidRPr="00AC1B06">
        <w:rPr>
          <w:rStyle w:val="QuoteChar"/>
          <w:rFonts w:cs="Calibri"/>
          <w:szCs w:val="24"/>
        </w:rPr>
        <w:t>“(…) for 18 months social media, people have been emotional, they’ve been angry, they’ve been upset, they might have been super positive, but people have been at the extremes of emotion, to my mind. They’ve not been how they were for 10 years before that since I joined social media, it all changed, everything became a little bit hypersensitive.”</w:t>
      </w:r>
      <w:r w:rsidRPr="00AC1B06">
        <w:rPr>
          <w:rFonts w:ascii="Calibri" w:hAnsi="Calibri" w:cs="Calibri"/>
          <w:sz w:val="24"/>
          <w:szCs w:val="24"/>
        </w:rPr>
        <w:t xml:space="preserve"> (P1HR</w:t>
      </w:r>
      <w:r w:rsidR="0044412F">
        <w:rPr>
          <w:rFonts w:ascii="Calibri" w:hAnsi="Calibri" w:cs="Calibri"/>
          <w:sz w:val="24"/>
          <w:szCs w:val="24"/>
        </w:rPr>
        <w:t xml:space="preserve"> focus group</w:t>
      </w:r>
      <w:r w:rsidRPr="00AC1B06">
        <w:rPr>
          <w:rFonts w:ascii="Calibri" w:hAnsi="Calibri" w:cs="Calibri"/>
          <w:sz w:val="24"/>
          <w:szCs w:val="24"/>
        </w:rPr>
        <w:t>)</w:t>
      </w:r>
    </w:p>
    <w:p w14:paraId="6A3456B4" w14:textId="35146DB2" w:rsidR="00787F73" w:rsidRDefault="00742FB7" w:rsidP="00866155">
      <w:pPr>
        <w:pStyle w:val="NormalWeb"/>
        <w:spacing w:before="240" w:after="240" w:line="360" w:lineRule="auto"/>
        <w:rPr>
          <w:rFonts w:ascii="Calibri" w:hAnsi="Calibri" w:cs="Calibri"/>
          <w:color w:val="000000"/>
        </w:rPr>
      </w:pPr>
      <w:r w:rsidRPr="00AC1B06">
        <w:rPr>
          <w:rFonts w:ascii="Calibri" w:hAnsi="Calibri" w:cs="Calibri"/>
          <w:color w:val="000000"/>
        </w:rPr>
        <w:lastRenderedPageBreak/>
        <w:t xml:space="preserve">This suggests that </w:t>
      </w:r>
      <w:r w:rsidR="00C84401">
        <w:rPr>
          <w:rFonts w:ascii="Calibri" w:hAnsi="Calibri" w:cs="Calibri"/>
          <w:color w:val="000000"/>
        </w:rPr>
        <w:t>while</w:t>
      </w:r>
      <w:r w:rsidR="00C84401" w:rsidRPr="00AC1B06">
        <w:rPr>
          <w:rFonts w:ascii="Calibri" w:hAnsi="Calibri" w:cs="Calibri"/>
          <w:color w:val="000000"/>
        </w:rPr>
        <w:t xml:space="preserve"> </w:t>
      </w:r>
      <w:r w:rsidRPr="00AC1B06">
        <w:rPr>
          <w:rFonts w:ascii="Calibri" w:hAnsi="Calibri" w:cs="Calibri"/>
          <w:color w:val="000000"/>
        </w:rPr>
        <w:t>social media and community networks can be a source of social support and emotional connection prior and during disasters</w:t>
      </w:r>
      <w:r w:rsidRPr="00AC1B06">
        <w:rPr>
          <w:rFonts w:ascii="Calibri" w:hAnsi="Calibri" w:cs="Calibri"/>
        </w:rPr>
        <w:t xml:space="preserve"> </w:t>
      </w:r>
      <w:r w:rsidRPr="00AC1B06">
        <w:rPr>
          <w:rFonts w:ascii="Calibri" w:hAnsi="Calibri" w:cs="Calibri"/>
        </w:rPr>
        <w:fldChar w:fldCharType="begin" w:fldLock="1"/>
      </w:r>
      <w:r w:rsidR="00974B75" w:rsidRPr="00AC1B06">
        <w:rPr>
          <w:rFonts w:ascii="Calibri" w:hAnsi="Calibri" w:cs="Calibri"/>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id":"ITEM-2","itemData":{"DOI":"10.1002/1520-6629(198601)14:1&lt;6::AID-JCOP2290140103&gt;3.0.CO;2-I","ISBN":"00904392","ISSN":"00904392","PMID":"276","author":[{"dropping-particle":"","family":"McMillan","given":"David W","non-dropping-particle":"","parse-names":false,"suffix":""},{"dropping-particle":"","family":"Chavis","given":"David M","non-dropping-particle":"","parse-names":false,"suffix":""}],"container-title":"Journal of Community Psychology","id":"ITEM-2","issue":"1","issued":{"date-parts":[["1986"]]},"page":"6-23","title":"Sense of Community - A Definition and Theory","type":"article-journal","volume":"14"},"uris":["http://www.mendeley.com/documents/?uuid=e5c3724d-bbdc-4841-bd4c-f274a8efad00"]}],"mendeley":{"formattedCitation":"(Sanyal &amp; Routray, 2016; McMillan &amp; Chavis, 1986)","plainTextFormattedCitation":"(Sanyal &amp; Routray, 2016; McMillan &amp; Chavis, 1986)","previouslyFormattedCitation":"(Sanyal &amp; Routray, 2016; McMillan &amp; Chavis, 1986)"},"properties":{"noteIndex":0},"schema":"https://github.com/citation-style-language/schema/raw/master/csl-citation.json"}</w:instrText>
      </w:r>
      <w:r w:rsidRPr="00AC1B06">
        <w:rPr>
          <w:rFonts w:ascii="Calibri" w:hAnsi="Calibri" w:cs="Calibri"/>
        </w:rPr>
        <w:fldChar w:fldCharType="separate"/>
      </w:r>
      <w:r w:rsidRPr="00AC1B06">
        <w:rPr>
          <w:rFonts w:ascii="Calibri" w:hAnsi="Calibri" w:cs="Calibri"/>
          <w:noProof/>
        </w:rPr>
        <w:t>(Sanyal &amp; Routray, 2016; McMillan &amp; Chavis, 1986)</w:t>
      </w:r>
      <w:r w:rsidRPr="00AC1B06">
        <w:rPr>
          <w:rFonts w:ascii="Calibri" w:hAnsi="Calibri" w:cs="Calibri"/>
        </w:rPr>
        <w:fldChar w:fldCharType="end"/>
      </w:r>
      <w:r w:rsidRPr="00AC1B06">
        <w:rPr>
          <w:rFonts w:ascii="Calibri" w:hAnsi="Calibri" w:cs="Calibri"/>
          <w:color w:val="000000"/>
        </w:rPr>
        <w:t xml:space="preserve">, there can also be negative elements to social media. These arguments and challenges which took place online were more visible to the whole community, which then involves people who may not have otherwise been involved in the arguments. The disagreements remained mostly online, suggesting that people felt more comfortable sharing their grievances with each other via an online platform than in person. As discussed in the community mentality section above, the emotions and community logics within the community will influence a community’s threat and risk appraisal, and therefore while it can benefit communities, it can also provide harm. </w:t>
      </w:r>
    </w:p>
    <w:p w14:paraId="7DE4ABE6" w14:textId="77777777" w:rsidR="00956DFB" w:rsidRPr="00AC1B06" w:rsidRDefault="00956DFB" w:rsidP="00A0151B">
      <w:pPr>
        <w:pStyle w:val="NormalWeb"/>
        <w:spacing w:before="0" w:after="0" w:line="360" w:lineRule="auto"/>
        <w:rPr>
          <w:rFonts w:ascii="Calibri" w:hAnsi="Calibri" w:cs="Calibri"/>
        </w:rPr>
      </w:pPr>
    </w:p>
    <w:p w14:paraId="74EF2CF3" w14:textId="77777777" w:rsidR="00787F73" w:rsidRDefault="00742FB7" w:rsidP="00866155">
      <w:pPr>
        <w:pStyle w:val="Heading2"/>
      </w:pPr>
      <w:bookmarkStart w:id="1091" w:name="_Hlk161675617"/>
      <w:bookmarkStart w:id="1092" w:name="_Toc153205141"/>
      <w:bookmarkStart w:id="1093" w:name="_Toc158371034"/>
      <w:bookmarkStart w:id="1094" w:name="_Toc153554365"/>
      <w:bookmarkStart w:id="1095" w:name="_Toc158371094"/>
      <w:bookmarkStart w:id="1096" w:name="_Toc193367264"/>
      <w:bookmarkEnd w:id="1091"/>
      <w:r>
        <w:t>6.4: Discussion &amp; Conclusion</w:t>
      </w:r>
      <w:bookmarkEnd w:id="1092"/>
      <w:bookmarkEnd w:id="1093"/>
      <w:bookmarkEnd w:id="1094"/>
      <w:bookmarkEnd w:id="1095"/>
      <w:bookmarkEnd w:id="1096"/>
    </w:p>
    <w:p w14:paraId="169C6642" w14:textId="77777777" w:rsidR="00787F73" w:rsidRDefault="00742FB7" w:rsidP="00866155">
      <w:pPr>
        <w:spacing w:before="240"/>
        <w:rPr>
          <w:rFonts w:cs="Calibri"/>
          <w:color w:val="000000"/>
        </w:rPr>
      </w:pPr>
      <w:r w:rsidRPr="00AC1B06">
        <w:rPr>
          <w:rFonts w:cs="Calibri"/>
          <w:color w:val="000000"/>
        </w:rPr>
        <w:t>This chapter aimed to answer RQ3</w:t>
      </w:r>
      <w:r w:rsidRPr="00AC1B06">
        <w:rPr>
          <w:rFonts w:cs="Calibri"/>
          <w:i/>
          <w:iCs/>
          <w:color w:val="000000"/>
        </w:rPr>
        <w:t xml:space="preserve"> (w</w:t>
      </w:r>
      <w:r w:rsidRPr="00AC1B06">
        <w:rPr>
          <w:rFonts w:cs="Calibri"/>
          <w:i/>
          <w:iCs/>
          <w:lang w:eastAsia="ko-KR"/>
        </w:rPr>
        <w:t>ho is engaging with SYFR’s content on social media and what implications are there for community resilience?)</w:t>
      </w:r>
      <w:r w:rsidRPr="00AC1B06">
        <w:rPr>
          <w:rFonts w:cs="Calibri"/>
          <w:lang w:eastAsia="ko-KR"/>
        </w:rPr>
        <w:t xml:space="preserve"> which aimed to support the thesis aim to </w:t>
      </w:r>
      <w:r w:rsidRPr="00AC1B06">
        <w:rPr>
          <w:rFonts w:cs="Calibri"/>
          <w:i/>
          <w:iCs/>
          <w:lang w:eastAsia="ko-KR"/>
        </w:rPr>
        <w:t>critically evaluate the use of social media and its ability to develop community disaster resilience (CDR)</w:t>
      </w:r>
      <w:r w:rsidRPr="00AC1B06">
        <w:rPr>
          <w:rFonts w:cs="Calibri"/>
          <w:lang w:eastAsia="ko-KR"/>
        </w:rPr>
        <w:t xml:space="preserve">. </w:t>
      </w:r>
      <w:r w:rsidRPr="00AC1B06">
        <w:rPr>
          <w:rFonts w:cs="Calibri"/>
          <w:color w:val="000000"/>
        </w:rPr>
        <w:t>This was done through examining who was engaging with SYFR’s content on social media and what implications their messaging can have on community resilience. It presents an examination of data collected from SYFR’s Twitter account, as well as two community case studies which aimed to gain an “offline” understanding of the community’s sense of resilience and some of the crucial factors related to their resilience.</w:t>
      </w:r>
    </w:p>
    <w:p w14:paraId="6E2E6290" w14:textId="77777777" w:rsidR="00956DFB" w:rsidRPr="00AC1B06" w:rsidRDefault="00956DFB" w:rsidP="00866155">
      <w:pPr>
        <w:spacing w:before="240"/>
        <w:rPr>
          <w:rFonts w:cs="Calibri"/>
        </w:rPr>
      </w:pPr>
    </w:p>
    <w:p w14:paraId="090BAEBF" w14:textId="6BC1160F" w:rsidR="00787F73" w:rsidRDefault="00742FB7" w:rsidP="00866155">
      <w:pPr>
        <w:pStyle w:val="NormalWeb"/>
        <w:spacing w:before="240" w:after="240" w:line="360" w:lineRule="auto"/>
        <w:rPr>
          <w:rFonts w:ascii="Calibri" w:hAnsi="Calibri" w:cs="Calibri"/>
          <w:color w:val="000000"/>
        </w:rPr>
      </w:pPr>
      <w:r w:rsidRPr="00AC1B06">
        <w:rPr>
          <w:rFonts w:ascii="Calibri" w:hAnsi="Calibri" w:cs="Calibri"/>
          <w:color w:val="000000"/>
        </w:rPr>
        <w:t xml:space="preserve">To answer research question 3, this chapter began with an examination of the followers of SYFR on Twitter, focusing on their followers and their profile locations, as well as accounts that actively engaged with the SYFR account. </w:t>
      </w:r>
      <w:r w:rsidR="00673B70" w:rsidRPr="00AC1B06">
        <w:rPr>
          <w:rFonts w:ascii="Calibri" w:hAnsi="Calibri" w:cs="Calibri"/>
          <w:color w:val="000000"/>
        </w:rPr>
        <w:t>These findings</w:t>
      </w:r>
      <w:r w:rsidRPr="00AC1B06">
        <w:rPr>
          <w:rFonts w:ascii="Calibri" w:hAnsi="Calibri" w:cs="Calibri"/>
          <w:color w:val="000000"/>
        </w:rPr>
        <w:t xml:space="preserve"> suggest that SYFR have followers all around the world, not just in South Yorkshire, which reflects that any social media metrics, such as reach, can be misleading as their messaging on social media are not only reaching people within South Yorkshire which is where their statutory obligation lies. </w:t>
      </w:r>
      <w:r w:rsidR="00C84401" w:rsidRPr="00010F12">
        <w:rPr>
          <w:rFonts w:ascii="Calibri" w:hAnsi="Calibri" w:cs="Calibri"/>
        </w:rPr>
        <w:t>While</w:t>
      </w:r>
      <w:r w:rsidRPr="00AC1B06">
        <w:rPr>
          <w:rFonts w:ascii="Calibri" w:hAnsi="Calibri" w:cs="Calibri"/>
          <w:color w:val="000000"/>
        </w:rPr>
        <w:t xml:space="preserve"> their followers are around the world, the engagement data did suggest that those who actively engage with their material (i.e., they use @SYFR to engage in conversation) are </w:t>
      </w:r>
      <w:r w:rsidRPr="00AC1B06">
        <w:rPr>
          <w:rFonts w:ascii="Calibri" w:hAnsi="Calibri" w:cs="Calibri"/>
          <w:color w:val="000000"/>
        </w:rPr>
        <w:lastRenderedPageBreak/>
        <w:t xml:space="preserve">mostly local accounts. Further research should assess the account types of people who are following and engaging with them, to better ascertain whether they are individuals, business, or spam accounts. This focus on metrics is evidence of a NPM logic, namely the focus on quantification as a method of performance indicator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Journal","id":"ITEM-1","issue":"1/2","issued":{"date-parts":[["2019"]]},"page":"134-151","title":"The impact of new public management through outsourcing on the management of government information: The case of Sweden","type":"article-journal","volume":"29"},"uris":["http://www.mendeley.com/documents/?uuid=4524732a-155c-4c93-922f-cd3a912b45c2"]},{"id":"ITEM-2","itemData":{"DOI":"10.1016/0361-3682(93)E0001-W","ISSN":"03613682","abstract":"Changes in public sector accounting in a number of OECD countries over the 1980s were central to the rise of the \"New Public Management\" (NPM) and its associated doctrines of public accountability and organizational best practice. This paper discusses the rise of NPM as an alternative to the tradition of public accountability embodied in progressive-era public administration ideas. It argues that, in spite of allegations of internationalization and the adoption of a new global paradigm in public management, there was considerable variation in the extent to which different OECD countries adopted NPM over the 1980s. It further argues that conventional explanations of the rise of NPM (\"Englishness\", party political incumbency, economic performance record and government size) seem hard to sustain even from a relatively brief inspection of such cross-national data as are available, and that an explanation based on initial endowment may give us a different perspective on those changes. © 1995.","author":[{"dropping-particle":"","family":"Hood","given":"Christopher","non-dropping-particle":"","parse-names":false,"suffix":""}],"container-title":"Accounting, Organizations and Society","id":"ITEM-2","issue":"2/3","issued":{"date-parts":[["1995"]]},"page":"93-109","title":"The \"New Public Management\" in the 1980s: Variations on a theme","type":"article-journal","volume":"20"},"uris":["http://www.mendeley.com/documents/?uuid=7c2fc97b-7560-4c74-9a7c-9a0f44e73949"]}],"mendeley":{"formattedCitation":"(Svärd, 2019; Hood, 1995)","plainTextFormattedCitation":"(Svärd, 2019; Hood, 1995)","previouslyFormattedCitation":"(Svärd, 2019; Hood, 1995)"},"properties":{"noteIndex":0},"schema":"https://github.com/citation-style-language/schema/raw/master/csl-citation.json"}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(Svärd, 2019; Hood, 1995)</w:t>
      </w:r>
      <w:r w:rsidRPr="00AC1B06">
        <w:rPr>
          <w:rFonts w:ascii="Calibri" w:hAnsi="Calibri" w:cs="Calibri"/>
          <w:color w:val="000000"/>
        </w:rPr>
        <w:fldChar w:fldCharType="end"/>
      </w:r>
      <w:r w:rsidRPr="00AC1B06">
        <w:rPr>
          <w:rFonts w:ascii="Calibri" w:hAnsi="Calibri" w:cs="Calibri"/>
          <w:color w:val="000000"/>
        </w:rPr>
        <w:t>.</w:t>
      </w:r>
    </w:p>
    <w:p w14:paraId="2A611883" w14:textId="77777777" w:rsidR="00956DFB" w:rsidRPr="00AC1B06" w:rsidRDefault="00956DFB" w:rsidP="00866155">
      <w:pPr>
        <w:pStyle w:val="NormalWeb"/>
        <w:spacing w:before="240" w:after="240" w:line="360" w:lineRule="auto"/>
        <w:rPr>
          <w:rFonts w:ascii="Calibri" w:hAnsi="Calibri" w:cs="Calibri"/>
        </w:rPr>
      </w:pPr>
    </w:p>
    <w:p w14:paraId="203B94C7" w14:textId="5221ED85" w:rsidR="00787F73" w:rsidRDefault="00742FB7" w:rsidP="00866155">
      <w:pPr>
        <w:pStyle w:val="NormalWeb"/>
        <w:spacing w:before="240" w:after="240" w:line="360" w:lineRule="auto"/>
        <w:rPr>
          <w:rFonts w:ascii="Calibri" w:hAnsi="Calibri" w:cs="Calibri"/>
          <w:color w:val="000000"/>
        </w:rPr>
      </w:pPr>
      <w:r w:rsidRPr="00AC1B06">
        <w:rPr>
          <w:rFonts w:ascii="Calibri" w:hAnsi="Calibri" w:cs="Calibri"/>
          <w:color w:val="000000"/>
        </w:rPr>
        <w:t xml:space="preserve">This chapter also examined community data. This was carried out through two case studies, where one was categorised as a high-risk location by the SYFR and the other classified as a low-risk location by the SYFR. The categorisation of communities as low and high risk poses some challenges, firstly due to quantification of vulnerability. The literature notes that vulnerability is often linked to marginalised members of society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{"citationItems":[{"id":"ITEM-1","itemData":{"DOI":"10.4324/9780203848531","ISBN":"0203848535","abstract":"In this essay I develop the concept of vulnerability in order to argue for a more responsive state and a more egalitarian society. I argue that vulnerability is—and should be understood to be—universal and constant, inherent in the human condition. The vulnerability approach I propose is an alternative to traditional equal protection analysis; it is a “post-identity” inquiry in that it is not focused only on discrimination against defined groups, but concerned with privilege and favor conferred on limited segments of the population by the state and broader society through their institutions. As such, vulnerability analysis concentrates on the structures our society has and will establish to manage our common vulnerabilities. This approach has the potential to move us beyond the stifling confines of current discrimination-based models toward a more substantive vision of equality.","author":[{"dropping-particle":"","family":"Fineman","given":"Martha Albertson","non-dropping-particle":"","parse-names":false,"suffix":""}],"container-title":"Yale Journal of Law &amp; Feminism","id":"ITEM-1","issue":"1","issued":{"date-parts":[["2008"]]},"page":"1-23","title":"The vulnerable subject: Anchoring Equality in the human condition","type":"article-journal","volume":"20"},"uris":["http://www.mendeley.com/documents/?uuid=1f7897a0-330a-49d9-8024-cccf967dc0db"]},{"id":"ITEM-2","itemData":{"DOI":"10.1016/j.gloenvcha.2006.02.006","ISBN":"09593780","ISSN":"09593780","PMID":"17411427","abstract":"This paper reviews research traditions of vulnerability to environmental change and the challenges for present vulnerability research in integrating with the domains of resilience and adaptation. Vulnerability is the state of susceptibility to harm from exposure to stresses associated with environmental and social change and from the absence of capacity to adapt. Antecedent traditions include theories of vulnerability as entitlement failure and theories of hazard. Each of these areas has contributed to present formulations of vulnerability to environmental change as a characteristic of social-ecological systems linked to resilience. Research on vulnerability to the impacts of climate change spans all the antecedent and successor traditions. The challenges for vulnerability research are to develop robust and credible measures, to incorporate diverse methods that include perceptions of risk and vulnerability, and to incorporate governance research on the mechanisms that mediate vulnerability and promote adaptive action and resilience. These challenges are common to the domains of vulnerability, adaptation and resilience and form common ground for consilience and integration. © 2006 Elsevier Ltd. All rights reserved.","author":[{"dropping-particle":"","family":"Adger","given":"W. Neil","non-dropping-particle":"","parse-names":false,"suffix":""}],"container-title":"Global Environmental Change","id":"ITEM-2","issue":"3","issued":{"date-parts":[["2006"]]},"page":"268-281","title":"Vulnerability","type":"article-journal","volume":"16"},"uris":["http://www.mendeley.com/documents/?uuid=383408ed-e762-472c-99bf-36ab300b3b49"]},{"id":"ITEM-3","itemData":{"DOI":"10.1080/03003930.2019.1571999","ISSN":"17439388","abstract":"Scholars and practitioners have long noted the importance of community resilience to disaster recovery and environmental risk mitigation. Yet we know surprisingly little about how local residents perceive the resilience of their local communities, including how closely their perceptions align with objective measures of resilience or whether these perceptions affect community engagement and support for resilience building activities and policies. In this paper, we utilise the results of public opinion surveys of residents of four Texas coastal shoreline counties (Brazoria, Nueces, Galveston, and Cameron) to address this gap in the literature. The results reveal that perceptions of community preparedness largely reflect social trust and disaster awareness while perceptions of recovery reflect perceived risks and preparedness.","author":[{"dropping-particle":"","family":"Goidel","given":"Kirby","non-dropping-particle":"","parse-names":false,"suffix":""},{"dropping-particle":"","family":"Horney","given":"Jennifer A.","non-dropping-particle":"","parse-names":false,"suffix":""},{"dropping-particle":"","family":"Kellstedt","given":"Paul M.","non-dropping-particle":"","parse-names":false,"suffix":""},{"dropping-particle":"","family":"Sullivan","given":"Emily","non-dropping-particle":"","parse-names":false,"suffix":""},{"dropping-particle":"","family":"Brown","given":"Stephanie E.V.","non-dropping-particle":"","parse-names":false,"suffix":""}],"container-title":"Local Government Studies","id":"ITEM-3","issue":"3","issued":{"date-parts":[["2019"]]},"page":"413-432","title":"Perceptions of disaster resilience in four Texas coastal communities","type":"article-journal","volume":"45"},"uris":["http://www.mendeley.com/documents/?uuid=4033a276-60f2-438f-a557-0a555c5f96f4"]},{"id":"ITEM-4","itemData":{"DOI":"10.1111/j.1477-8947.2006.00121.x","author":[{"dropping-particle":"","family":"Ziervogel","given":"Gina","non-dropping-particle":"","parse-names":false,"suffix":""},{"dropping-particle":"","family":"Ziervogel","given":"Gina","non-dropping-particle":"","parse-names":false,"suffix":""},{"dropping-particle":"","family":"Bharwani","given":"Sukaina","non-dropping-particle":"","parse-names":false,"suffix":""},{"dropping-particle":"","family":"Downing","given":"Thomas E","non-dropping-particle":"","parse-names":false,"suffix":""}],"container-title":"Natural Resources Forum","id":"ITEM-4","issue":"4","issued":{"date-parts":[["2006"]]},"page":"294-305","title":"Adapting to climate variability: Pumpkins , people and policy","type":"article-journal","volume":"30"},"uris":["http://www.mendeley.com/documents/?uuid=148cfadc-3126-4f67-80a7-2ef57058d685"]},{"id":"ITEM-5","itemData":{"DOI":"10.3763/ehaz.1999.0103","author":[{"dropping-particle":"","family":"Tobin","given":"Graham A","non-dropping-particle":"","parse-names":false,"suffix":""}],"container-title":"Environmental Hazards","id":"ITEM-5","issue":"1","issued":{"date-parts":[["1999"]]},"page":"13-25","title":"Sustainability and community resilience: the holy grail of hazards planning?","type":"article-journal","volume":"1"},"uris":["http://www.mendeley.com/documents/?uuid=8bf65d46-8190-4198-bf8c-df8928e2d260"]},{"id":"ITEM-6","itemData":{"DOI":"10.1016/j.ijdrr.2022.103039","ISSN":"22124209","abstract":"In 2015 the Sendai Framework for Disaster Risk Reduction (SFDRR) was introduced to continue the process of developing a resilient world. Like other countries, Bangladesh is also committed to introducing interventions according to the goals, objectives, and priorities of the SFDRR which will enable the communities to reduce the risk of disasters. To have a comprehensive disaster management mechanism the first strategy would be having proper policies and plans. It is clear that Bangladesh already has progressed in developing inclusive and robust disaster management policies and plans. In this study, the available disaster management policies are reviewed in the light of priorities of the SFDRR. The objective is to analyze the current condition of the policies and gaps in the policies which should be addressed for achieving SFDRR goals. The study identified that the policies and plans are well designed aligning with the priorities of SFDRR but there are still scopes of improvement. Bangladesh needs to focus on all priority areas in updating these plans and policies with a special focus on priority areas 3 and 4. Investing more in disaster risk reduction and introducing a ‘Build Back Better’ approach will help to introduce a resilient country.","author":[{"dropping-particle":"","family":"Chisty","given":"Musabber Ali","non-dropping-particle":"","parse-names":false,"suffix":""},{"dropping-particle":"","family":"Muhtasim","given":"Maliha","non-dropping-particle":"","parse-names":false,"suffix":""},{"dropping-particle":"","family":"Biva","given":"Fariha Jahin","non-dropping-particle":"","parse-names":false,"suffix":""},{"dropping-particle":"","family":"Dola","given":"Syeda Erena Alam","non-dropping-particle":"","parse-names":false,"suffix":""},{"dropping-particle":"","family":"Khan","given":"Nesar Ahmed","non-dropping-particle":"","parse-names":false,"suffix":""}],"container-title":"International Journal of Disaster Risk Reduction","id":"ITEM-6","issued":{"date-parts":[["2022"]]},"page":"1-9","title":"Sendai Framework for Disaster Risk Reduction (SFDRR) and disaster management policies in Bangladesh: How far we have come to make communities resilient?","type":"article-journal","volume":"76"},"uris":["http://www.mendeley.com/documents/?uuid=255364b7-603f-4028-a3e6-0ca236d4bed5"]},{"id":"ITEM-7","itemData":{"DOI":"10.1016/j.scs.2021.103577","ISSN":"22106707","abstract":"The use of social media platforms such as Twitter significantly increases during natural hazards. With the emergence of several social media platforms over the past decade, many studies have investigated the applications of these platforms during calamities. This study presents a comprehensive spatiotemporal analysis of textual content from millions of tweets shared on Twitter during Hurricane Harvey (2017) across several affected counties in southeast Texas. We propose a new Hazard Risk Awareness (HRA) Index, which considers multiple factors, including the number of tweets, population, internet use rate, and natural hazard characteristics per geographic location. We then map the HRA Index across southeast Texas. Utilizing a dataset of 18 million tweets, we employ Natural Language Processing (NLP) along with a set of statistical techniques to perform analysis on the textual data generated by Twitter users during Hurricane Harvey. This enables us to subdivide the tweet contents into several categories per county that would inform crisis management during the event. In all, our study provides valuable information at the county level before, during, and after Harvey that could significantly help disaster managers and responders to minimize the consequences of the event and improve the preparedness of the residents for it. Since HRA is derived based on the meteorological observations and some demographic information, depending on the availability of such dataset and the nature of the hazard (i.e., flood, wildfire, hurricane, and earthquake), this index can be calculated and employed for assessing the risk awareness of a community exposed to either of these natural hazards.","author":[{"dropping-particle":"","family":"Karimiziarani","given":"Mohammadsepehr","non-dropping-particle":"","parse-names":false,"suffix":""},{"dropping-particle":"","family":"Jafarzadegan","given":"Keighobad","non-dropping-particle":"","parse-names":false,"suffix":""},{"dropping-particle":"","family":"Abbaszadeh","given":"Peyman","non-dropping-particle":"","parse-names":false,"suffix":""},{"dropping-particle":"","family":"Shao","given":"Wanyun","non-dropping-particle":"","parse-names":false,"suffix":""},{"dropping-particle":"","family":"Moradkhani","given":"Hamid","non-dropping-particle":"","parse-names":false,"suffix":""}],"container-title":"Sustainable Cities and Society","id":"ITEM-7","issued":{"date-parts":[["2022"]]},"page":"1 - 11","title":"Hazard risk awareness and disaster management: Extracting the information content of twitter data","type":"article-journal","volume":"77"},"uris":["http://www.mendeley.com/documents/?uuid=0ff52b10-5251-4279-bf6e-c55c0e18363a"]},{"id":"ITEM-8","itemData":{"DOI":"10.1111/disa.12481","ISSN":"14677717","PMID":"33760259","abstract":"While social vulnerability in the face of disasters has received increasing academic attention, relatively little is known about the extent to which that knowledge is reflected in practice by institutions involved in disaster management. This study charts the practitioners’ approaches to disaster vulnerability in eight European countries: Belgium; Estonia; Finland; Germany; Hungary; Italy; Norway; and Sweden. It draws on a comparative document analysis and 95 interviews with disaster managers and reveals significant differences across countries in terms of the ontology of vulnerability, its sources, reduction strategies, and the allocation of related duties. To advance the debate and provide conceptual clarity, we put forward a heuristic model to facilitate different understandings of vulnerability along the dimensions of human agency and technological structures as well as social support through private relations and state actors. This could guide risk analysis of and planning for major hazards and could be adapted further to particular types of disasters.","author":[{"dropping-particle":"","family":"Orru","given":"Kati","non-dropping-particle":"","parse-names":false,"suffix":""},{"dropping-particle":"","family":"Hansson","given":"Sten","non-dropping-particle":"","parse-names":false,"suffix":""},{"dropping-particle":"","family":"Gabel","given":"Friedrich","non-dropping-particle":"","parse-names":false,"suffix":""},{"dropping-particle":"","family":"Tammpuu","given":"Piia","non-dropping-particle":"","parse-names":false,"suffix":""},{"dropping-particle":"","family":"Krüger","given":"Marco","non-dropping-particle":"","parse-names":false,"suffix":""},{"dropping-particle":"","family":"Savadori","given":"Lucia","non-dropping-particle":"","parse-names":false,"suffix":""},{"dropping-particle":"","family":"Meyer","given":"Sunniva Frislid","non-dropping-particle":"","parse-names":false,"suffix":""},{"dropping-particle":"","family":"Torpan","given":"Sten","non-dropping-particle":"","parse-names":false,"suffix":""},{"dropping-particle":"","family":"Jukarainen","given":"Pirjo","non-dropping-particle":"","parse-names":false,"suffix":""},{"dropping-particle":"","family":"Schieffelers","given":"Abriel","non-dropping-particle":"","parse-names":false,"suffix":""},{"dropping-particle":"","family":"Lovasz","given":"Gabriella","non-dropping-particle":"","parse-names":false,"suffix":""},{"dropping-particle":"","family":"Rhinard","given":"Mark","non-dropping-particle":"","parse-names":false,"suffix":""}],"container-title":"Disasters","id":"ITEM-8","issue":"3","issued":{"date-parts":[["2022"]]},"page":"742-767","title":"Approaches to ‘vulnerability’ in eight European disaster management systems","type":"article-journal","volume":"46"},"uris":["http://www.mendeley.com/documents/?uuid=4a100afe-8fc2-485b-97f9-cd7bfb391421"]}],"mendeley":{"formattedCitation":"(Chisty et al., 2022; Karimiziarani et al., 2022; Orru et al., 2022; Goidel et al., 2019; Fineman, 2008; Adger, 2006; Ziervogel et al., 2006; Tobin, 1999)","plainTextFormattedCitation":"(Chisty et al., 2022; Karimiziarani et al., 2022; Orru et al., 2022; Goidel et al., 2019; Fineman, 2008; Adger, 2006; Ziervogel et al., 2006; Tobin, 1999)","previouslyFormattedCitation":"(Chisty et al., 2022; Karimiziarani et al., 2022; Orru et al., 2022; Goidel et al., 2019; Fineman, 2008; Adger, 2006; Ziervogel et al., 2006; Tobin, 1999)"},"properties":{"noteIndex":0},"schema":"https://github.com/citation-style-language/schema/raw/master/csl-citation.json"}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(Chisty et al., 2022; Karimiziarani et al., 2022; Orru et al., 2022; Goidel et al., 2019; Fineman, 2008; Adger, 2006; Ziervogel et al., 2006; Tobin, 1999)</w:t>
      </w:r>
      <w:r w:rsidRPr="00AC1B06">
        <w:rPr>
          <w:rFonts w:ascii="Calibri" w:hAnsi="Calibri" w:cs="Calibri"/>
          <w:color w:val="000000"/>
        </w:rPr>
        <w:fldChar w:fldCharType="end"/>
      </w:r>
      <w:r w:rsidRPr="00AC1B06">
        <w:rPr>
          <w:rFonts w:ascii="Calibri" w:hAnsi="Calibri" w:cs="Calibri"/>
          <w:color w:val="000000"/>
        </w:rPr>
        <w:t xml:space="preserve">, therefore this quantification of risk within a geographical area will not highlight the nuance of community composition, with perhaps some vulnerable members of society within a low risk area being missed. Secondly, SYFR’s </w:t>
      </w:r>
      <w:r w:rsidR="00912954">
        <w:rPr>
          <w:rFonts w:ascii="Calibri" w:hAnsi="Calibri" w:cs="Calibri"/>
          <w:color w:val="000000"/>
        </w:rPr>
        <w:t>C</w:t>
      </w:r>
      <w:r w:rsidR="00912954" w:rsidRPr="00AC1B06">
        <w:rPr>
          <w:rFonts w:ascii="Calibri" w:hAnsi="Calibri" w:cs="Calibri"/>
          <w:color w:val="000000"/>
        </w:rPr>
        <w:t xml:space="preserve">ommunity </w:t>
      </w:r>
      <w:r w:rsidR="00912954">
        <w:rPr>
          <w:rFonts w:ascii="Calibri" w:hAnsi="Calibri" w:cs="Calibri"/>
          <w:color w:val="000000"/>
        </w:rPr>
        <w:t>R</w:t>
      </w:r>
      <w:r w:rsidR="00912954" w:rsidRPr="00AC1B06">
        <w:rPr>
          <w:rFonts w:ascii="Calibri" w:hAnsi="Calibri" w:cs="Calibri"/>
          <w:color w:val="000000"/>
        </w:rPr>
        <w:t xml:space="preserve">isk </w:t>
      </w:r>
      <w:r w:rsidR="00912954">
        <w:rPr>
          <w:rFonts w:ascii="Calibri" w:hAnsi="Calibri" w:cs="Calibri"/>
          <w:color w:val="000000"/>
        </w:rPr>
        <w:t>M</w:t>
      </w:r>
      <w:r w:rsidR="00912954" w:rsidRPr="00AC1B06">
        <w:rPr>
          <w:rFonts w:ascii="Calibri" w:hAnsi="Calibri" w:cs="Calibri"/>
          <w:color w:val="000000"/>
        </w:rPr>
        <w:t xml:space="preserve">odel </w:t>
      </w:r>
      <w:r w:rsidRPr="00AC1B06">
        <w:rPr>
          <w:rFonts w:ascii="Calibri" w:hAnsi="Calibri" w:cs="Calibri"/>
          <w:color w:val="000000"/>
        </w:rPr>
        <w:t xml:space="preserve">formula (figure 27) again highlights the FRSA (2004) institutional logic, with the focus on data for dwelling fires. </w:t>
      </w:r>
      <w:r w:rsidR="00C84401" w:rsidRPr="00010F12">
        <w:rPr>
          <w:rFonts w:ascii="Calibri" w:hAnsi="Calibri" w:cs="Calibri"/>
        </w:rPr>
        <w:t>While</w:t>
      </w:r>
      <w:r w:rsidRPr="00AC1B06">
        <w:rPr>
          <w:rFonts w:ascii="Calibri" w:hAnsi="Calibri" w:cs="Calibri"/>
          <w:color w:val="000000"/>
        </w:rPr>
        <w:t xml:space="preserve"> </w:t>
      </w:r>
      <w:r w:rsidR="00BC0904" w:rsidRPr="00AC1B06">
        <w:rPr>
          <w:rFonts w:ascii="Calibri" w:hAnsi="Calibri" w:cs="Calibri"/>
          <w:color w:val="000000"/>
        </w:rPr>
        <w:t>these</w:t>
      </w:r>
      <w:r w:rsidRPr="00AC1B06">
        <w:rPr>
          <w:rFonts w:ascii="Calibri" w:hAnsi="Calibri" w:cs="Calibri"/>
          <w:color w:val="000000"/>
        </w:rPr>
        <w:t xml:space="preserve"> data can support SYFR to assess the risk for fires and arrange their service around this need, SYFR do not only respond to fires. Under the CCA (2004) they need to respond to a variety of other risks, some of which have specific localities (such as riverine or coastal flooding), but others do not have a specific geographical location (pandemics, terrorism). This shows a dominance of the FRSA (2004) over the CCA (2004), with the risk of fire being prioritised over other risks, again highlighting the centrality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{"citationItems":[{"id":"ITEM-1","itemData":{"author":[{"dropping-particle":"","family":"Besharov","given":"Marya L.","non-dropping-particle":"","parse-names":false,"suffix":""},{"dropping-particle":"","family":"Smith","given":"Wendy K.","non-dropping-particle":"","parse-names":false,"suffix":""}],"container-title":"The Academy of Management Review","id":"ITEM-1","issue":"3","issued":{"date-parts":[["2014"]]},"page":"364-381","title":"Multiple Institutional Logics In Organizations: Explaining Their Varied Nature And Implications","type":"article-journal","volume":"39"},"uris":["http://www.mendeley.com/documents/?uuid=57cbbf37-05be-48a2-ad9d-1095a2aeb8e5"]}],"mendeley":{"formattedCitation":"(Besharov &amp; Smith, 2014)","plainTextFormattedCitation":"(Besharov &amp; Smith, 2014)","previouslyFormattedCitation":"(Besharov &amp; Smith, 2014)"},"properties":{"noteIndex":0},"schema":"https://github.com/citation-style-language/schema/raw/master/csl-citation.json"}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(Besharov &amp; Smith, 2014)</w:t>
      </w:r>
      <w:r w:rsidRPr="00AC1B06">
        <w:rPr>
          <w:rFonts w:ascii="Calibri" w:hAnsi="Calibri" w:cs="Calibri"/>
          <w:color w:val="000000"/>
        </w:rPr>
        <w:fldChar w:fldCharType="end"/>
      </w:r>
      <w:r w:rsidRPr="00AC1B06">
        <w:rPr>
          <w:rFonts w:ascii="Calibri" w:hAnsi="Calibri" w:cs="Calibri"/>
          <w:color w:val="000000"/>
        </w:rPr>
        <w:t xml:space="preserve"> of the FRSA logic to the structure and strategy of SYFR.</w:t>
      </w:r>
    </w:p>
    <w:p w14:paraId="1666D15E" w14:textId="77777777" w:rsidR="00956DFB" w:rsidRPr="00AC1B06" w:rsidRDefault="00956DFB" w:rsidP="00866155">
      <w:pPr>
        <w:pStyle w:val="NormalWeb"/>
        <w:spacing w:before="240" w:after="240" w:line="360" w:lineRule="auto"/>
        <w:rPr>
          <w:rFonts w:ascii="Calibri" w:hAnsi="Calibri" w:cs="Calibri"/>
        </w:rPr>
      </w:pPr>
    </w:p>
    <w:p w14:paraId="28C76365" w14:textId="77777777" w:rsidR="00787F73" w:rsidRDefault="00742FB7" w:rsidP="00866155">
      <w:pPr>
        <w:pStyle w:val="NormalWeb"/>
        <w:spacing w:before="240" w:after="240" w:line="360" w:lineRule="auto"/>
        <w:jc w:val="center"/>
      </w:pPr>
      <w:r>
        <w:rPr>
          <w:noProof/>
        </w:rPr>
        <w:drawing>
          <wp:inline distT="0" distB="0" distL="0" distR="0" wp14:anchorId="629C9031" wp14:editId="2B549C51">
            <wp:extent cx="4218940" cy="786765"/>
            <wp:effectExtent l="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8"/>
                    <pic:cNvPicPr>
                      <a:picLocks noChangeAspect="1" noChangeArrowheads="1"/>
                    </pic:cNvPicPr>
                  </pic:nvPicPr>
                  <pic:blipFill>
                    <a:blip r:embed="rId23"/>
                    <a:stretch>
                      <a:fillRect/>
                    </a:stretch>
                  </pic:blipFill>
                  <pic:spPr bwMode="auto">
                    <a:xfrm>
                      <a:off x="0" y="0"/>
                      <a:ext cx="4218940" cy="786765"/>
                    </a:xfrm>
                    <a:prstGeom prst="rect">
                      <a:avLst/>
                    </a:prstGeom>
                  </pic:spPr>
                </pic:pic>
              </a:graphicData>
            </a:graphic>
          </wp:inline>
        </w:drawing>
      </w:r>
    </w:p>
    <w:p w14:paraId="043CF003" w14:textId="695247F7" w:rsidR="00787F73" w:rsidRDefault="00742FB7" w:rsidP="00866155">
      <w:pPr>
        <w:pStyle w:val="caption1"/>
        <w:jc w:val="center"/>
      </w:pPr>
      <w:bookmarkStart w:id="1097" w:name="_Toc193367305"/>
      <w:r>
        <w:t xml:space="preserve">Figure </w:t>
      </w:r>
      <w:r>
        <w:fldChar w:fldCharType="begin"/>
      </w:r>
      <w:r>
        <w:instrText xml:space="preserve"> SEQ Figure \* ARABIC </w:instrText>
      </w:r>
      <w:r>
        <w:fldChar w:fldCharType="separate"/>
      </w:r>
      <w:r w:rsidR="00132F53">
        <w:rPr>
          <w:noProof/>
        </w:rPr>
        <w:t>27</w:t>
      </w:r>
      <w:r>
        <w:rPr>
          <w:noProof/>
        </w:rPr>
        <w:fldChar w:fldCharType="end"/>
      </w:r>
      <w:r>
        <w:t xml:space="preserve">: </w:t>
      </w:r>
      <w:r>
        <w:rPr>
          <w:rFonts w:cs="Calibri"/>
        </w:rPr>
        <w:t xml:space="preserve">SYFR </w:t>
      </w:r>
      <w:r w:rsidR="00912954">
        <w:rPr>
          <w:rFonts w:cs="Calibri"/>
        </w:rPr>
        <w:t>C</w:t>
      </w:r>
      <w:r w:rsidR="004F7B90">
        <w:rPr>
          <w:rFonts w:cs="Calibri"/>
        </w:rPr>
        <w:t xml:space="preserve">ommunity </w:t>
      </w:r>
      <w:r w:rsidR="00912954">
        <w:rPr>
          <w:rFonts w:cs="Calibri"/>
        </w:rPr>
        <w:t xml:space="preserve">Risk Model </w:t>
      </w:r>
      <w:r>
        <w:rPr>
          <w:rFonts w:cs="Calibri"/>
        </w:rPr>
        <w:t xml:space="preserve">methodology formula </w:t>
      </w:r>
      <w:r>
        <w:fldChar w:fldCharType="begin" w:fldLock="1"/>
      </w:r>
      <w:r w:rsidR="00AB7FCE">
        <w:rPr>
          <w:rFonts w:cs="Calibri"/>
        </w:rPr>
        <w:instrText>ADDIN CSL_CITATION {"citationItems":[{"id":"ITEM-1","itemData":{"URL":"https://www.syfire.gov.uk/performance/strategic-plans/community-fire-risk-model/","accessed":{"date-parts":[["2024","4","2"]]},"author":[{"dropping-particle":"","family":"South Yorkshire Fire and Rescue","given":"","non-dropping-particle":"","parse-names":false,"suffix":""}],"container-title":"South Yorkshire Fire and Rescue","id":"ITEM-1","issued":{"date-parts":[["2015"]]},"title":"Community Fire Risk Model","type":"webpage"},"uris":["http://www.mendeley.com/documents/?uuid=6a7660aa-5f75-45c4-a2dd-44370cc9a3c1"]}],"mendeley":{"formattedCitation":"(South Yorkshire Fire and Rescue, 2015)","plainTextFormattedCitation":"(South Yorkshire Fire and Rescue, 2015)","previouslyFormattedCitation":"(South Yorkshire Fire and Rescue, 2015)"},"properties":{"noteIndex":0},"schema":"https://github.com/citation-style-language/schema/raw/master/csl-citation.json"}</w:instrText>
      </w:r>
      <w:r>
        <w:rPr>
          <w:rFonts w:cs="Calibri"/>
        </w:rPr>
        <w:fldChar w:fldCharType="separate"/>
      </w:r>
      <w:r>
        <w:rPr>
          <w:rFonts w:cs="Calibri"/>
          <w:i w:val="0"/>
          <w:noProof/>
        </w:rPr>
        <w:t>(South Yorkshire Fire and Rescue, 2015)</w:t>
      </w:r>
      <w:bookmarkEnd w:id="1097"/>
      <w:r>
        <w:rPr>
          <w:rFonts w:cs="Calibri"/>
        </w:rPr>
        <w:fldChar w:fldCharType="end"/>
      </w:r>
    </w:p>
    <w:p w14:paraId="30D06028" w14:textId="728214A6" w:rsidR="00F96A4E" w:rsidRDefault="00742FB7" w:rsidP="00A0151B">
      <w:pPr>
        <w:pStyle w:val="NormalWeb"/>
        <w:spacing w:before="0" w:after="0" w:line="360" w:lineRule="auto"/>
        <w:rPr>
          <w:rFonts w:ascii="Calibri" w:hAnsi="Calibri" w:cs="Calibri"/>
          <w:color w:val="000000"/>
        </w:rPr>
      </w:pPr>
      <w:r w:rsidRPr="00AC1B06">
        <w:rPr>
          <w:rFonts w:ascii="Calibri" w:hAnsi="Calibri" w:cs="Calibri"/>
          <w:color w:val="000000"/>
        </w:rPr>
        <w:lastRenderedPageBreak/>
        <w:t xml:space="preserve">The </w:t>
      </w:r>
      <w:r w:rsidR="00912954">
        <w:rPr>
          <w:rFonts w:ascii="Calibri" w:hAnsi="Calibri" w:cs="Calibri"/>
          <w:color w:val="000000"/>
        </w:rPr>
        <w:t>R</w:t>
      </w:r>
      <w:r w:rsidR="00912954" w:rsidRPr="00AC1B06">
        <w:rPr>
          <w:rFonts w:ascii="Calibri" w:hAnsi="Calibri" w:cs="Calibri"/>
          <w:color w:val="000000"/>
        </w:rPr>
        <w:t xml:space="preserve">isk </w:t>
      </w:r>
      <w:r w:rsidR="00912954">
        <w:rPr>
          <w:rFonts w:ascii="Calibri" w:hAnsi="Calibri" w:cs="Calibri"/>
          <w:color w:val="000000"/>
        </w:rPr>
        <w:t>M</w:t>
      </w:r>
      <w:r w:rsidR="00912954" w:rsidRPr="00AC1B06">
        <w:rPr>
          <w:rFonts w:ascii="Calibri" w:hAnsi="Calibri" w:cs="Calibri"/>
          <w:color w:val="000000"/>
        </w:rPr>
        <w:t xml:space="preserve">odel </w:t>
      </w:r>
      <w:r w:rsidRPr="00AC1B06">
        <w:rPr>
          <w:rFonts w:ascii="Calibri" w:hAnsi="Calibri" w:cs="Calibri"/>
          <w:color w:val="000000"/>
        </w:rPr>
        <w:t xml:space="preserve">formula (Figure 27) also provides a challenge for the future, with an increased threat of extreme weather causing flooding and droughts due to climate change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{"citationItems":[{"id":"ITEM-1","itemData":{"DOI":"10.1017/9781009325844.Front","ISBN":"9781009325844","abstract":"De la bataille de Poitiers aux croisades, des échanges intellectuels du Moyen Age à l'orientalisme, de la colonisation à la guerre d'Algérie jusqu'aux débats actuels sur l'immigration, plus de soixante-dix spécialistes, historiens ou grands témoins retracent treize siècles d'une histoire politique, sociale et culturelle tumultueuse et captivante. \" C'est l'histoire culturelle qui domine ici, écrit Jacques Le Goff dans sa préface, et plus largement une histoire de l'imaginaire qui nous livre les fluctuations de l'image de l'Autre... Il s'agit de faire passer le musulman de la situation d'Autre à celle de concitoyen à part entière. Il reste sans doute un long chemin à parcourir, et l'éclairage de l'histoire depuis le Moyen Age y est nécessaire. \" Un ouvrage de référence unique, passionnant et richement illustré.","author":[{"dropping-particle":"","family":"IPCC","given":"","non-dropping-particle":"","parse-names":false,"suffix":""}],"container-title":"Working Group II contribution to the Sixth Assessment Report of the Intergovernamental Panel on Climate Change","id":"ITEM-1","issue":"August","issued":{"date-parts":[["2022"]]},"number-of-pages":"37","publisher-place":"Cambridge","title":"Climate Change 2022: Impacts, Adaptation and Vulnerability","type":"report"},"uris":["http://www.mendeley.com/documents/?uuid=b7b215cd-8a6b-4747-ab0a-070c2ec4f3b3"]}],"mendeley":{"formattedCitation":"(IPCC, 2022)","plainTextFormattedCitation":"(IPCC, 2022)","previouslyFormattedCitation":"(IPCC, 2022)"},"properties":{"noteIndex":0},"schema":"https://github.com/citation-style-language/schema/raw/master/csl-citation.json"}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(IPCC, 2022)</w:t>
      </w:r>
      <w:r w:rsidRPr="00AC1B06">
        <w:rPr>
          <w:rFonts w:ascii="Calibri" w:hAnsi="Calibri" w:cs="Calibri"/>
          <w:color w:val="000000"/>
        </w:rPr>
        <w:fldChar w:fldCharType="end"/>
      </w:r>
      <w:r w:rsidRPr="00AC1B06">
        <w:rPr>
          <w:rFonts w:ascii="Calibri" w:hAnsi="Calibri" w:cs="Calibri"/>
          <w:color w:val="000000"/>
        </w:rPr>
        <w:t xml:space="preserve">. This means that a focus on dwelling fires, rather than all incidents will limit SYFR’s ability to develop proactive, or even responsive resilience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(Carmen et al., 2022)</w:t>
      </w:r>
      <w:r w:rsidRPr="00AC1B06">
        <w:rPr>
          <w:rFonts w:ascii="Calibri" w:hAnsi="Calibri" w:cs="Calibri"/>
          <w:color w:val="000000"/>
        </w:rPr>
        <w:fldChar w:fldCharType="end"/>
      </w:r>
      <w:r w:rsidRPr="00AC1B06">
        <w:rPr>
          <w:rFonts w:ascii="Calibri" w:hAnsi="Calibri" w:cs="Calibri"/>
          <w:color w:val="000000"/>
        </w:rPr>
        <w:t>.</w:t>
      </w:r>
      <w:r w:rsidR="00F96A4E">
        <w:rPr>
          <w:rFonts w:ascii="Calibri" w:hAnsi="Calibri" w:cs="Calibri"/>
          <w:color w:val="000000"/>
        </w:rPr>
        <w:t xml:space="preserve"> </w:t>
      </w:r>
      <w:r w:rsidR="00C84401" w:rsidRPr="00010F12">
        <w:rPr>
          <w:rFonts w:ascii="Calibri" w:hAnsi="Calibri" w:cs="Calibri"/>
        </w:rPr>
        <w:t>While</w:t>
      </w:r>
      <w:r w:rsidR="000B43BD">
        <w:rPr>
          <w:rFonts w:ascii="Calibri" w:hAnsi="Calibri" w:cs="Calibri"/>
          <w:color w:val="000000"/>
        </w:rPr>
        <w:t xml:space="preserve"> t</w:t>
      </w:r>
      <w:r w:rsidR="00F96A4E">
        <w:rPr>
          <w:rFonts w:ascii="Calibri" w:hAnsi="Calibri" w:cs="Calibri"/>
          <w:color w:val="000000"/>
        </w:rPr>
        <w:t xml:space="preserve">he fire risk </w:t>
      </w:r>
      <w:r w:rsidR="000B43BD">
        <w:rPr>
          <w:rFonts w:ascii="Calibri" w:hAnsi="Calibri" w:cs="Calibri"/>
          <w:color w:val="000000"/>
        </w:rPr>
        <w:t>formula enable</w:t>
      </w:r>
      <w:r w:rsidR="007762FA">
        <w:rPr>
          <w:rFonts w:ascii="Calibri" w:hAnsi="Calibri" w:cs="Calibri"/>
          <w:color w:val="000000"/>
        </w:rPr>
        <w:t>s</w:t>
      </w:r>
      <w:r w:rsidR="000B43BD">
        <w:rPr>
          <w:rFonts w:ascii="Calibri" w:hAnsi="Calibri" w:cs="Calibri"/>
          <w:color w:val="000000"/>
        </w:rPr>
        <w:t xml:space="preserve"> a responsive resilience to </w:t>
      </w:r>
      <w:r w:rsidR="007762FA">
        <w:rPr>
          <w:rFonts w:ascii="Calibri" w:hAnsi="Calibri" w:cs="Calibri"/>
          <w:color w:val="000000"/>
        </w:rPr>
        <w:t xml:space="preserve">current </w:t>
      </w:r>
      <w:r w:rsidR="000B43BD">
        <w:rPr>
          <w:rFonts w:ascii="Calibri" w:hAnsi="Calibri" w:cs="Calibri"/>
          <w:color w:val="000000"/>
        </w:rPr>
        <w:t>fire risk</w:t>
      </w:r>
      <w:r w:rsidR="00F96A4E">
        <w:rPr>
          <w:rFonts w:ascii="Calibri" w:hAnsi="Calibri" w:cs="Calibri"/>
          <w:color w:val="000000"/>
        </w:rPr>
        <w:t>,</w:t>
      </w:r>
      <w:r w:rsidR="000B43BD">
        <w:rPr>
          <w:rFonts w:ascii="Calibri" w:hAnsi="Calibri" w:cs="Calibri"/>
          <w:color w:val="000000"/>
        </w:rPr>
        <w:t xml:space="preserve"> there needs to be </w:t>
      </w:r>
      <w:r w:rsidR="00F96A4E">
        <w:rPr>
          <w:rFonts w:ascii="Calibri" w:hAnsi="Calibri" w:cs="Calibri"/>
          <w:color w:val="000000"/>
        </w:rPr>
        <w:t>a wider understanding of different risks</w:t>
      </w:r>
      <w:r w:rsidR="00E33B89">
        <w:rPr>
          <w:rFonts w:ascii="Calibri" w:hAnsi="Calibri" w:cs="Calibri"/>
          <w:color w:val="000000"/>
        </w:rPr>
        <w:t>, with the potential of greater collaborative working within communicating risk.</w:t>
      </w:r>
      <w:r w:rsidR="008713CD">
        <w:rPr>
          <w:rFonts w:ascii="Calibri" w:hAnsi="Calibri" w:cs="Calibri"/>
          <w:color w:val="000000"/>
        </w:rPr>
        <w:t xml:space="preserve"> </w:t>
      </w:r>
      <w:r w:rsidR="00D51290">
        <w:rPr>
          <w:rFonts w:ascii="Calibri" w:hAnsi="Calibri" w:cs="Calibri"/>
          <w:color w:val="000000"/>
        </w:rPr>
        <w:t xml:space="preserve">For </w:t>
      </w:r>
      <w:r w:rsidR="008713CD">
        <w:rPr>
          <w:rFonts w:ascii="Calibri" w:hAnsi="Calibri" w:cs="Calibri"/>
          <w:color w:val="000000"/>
        </w:rPr>
        <w:t>example</w:t>
      </w:r>
      <w:r w:rsidR="00D51290">
        <w:rPr>
          <w:rFonts w:ascii="Calibri" w:hAnsi="Calibri" w:cs="Calibri"/>
          <w:color w:val="000000"/>
        </w:rPr>
        <w:t xml:space="preserve">, a map could be created combining flood and </w:t>
      </w:r>
      <w:r w:rsidR="008713CD">
        <w:rPr>
          <w:rFonts w:ascii="Calibri" w:hAnsi="Calibri" w:cs="Calibri"/>
          <w:color w:val="000000"/>
        </w:rPr>
        <w:t xml:space="preserve">fire risk data. However, </w:t>
      </w:r>
      <w:r w:rsidR="00D51290">
        <w:rPr>
          <w:rFonts w:ascii="Calibri" w:hAnsi="Calibri" w:cs="Calibri"/>
          <w:color w:val="000000"/>
        </w:rPr>
        <w:t xml:space="preserve">there is a wide variety of risks that the FRS have a statutory obligation </w:t>
      </w:r>
      <w:r w:rsidR="008713CD">
        <w:rPr>
          <w:rFonts w:ascii="Calibri" w:hAnsi="Calibri" w:cs="Calibri"/>
          <w:color w:val="000000"/>
        </w:rPr>
        <w:t xml:space="preserve">to respond </w:t>
      </w:r>
      <w:r w:rsidR="00D51290">
        <w:rPr>
          <w:rFonts w:ascii="Calibri" w:hAnsi="Calibri" w:cs="Calibri"/>
          <w:color w:val="000000"/>
        </w:rPr>
        <w:t>to</w:t>
      </w:r>
      <w:r w:rsidR="008713CD">
        <w:rPr>
          <w:rFonts w:ascii="Calibri" w:hAnsi="Calibri" w:cs="Calibri"/>
          <w:color w:val="000000"/>
        </w:rPr>
        <w:t>.</w:t>
      </w:r>
    </w:p>
    <w:p w14:paraId="0E4E8B66" w14:textId="77777777" w:rsidR="00956DFB" w:rsidRDefault="00956DFB" w:rsidP="00A0151B">
      <w:pPr>
        <w:pStyle w:val="NormalWeb"/>
        <w:spacing w:before="0" w:after="0" w:line="360" w:lineRule="auto"/>
        <w:rPr>
          <w:rFonts w:ascii="Calibri" w:hAnsi="Calibri" w:cs="Calibri"/>
          <w:color w:val="000000"/>
        </w:rPr>
      </w:pPr>
    </w:p>
    <w:p w14:paraId="07B583BB" w14:textId="035F2B2E" w:rsidR="00787F73" w:rsidRPr="00AC1B06" w:rsidRDefault="00D177B9" w:rsidP="00A0151B">
      <w:pPr>
        <w:pStyle w:val="NormalWeb"/>
        <w:spacing w:before="0" w:after="0" w:line="360" w:lineRule="auto"/>
        <w:rPr>
          <w:rFonts w:ascii="Calibri" w:hAnsi="Calibri" w:cs="Calibri"/>
        </w:rPr>
      </w:pPr>
      <w:r>
        <w:rPr>
          <w:rFonts w:ascii="Calibri" w:hAnsi="Calibri" w:cs="Calibri"/>
          <w:color w:val="000000"/>
        </w:rPr>
        <w:t>Within the UK, risk is calculated at a national level using the National Security Risk Assessment (NSRA</w:t>
      </w:r>
      <w:r w:rsidR="00E33B89">
        <w:rPr>
          <w:rFonts w:ascii="Calibri" w:hAnsi="Calibri" w:cs="Calibri"/>
          <w:color w:val="000000"/>
        </w:rPr>
        <w:t>) and is adapted into a publicly accessible document called</w:t>
      </w:r>
      <w:r>
        <w:rPr>
          <w:rFonts w:ascii="Calibri" w:hAnsi="Calibri" w:cs="Calibri"/>
          <w:color w:val="000000"/>
        </w:rPr>
        <w:t xml:space="preserve"> the National Risk Register</w:t>
      </w:r>
      <w:r w:rsidR="00EA5E33">
        <w:rPr>
          <w:rFonts w:ascii="Calibri" w:hAnsi="Calibri" w:cs="Calibri"/>
          <w:color w:val="000000"/>
        </w:rPr>
        <w:t xml:space="preserve"> (NRR)</w:t>
      </w:r>
      <w:r w:rsidR="00D51290">
        <w:rPr>
          <w:rFonts w:ascii="Calibri" w:hAnsi="Calibri" w:cs="Calibri"/>
          <w:color w:val="000000"/>
        </w:rPr>
        <w:t xml:space="preserve"> </w:t>
      </w:r>
      <w:r w:rsidR="00D51290">
        <w:rPr>
          <w:rFonts w:cs="Calibri"/>
          <w:color w:val="000000"/>
        </w:rPr>
        <w:fldChar w:fldCharType="begin" w:fldLock="1"/>
      </w:r>
      <w:r w:rsidR="00D51290">
        <w:rPr>
          <w:rFonts w:ascii="Calibri" w:hAnsi="Calibri" w:cs="Calibri"/>
          <w:color w:val="000000"/>
        </w:rPr>
        <w:instrText>ADDIN CSL_CITATION {"citationItems":[{"id":"ITEM-1","itemData":{"ISBN":"289116/0708","abstract":"The National Risk Register sets out ‘our assessment of the likelihood and potential impact of a range of different risks that may directly affect the UK’ as promised in the National Security Strategy,1 published earlier this year. The publication of information on these risks, previously held confidentially within government, is intended to encourage public debate on security and help organisations, individuals, families and communities, who want to do so, to prepare for emergencies.","author":[{"dropping-particle":"","family":"Cabinet Office","given":"","non-dropping-particle":"","parse-names":false,"suffix":""}],"id":"ITEM-1","issued":{"date-parts":[["2023"]]},"page":"1-52","title":"National Risk Register","type":"article-journal"},"uris":["http://www.mendeley.com/documents/?uuid=bfdd9aa0-68d9-4271-a6a4-723bf17fcbad"]}],"mendeley":{"formattedCitation":"(Cabinet Office, 2023)","plainTextFormattedCitation":"(Cabinet Office, 2023)","previouslyFormattedCitation":"(Cabinet Office, 2023)"},"properties":{"noteIndex":0},"schema":"https://github.com/citation-style-language/schema/raw/master/csl-citation.json"}</w:instrText>
      </w:r>
      <w:r w:rsidR="00D51290">
        <w:rPr>
          <w:rFonts w:cs="Calibri"/>
          <w:color w:val="000000"/>
        </w:rPr>
        <w:fldChar w:fldCharType="separate"/>
      </w:r>
      <w:r w:rsidR="00D51290" w:rsidRPr="00D177B9">
        <w:rPr>
          <w:rFonts w:ascii="Calibri" w:hAnsi="Calibri" w:cs="Calibri"/>
          <w:noProof/>
          <w:color w:val="000000"/>
        </w:rPr>
        <w:t>(Cabinet Office, 2023)</w:t>
      </w:r>
      <w:r w:rsidR="00D51290">
        <w:rPr>
          <w:rFonts w:cs="Calibri"/>
          <w:color w:val="000000"/>
        </w:rPr>
        <w:fldChar w:fldCharType="end"/>
      </w:r>
      <w:r>
        <w:rPr>
          <w:rFonts w:ascii="Calibri" w:hAnsi="Calibri" w:cs="Calibri"/>
          <w:color w:val="000000"/>
        </w:rPr>
        <w:t xml:space="preserve">. </w:t>
      </w:r>
      <w:r w:rsidR="00EA2EA9">
        <w:rPr>
          <w:rFonts w:ascii="Calibri" w:hAnsi="Calibri" w:cs="Calibri"/>
          <w:color w:val="000000"/>
        </w:rPr>
        <w:t>Within the NRR</w:t>
      </w:r>
      <w:r w:rsidR="00225153">
        <w:rPr>
          <w:rFonts w:ascii="Calibri" w:hAnsi="Calibri" w:cs="Calibri"/>
          <w:color w:val="000000"/>
        </w:rPr>
        <w:t>,</w:t>
      </w:r>
      <w:r w:rsidR="00EA2EA9">
        <w:rPr>
          <w:rFonts w:ascii="Calibri" w:hAnsi="Calibri" w:cs="Calibri"/>
          <w:color w:val="000000"/>
        </w:rPr>
        <w:t xml:space="preserve"> only 6 out of the </w:t>
      </w:r>
      <w:r w:rsidR="004F7978">
        <w:rPr>
          <w:rFonts w:ascii="Calibri" w:hAnsi="Calibri" w:cs="Calibri"/>
          <w:color w:val="000000"/>
        </w:rPr>
        <w:t>89</w:t>
      </w:r>
      <w:r w:rsidR="00EA2EA9">
        <w:rPr>
          <w:rFonts w:ascii="Calibri" w:hAnsi="Calibri" w:cs="Calibri"/>
          <w:color w:val="000000"/>
        </w:rPr>
        <w:t xml:space="preserve"> identified risks focus on </w:t>
      </w:r>
      <w:r w:rsidR="00F96A4E">
        <w:rPr>
          <w:rFonts w:ascii="Calibri" w:hAnsi="Calibri" w:cs="Calibri"/>
          <w:color w:val="000000"/>
        </w:rPr>
        <w:t>f</w:t>
      </w:r>
      <w:r w:rsidR="00EA2EA9">
        <w:rPr>
          <w:rFonts w:ascii="Calibri" w:hAnsi="Calibri" w:cs="Calibri"/>
          <w:color w:val="000000"/>
        </w:rPr>
        <w:t>ire, however</w:t>
      </w:r>
      <w:r w:rsidR="00BF12D9">
        <w:rPr>
          <w:rFonts w:ascii="Calibri" w:hAnsi="Calibri" w:cs="Calibri"/>
          <w:color w:val="000000"/>
        </w:rPr>
        <w:t>,</w:t>
      </w:r>
      <w:r w:rsidR="00EA2EA9">
        <w:rPr>
          <w:rFonts w:ascii="Calibri" w:hAnsi="Calibri" w:cs="Calibri"/>
          <w:color w:val="000000"/>
        </w:rPr>
        <w:t xml:space="preserve"> under the CCA (2004)</w:t>
      </w:r>
      <w:r w:rsidR="00225153">
        <w:rPr>
          <w:rFonts w:ascii="Calibri" w:hAnsi="Calibri" w:cs="Calibri"/>
          <w:color w:val="000000"/>
        </w:rPr>
        <w:t>,</w:t>
      </w:r>
      <w:r w:rsidR="00EA2EA9">
        <w:rPr>
          <w:rFonts w:ascii="Calibri" w:hAnsi="Calibri" w:cs="Calibri"/>
          <w:color w:val="000000"/>
        </w:rPr>
        <w:t xml:space="preserve"> FRS have a duty to work</w:t>
      </w:r>
      <w:r w:rsidR="00E33B89">
        <w:rPr>
          <w:rFonts w:ascii="Calibri" w:hAnsi="Calibri" w:cs="Calibri"/>
          <w:color w:val="000000"/>
        </w:rPr>
        <w:t xml:space="preserve"> or support</w:t>
      </w:r>
      <w:r w:rsidR="00EA2EA9">
        <w:rPr>
          <w:rFonts w:ascii="Calibri" w:hAnsi="Calibri" w:cs="Calibri"/>
          <w:color w:val="000000"/>
        </w:rPr>
        <w:t xml:space="preserve"> multi-agency partner in the response to</w:t>
      </w:r>
      <w:r w:rsidR="008713CD">
        <w:rPr>
          <w:rFonts w:ascii="Calibri" w:hAnsi="Calibri" w:cs="Calibri"/>
          <w:color w:val="000000"/>
        </w:rPr>
        <w:t xml:space="preserve"> the</w:t>
      </w:r>
      <w:r w:rsidR="00EA2EA9">
        <w:rPr>
          <w:rFonts w:ascii="Calibri" w:hAnsi="Calibri" w:cs="Calibri"/>
          <w:color w:val="000000"/>
        </w:rPr>
        <w:t xml:space="preserve"> </w:t>
      </w:r>
      <w:r w:rsidR="004F7978">
        <w:rPr>
          <w:rFonts w:ascii="Calibri" w:hAnsi="Calibri" w:cs="Calibri"/>
          <w:color w:val="000000"/>
        </w:rPr>
        <w:t>89</w:t>
      </w:r>
      <w:r w:rsidR="00EA2EA9">
        <w:rPr>
          <w:rFonts w:ascii="Calibri" w:hAnsi="Calibri" w:cs="Calibri"/>
          <w:color w:val="000000"/>
        </w:rPr>
        <w:t xml:space="preserve"> risks</w:t>
      </w:r>
      <w:r w:rsidR="008713CD">
        <w:rPr>
          <w:rFonts w:ascii="Calibri" w:hAnsi="Calibri" w:cs="Calibri"/>
          <w:color w:val="000000"/>
        </w:rPr>
        <w:t xml:space="preserve"> </w:t>
      </w:r>
      <w:r w:rsidR="008713CD">
        <w:rPr>
          <w:rFonts w:cs="Calibri"/>
          <w:color w:val="000000"/>
        </w:rPr>
        <w:fldChar w:fldCharType="begin" w:fldLock="1"/>
      </w:r>
      <w:r w:rsidR="008713CD">
        <w:rPr>
          <w:rFonts w:ascii="Calibri" w:hAnsi="Calibri" w:cs="Calibri"/>
          <w:color w:val="000000"/>
        </w:rPr>
        <w:instrText>ADDIN CSL_CITATION {"citationItems":[{"id":"ITEM-1","itemData":{"ISBN":"289116/0708","abstract":"The National Risk Register sets out ‘our assessment of the likelihood and potential impact of a range of different risks that may directly affect the UK’ as promised in the National Security Strategy,1 published earlier this year. The publication of information on these risks, previously held confidentially within government, is intended to encourage public debate on security and help organisations, individuals, families and communities, who want to do so, to prepare for emergencies.","author":[{"dropping-particle":"","family":"Cabinet Office","given":"","non-dropping-particle":"","parse-names":false,"suffix":""}],"id":"ITEM-1","issued":{"date-parts":[["2023"]]},"page":"1-52","title":"National Risk Register","type":"article-journal"},"uris":["http://www.mendeley.com/documents/?uuid=bfdd9aa0-68d9-4271-a6a4-723bf17fcbad"]}],"mendeley":{"formattedCitation":"(Cabinet Office, 2023)","plainTextFormattedCitation":"(Cabinet Office, 2023)","previouslyFormattedCitation":"(Cabinet Office, 2023)"},"properties":{"noteIndex":0},"schema":"https://github.com/citation-style-language/schema/raw/master/csl-citation.json"}</w:instrText>
      </w:r>
      <w:r w:rsidR="008713CD">
        <w:rPr>
          <w:rFonts w:cs="Calibri"/>
          <w:color w:val="000000"/>
        </w:rPr>
        <w:fldChar w:fldCharType="separate"/>
      </w:r>
      <w:r w:rsidR="008713CD" w:rsidRPr="00D177B9">
        <w:rPr>
          <w:rFonts w:ascii="Calibri" w:hAnsi="Calibri" w:cs="Calibri"/>
          <w:noProof/>
          <w:color w:val="000000"/>
        </w:rPr>
        <w:t>(Cabinet Office, 2023)</w:t>
      </w:r>
      <w:r w:rsidR="008713CD">
        <w:rPr>
          <w:rFonts w:cs="Calibri"/>
          <w:color w:val="000000"/>
        </w:rPr>
        <w:fldChar w:fldCharType="end"/>
      </w:r>
      <w:r w:rsidR="00EA2EA9">
        <w:rPr>
          <w:rFonts w:ascii="Calibri" w:hAnsi="Calibri" w:cs="Calibri"/>
          <w:color w:val="000000"/>
        </w:rPr>
        <w:t>.</w:t>
      </w:r>
      <w:r w:rsidR="00F96A4E">
        <w:rPr>
          <w:rFonts w:ascii="Calibri" w:hAnsi="Calibri" w:cs="Calibri"/>
          <w:color w:val="000000"/>
        </w:rPr>
        <w:t xml:space="preserve"> This means that they may be required to support or respond to </w:t>
      </w:r>
      <w:r w:rsidR="004F7978">
        <w:rPr>
          <w:rFonts w:ascii="Calibri" w:hAnsi="Calibri" w:cs="Calibri"/>
          <w:color w:val="000000"/>
        </w:rPr>
        <w:t>83</w:t>
      </w:r>
      <w:r w:rsidR="00F96A4E">
        <w:rPr>
          <w:rFonts w:ascii="Calibri" w:hAnsi="Calibri" w:cs="Calibri"/>
          <w:color w:val="000000"/>
        </w:rPr>
        <w:t xml:space="preserve"> incidents of risk which are not related to fire risk</w:t>
      </w:r>
      <w:r w:rsidR="00BF12D9">
        <w:rPr>
          <w:rFonts w:ascii="Calibri" w:hAnsi="Calibri" w:cs="Calibri"/>
          <w:color w:val="000000"/>
        </w:rPr>
        <w:t>. This</w:t>
      </w:r>
      <w:r w:rsidR="00D51290">
        <w:rPr>
          <w:rFonts w:ascii="Calibri" w:hAnsi="Calibri" w:cs="Calibri"/>
          <w:color w:val="000000"/>
        </w:rPr>
        <w:t xml:space="preserve"> highligh</w:t>
      </w:r>
      <w:r w:rsidR="00BF12D9">
        <w:rPr>
          <w:rFonts w:ascii="Calibri" w:hAnsi="Calibri" w:cs="Calibri"/>
          <w:color w:val="000000"/>
        </w:rPr>
        <w:t>ts</w:t>
      </w:r>
      <w:r w:rsidR="00D51290">
        <w:rPr>
          <w:rFonts w:ascii="Calibri" w:hAnsi="Calibri" w:cs="Calibri"/>
          <w:color w:val="000000"/>
        </w:rPr>
        <w:t xml:space="preserve"> a challenge of allocating resource and support purely based on the risk of fire</w:t>
      </w:r>
      <w:r w:rsidR="00F96A4E">
        <w:rPr>
          <w:rFonts w:ascii="Calibri" w:hAnsi="Calibri" w:cs="Calibri"/>
          <w:color w:val="000000"/>
        </w:rPr>
        <w:t>.</w:t>
      </w:r>
      <w:r w:rsidR="008713CD">
        <w:rPr>
          <w:rFonts w:ascii="Calibri" w:hAnsi="Calibri" w:cs="Calibri"/>
          <w:color w:val="000000"/>
        </w:rPr>
        <w:t xml:space="preserve"> </w:t>
      </w:r>
      <w:r w:rsidR="00C84401" w:rsidRPr="00010F12">
        <w:rPr>
          <w:rFonts w:ascii="Calibri" w:hAnsi="Calibri" w:cs="Calibri"/>
        </w:rPr>
        <w:t>While</w:t>
      </w:r>
      <w:r w:rsidR="00D51290">
        <w:rPr>
          <w:rFonts w:ascii="Calibri" w:hAnsi="Calibri" w:cs="Calibri"/>
          <w:color w:val="000000"/>
        </w:rPr>
        <w:t xml:space="preserve"> the FRS have a primary obligation to prevent fire under the FRSA (2004)</w:t>
      </w:r>
      <w:r w:rsidR="00CF6C52">
        <w:rPr>
          <w:rFonts w:ascii="Calibri" w:hAnsi="Calibri" w:cs="Calibri"/>
          <w:color w:val="000000"/>
        </w:rPr>
        <w:t>, this highlights the need for more strategic collaboration between front-line responders within developing risk communication. This collaboration could see the combination of a variety of datasets</w:t>
      </w:r>
      <w:r w:rsidR="000B43BD">
        <w:rPr>
          <w:rFonts w:ascii="Calibri" w:hAnsi="Calibri" w:cs="Calibri"/>
          <w:color w:val="000000"/>
        </w:rPr>
        <w:t xml:space="preserve"> </w:t>
      </w:r>
      <w:r w:rsidR="00CF6C52">
        <w:rPr>
          <w:rFonts w:ascii="Calibri" w:hAnsi="Calibri" w:cs="Calibri"/>
          <w:color w:val="000000"/>
        </w:rPr>
        <w:t xml:space="preserve">across the Local Resilience Forum, specifically in the case of SYFR, </w:t>
      </w:r>
      <w:r w:rsidR="000B43BD">
        <w:rPr>
          <w:rFonts w:ascii="Calibri" w:hAnsi="Calibri" w:cs="Calibri"/>
          <w:color w:val="000000"/>
        </w:rPr>
        <w:t>within the South Yorkshire Local Resilience Forum (SYLRF)</w:t>
      </w:r>
      <w:r w:rsidR="00CF6C52">
        <w:rPr>
          <w:rFonts w:ascii="Calibri" w:hAnsi="Calibri" w:cs="Calibri"/>
          <w:color w:val="000000"/>
        </w:rPr>
        <w:t xml:space="preserve">. </w:t>
      </w:r>
      <w:r w:rsidR="000B43BD">
        <w:rPr>
          <w:rFonts w:ascii="Calibri" w:hAnsi="Calibri" w:cs="Calibri"/>
          <w:color w:val="000000"/>
        </w:rPr>
        <w:t xml:space="preserve">This would be a large </w:t>
      </w:r>
      <w:r w:rsidR="008713CD">
        <w:rPr>
          <w:rFonts w:ascii="Calibri" w:hAnsi="Calibri" w:cs="Calibri"/>
          <w:color w:val="000000"/>
        </w:rPr>
        <w:t>undertaking</w:t>
      </w:r>
      <w:r w:rsidR="00CF6C52">
        <w:rPr>
          <w:rFonts w:ascii="Calibri" w:hAnsi="Calibri" w:cs="Calibri"/>
          <w:color w:val="000000"/>
        </w:rPr>
        <w:t xml:space="preserve"> and would have a variety of data protection and ethical challenges, however</w:t>
      </w:r>
      <w:r w:rsidR="00BF12D9">
        <w:rPr>
          <w:rFonts w:ascii="Calibri" w:hAnsi="Calibri" w:cs="Calibri"/>
          <w:color w:val="000000"/>
        </w:rPr>
        <w:t>,</w:t>
      </w:r>
      <w:r w:rsidR="00CF6C52">
        <w:rPr>
          <w:rFonts w:ascii="Calibri" w:hAnsi="Calibri" w:cs="Calibri"/>
          <w:color w:val="000000"/>
        </w:rPr>
        <w:t xml:space="preserve"> it is something that could be explored and examined in future research.</w:t>
      </w:r>
      <w:r w:rsidR="008713CD">
        <w:rPr>
          <w:rFonts w:ascii="Calibri" w:hAnsi="Calibri" w:cs="Calibri"/>
          <w:color w:val="000000"/>
        </w:rPr>
        <w:t xml:space="preserve"> </w:t>
      </w:r>
      <w:r w:rsidR="00742FB7" w:rsidRPr="00AC1B06">
        <w:rPr>
          <w:rFonts w:ascii="Calibri" w:hAnsi="Calibri" w:cs="Calibri"/>
          <w:color w:val="000000"/>
        </w:rPr>
        <w:t xml:space="preserve">The literature on risk communication highlights the need to understand the community that you are communicating with and to explore their comprehension and needs </w:t>
      </w:r>
      <w:r w:rsidR="00742FB7"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{"citationItems":[{"id":"ITEM-1","itemData":{"DOI":"10.1016/j.jhydrol.2018.11.007","ISSN":"00221694","abstract":"Flood risk management is gradually shifting from a risk-based approach to an integrated one that, among other elements, considers risk communication (RC) as a means of boosting resilience. Regardless of the above, few scientists have tackled up to now the integration of RC into flood risk management. In this connection, this particular study seeks to check out the potential of a risk dialogue approach (based on an ad hoc RC strategy) to change attitudes and behaviours in relation to flash flood risk. Via a pre-post survey design, we evaluated risk perception and awareness regarding a Civil Protection Plan (CPP) implemented locally (i.e., in the municipality of Navaluenga, central Spain). For this particular objective, a questionnaire survey was created, and 201 adults (representing more than 10% of the population census) were interviewed twice in a one-year period. Before the second survey, an RC strategy was created. The RC strategy comprised briefings, quiz answers, storytelling, a contest of videos and photographs about past floods, and an intergenerational workshop. A t-test for paired sample analyses and a general linear model (GLM) repeated measures ANOVA were applied to identify changes in risk perception and awareness. Our results indicate that the RC strategy did increase flood risk perception in Navaluenga in the long term (lifetime). Also, it increased the level of awareness of the various features that comprise the CPP, enabling people to be more competent in facing a flash flood. Some cognitive biases detected in the perceptual process of human beings may shed some light on the results obtained. The implementation of well-thought-out RC strategies can play a role in improving resilience, particularly in geographic areas such as the Iberian Peninsula, in which climate change scenarios indicate a likely increase in the severity and frequency of flooding.","author":[{"dropping-particle":"","family":"Bodoque","given":"J. M.","non-dropping-particle":"","parse-names":false,"suffix":""},{"dropping-particle":"","family":"Díez-Herrero","given":"A.","non-dropping-particle":"","parse-names":false,"suffix":""},{"dropping-particle":"","family":"Amerigo","given":"M.","non-dropping-particle":"","parse-names":false,"suffix":""},{"dropping-particle":"","family":"García","given":"J. A.","non-dropping-particle":"","parse-names":false,"suffix":""},{"dropping-particle":"","family":"Olcina","given":"J.","non-dropping-particle":"","parse-names":false,"suffix":""}],"container-title":"Journal of Hydrology","id":"ITEM-1","issued":{"date-parts":[["2019"]]},"page":"769-779","publisher":"Elsevier","title":"Enhancing flash flood risk perception and awareness of mitigation actions through risk communication: A pre-post survey design","type":"article-journal","volume":"568"},"uris":["http://www.mendeley.com/documents/?uuid=035f4ef7-201a-47c7-8e7a-0cc5c28eb0f7"]},{"id":"ITEM-2","itemData":{"DOI":"10.1016/j.proeng.2018.01.032","ISSN":"18777058","abstract":"The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Engineering","id":"ITEM-2","issued":{"date-parts":[["2018"]]},"page":"246-253","publisher":"Elsevier B.V.","title":"Conceptual Framework for Motivating Actions towards Disaster Preparedness Through Risk Communication","type":"article-journal","volume":"212"},"uris":["http://www.mendeley.com/documents/?uuid=01e245d0-867b-47cd-8164-80d2bc1d7862"]},{"id":"ITEM-3","itemData":{"DOI":"10.1016/j.ijdrr.2017.04.015","ISSN":"22124209","abstract":"The medium of film is well established for education and communication about hazardous phenomena as it provides engaging ways to directly view hazards and their impacts. Empirical analysis can help to understand films’ effectiveness in informing populations at risk and catalysing action to reduce risk. Using volcanic eruptions as a focus, an evidence-based methodology was devised to create, use, and track the outcomes of digital film tools designed to raise hazard and risk awareness, and develop preparedness efforts. Experiences from two contrasting eruptions were documented, with the secondary purpose of fostering social and cultural memories of eruptions, developed in response to demand from at-risk communities during field-based research. The films were created as a partnership with local volcano monitoring scientists and at-risk populations who, consequently, became the leading focus of the films, thus offering a substantial contrast to other types of hazard communication. The films were analysed by sharing them with at-risk communities and evaluating the immediate influence on learning and affect. Results indicated that the use of local content and actors to share experiences and teach valuable lessons were inspirational. Recognizable faces and spaces helped to convey disaster risk reduction messages. They also motivated audiences to consider ownership of risk and potential actions to reduce risk and strengthen resilience. This study demonstrated the effectiveness of co-production in the design and execution of intervention strategies for volcanic risk reduction. Co-production of films with local agencies resulted in products that were contextually appropriate, meaningful for audiences, and useful risk communication tools.","author":[{"dropping-particle":"","family":"Hicks","given":"Anna","non-dropping-particle":"","parse-names":false,"suffix":""},{"dropping-particle":"","family":"Armijos","given":"Maria Teresa","non-dropping-particle":"","parse-names":false,"suffix":""},{"dropping-particle":"","family":"Barclay","given":"Jenni","non-dropping-particle":"","parse-names":false,"suffix":""},{"dropping-particle":"","family":"Stone","given":"Jonathan","non-dropping-particle":"","parse-names":false,"suffix":""},{"dropping-particle":"","family":"Robertson","given":"Richard","non-dropping-particle":"","parse-names":false,"suffix":""},{"dropping-particle":"","family":"Cortés","given":"Gloria Patricia","non-dropping-particle":"","parse-names":false,"suffix":""}],"container-title":"International Journal of Disaster Risk Reduction","id":"ITEM-3","issued":{"date-parts":[["2017"]]},"page":"138-151","publisher":"Elsevier Ltd","title":"Risk communication films: Process, product and potential for improving preparedness and behaviour change","type":"article-journal","volume":"23"},"uris":["http://www.mendeley.com/documents/?uuid=0f5f1ccc-9589-4eed-a1d9-c3f921c1cc41"]}],"mendeley":{"formattedCitation":"(Bodoque et al., 2019; Abunyewah, Gajendran, &amp; Maund, 2018; Hicks et al., 2017)","plainTextFormattedCitation":"(Bodoque et al., 2019; Abunyewah, Gajendran, &amp; Maund, 2018; Hicks et al., 2017)","previouslyFormattedCitation":"(Bodoque et al., 2019; Abunyewah, Gajendran, &amp; Maund, 2018; Hicks et al., 2017)"},"properties":{"noteIndex":0},"schema":"https://github.com/citation-style-language/schema/raw/master/csl-citation.json"}</w:instrText>
      </w:r>
      <w:r w:rsidR="00742FB7" w:rsidRPr="00AC1B06">
        <w:rPr>
          <w:rFonts w:ascii="Calibri" w:hAnsi="Calibri" w:cs="Calibri"/>
          <w:color w:val="000000"/>
        </w:rPr>
        <w:fldChar w:fldCharType="separate"/>
      </w:r>
      <w:r w:rsidR="00742FB7" w:rsidRPr="00AC1B06">
        <w:rPr>
          <w:rFonts w:ascii="Calibri" w:hAnsi="Calibri" w:cs="Calibri"/>
          <w:noProof/>
          <w:color w:val="000000"/>
        </w:rPr>
        <w:t>(Bodoque et al., 2019; Abunyewah, Gajendran, &amp; Maund, 2018; Hicks et al., 2017)</w:t>
      </w:r>
      <w:r w:rsidR="00742FB7" w:rsidRPr="00AC1B06">
        <w:rPr>
          <w:rFonts w:ascii="Calibri" w:hAnsi="Calibri" w:cs="Calibri"/>
          <w:color w:val="000000"/>
        </w:rPr>
        <w:fldChar w:fldCharType="end"/>
      </w:r>
      <w:r w:rsidR="00742FB7" w:rsidRPr="00AC1B06">
        <w:rPr>
          <w:rFonts w:ascii="Calibri" w:hAnsi="Calibri" w:cs="Calibri"/>
          <w:color w:val="000000"/>
        </w:rPr>
        <w:t>. Examining the community data highlighted the need to understand the context of communities as each community group displayed different experiences, with variable community composition, understanding and comprehension of risk, relationships to organisations, and use of social media.</w:t>
      </w:r>
    </w:p>
    <w:p w14:paraId="598B4E63" w14:textId="75083563" w:rsidR="00787F73" w:rsidRDefault="00742FB7" w:rsidP="00A0151B">
      <w:pPr>
        <w:pStyle w:val="NormalWeb"/>
        <w:spacing w:before="0" w:after="0" w:line="360" w:lineRule="auto"/>
        <w:rPr>
          <w:rFonts w:ascii="Calibri" w:hAnsi="Calibri" w:cs="Calibri"/>
          <w:color w:val="000000"/>
        </w:rPr>
      </w:pPr>
      <w:r w:rsidRPr="00AC1B06">
        <w:rPr>
          <w:rFonts w:ascii="Calibri" w:hAnsi="Calibri" w:cs="Calibri"/>
          <w:color w:val="000000"/>
        </w:rPr>
        <w:t>The results of this chapter lead to the following conclusions</w:t>
      </w:r>
      <w:r w:rsidR="00BF12D9">
        <w:rPr>
          <w:rFonts w:ascii="Calibri" w:hAnsi="Calibri" w:cs="Calibri"/>
          <w:color w:val="000000"/>
        </w:rPr>
        <w:t>:</w:t>
      </w:r>
      <w:r w:rsidRPr="00AC1B06">
        <w:rPr>
          <w:rFonts w:ascii="Calibri" w:hAnsi="Calibri" w:cs="Calibri"/>
          <w:color w:val="000000"/>
        </w:rPr>
        <w:t xml:space="preserve"> first, examinations of the community composition of the case studies reveal an importance of community assets, both </w:t>
      </w:r>
      <w:r w:rsidRPr="00AC1B06">
        <w:rPr>
          <w:rFonts w:ascii="Calibri" w:hAnsi="Calibri" w:cs="Calibri"/>
          <w:color w:val="000000"/>
        </w:rPr>
        <w:lastRenderedPageBreak/>
        <w:t xml:space="preserve">physical assets such as libraries that enable community members of access online materials, but also social assets such as community networks and groups. The community networks and groups which were created prior to the flooding or COVID-19 in the LR group had been able to support community members’ emotional wellbeing as well as providing practical information surrounding the flooding. This suggests that these groups were able to build trust and friendships in groups prior to an event, developing bonding social capital between members of the community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{"citationItems":[{"id":"ITEM-1","itemData":{"DOI":"10.1146/annurev.energy.32.051807.090348","ISBN":"1708-3087","ISSN":"0954-5794","PMID":"7615","abstract":"Despite the recent popularity and frequent use of the disaster resilience concept in the academic, re- search, and policy programs, there is a limited theoretical understanding of this concept. For instance, it is not clear how this concept should be operationalized and what its determinant factors are or how they can be measured. Al- though the recent literatures on hazard and disaster frequently refer to resilience concept as a guiding principle behind an effective hazard risk management, making it operational for policies raises critical challenges in terms of its as- sessment. This paper is an attempt to develop a conceptual and methodological framework for the analysis, measure- ment, and mapping of community disaster resilience. The paper specifically intends to archive three objectives. Firstly, it examines the general definitional issues of the concept of resilience with a focus on community disaster re- silience. Secondly, it reviews the frameworks that are currently used to measure community resilience. Thirdly, it evaluates the existing methods that are used to develop resilience indices, and based on this review, a methodology on how to measure community disaster resilience is proposed. Finally, it summarizes the limitations and recommen- dations for further improvement of the methodology.","author":[{"dropping-particle":"","family":"Mayunga","given":"Joseph S","non-dropping-particle":"","parse-names":false,"suffix":""}],"container-title":"Summer academy for social vulnerability and resilience building","id":"ITEM-1","issue":"1","issued":{"date-parts":[["2007"]]},"number-of-pages":"1-16","publisher-place":"Munich","title":"Understanding and Applying the Concept of Community Disaster Resilience : A capital-based approach","type":"report"},"uris":["http://www.mendeley.com/documents/?uuid=8d9105d9-093b-4ab1-98f2-8230311a4cbf"]},{"id":"ITEM-2","itemData":{"DOI":"10.1371/currents.dis.db775aff25efc5ac4f0660ad9c9f7db2","ISSN":"2157-3999","abstract":"Background: Government, industry and charitable organisations have an increasing focus on programs intended to support community resilience to disasters. But has consensus been reached as to what defines 'community resilience' and what its core characteristics are? Methods: We undertook a systematic literature review of definitions of community resilience related to disasters. We conducted an inductive thematic analysis of the definitions and descriptions that we identified, in order to determine the proposed characteristics of community resilience prior to, during and after a disaster. Results: We identified 80 relevant papers. There was no evidence of a common, agreed definition of community resilience. In spite of this, evidence was found of nine core elements of community resilience that were common among the definitions. The core elements were: local knowledge, community networks and relationships, communication, health, governance and leadership, resources, economic investment, preparedness, and mental outlook. Within these core elements, we identified 19 sub-elements linked to community resilience. Conclusion: Our findings show that community resilience remains an amorphous concept that is understood and applied differently by different research groups. Yet in spite of the differences in conception and application, there are well-understood elements that are widely proposed as important for a resilient community. A focus on these individual elements may be more productive than attempting to define and study community resilience as a distinct concept. Tweet Patel SS, Rogers MB, Amlôt R, Rubin GJ. What Do We Mean by 'Community Resilience'? A","author":[{"dropping-particle":"","family":"Patel","given":"Sonny S","non-dropping-particle":"","parse-names":false,"suffix":""},{"dropping-particle":"","family":"Rogers","given":"M Brooke","non-dropping-particle":"","parse-names":false,"suffix":""},{"dropping-particle":"","family":"Amlôt","given":"Richard","non-dropping-particle":"","parse-names":false,"suffix":""},{"dropping-particle":"","family":"Rubin","given":"G James","non-dropping-particle":"","parse-names":false,"suffix":""}],"container-title":"PLoS currents","id":"ITEM-2","issued":{"date-parts":[["2017"]]},"page":"1-22","title":"What Do We Mean by 'Community Resilience'? A Systematic Literature Review of How It Is Defined in the Literature","type":"article-journal","volume":"9"},"uris":["http://www.mendeley.com/documents/?uuid=8b7e845a-0cc5-4c23-b38e-826bdf09e29d"]},{"id":"ITEM-3","itemData":{"author":[{"dropping-particle":"","family":"Sanyal","given":"Saswata","non-dropping-particle":"","parse-names":false,"suffix":""},{"dropping-particle":"","family":"Routray","given":"Jayant K.","non-dropping-particle":"","parse-names":false,"suffix":""}],"container-title":"International Journal of Disaster Risk Reduction","id":"ITEM-3","issued":{"date-parts":[["2016"]]},"page":"101-111","title":"Social capital for disaster risk reduction and management with empirical evidences from Sundarbans of India","type":"article-journal","volume":"19"},"uris":["http://www.mendeley.com/documents/?uuid=d8bcf27c-1efc-4c15-8204-cd8b37719dd2"]}],"mendeley":{"formattedCitation":"(Patel et al., 2017; Sanyal &amp; Routray, 2016; Mayunga, 2007)","plainTextFormattedCitation":"(Patel et al., 2017; Sanyal &amp; Routray, 2016; Mayunga, 2007)","previouslyFormattedCitation":"(Patel et al., 2017; Sanyal &amp; Routray, 2016; Mayunga, 2007)"},"properties":{"noteIndex":0},"schema":"https://github.com/citation-style-language/schema/raw/master/csl-citation.json"}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(Patel et al., 2017; Sanyal &amp; Routray, 2016; Mayunga, 2007)</w:t>
      </w:r>
      <w:r w:rsidRPr="00AC1B06">
        <w:rPr>
          <w:rFonts w:ascii="Calibri" w:hAnsi="Calibri" w:cs="Calibri"/>
          <w:color w:val="000000"/>
        </w:rPr>
        <w:fldChar w:fldCharType="end"/>
      </w:r>
      <w:r w:rsidRPr="00AC1B06">
        <w:rPr>
          <w:rFonts w:ascii="Calibri" w:hAnsi="Calibri" w:cs="Calibri"/>
          <w:color w:val="000000"/>
        </w:rPr>
        <w:t xml:space="preserve">. These findings build on the community resilience literature, such as the work by Norris et al (2008) which views social capital as one of the four main capacities for community disaster resilience, and the importance of building linking, bonding and bridging social capital prior to an event </w:t>
      </w:r>
      <w:r w:rsidRPr="00AC1B06">
        <w:rPr>
          <w:rFonts w:ascii="Calibri" w:hAnsi="Calibri" w:cs="Calibri"/>
        </w:rPr>
        <w:fldChar w:fldCharType="begin" w:fldLock="1"/>
      </w:r>
      <w:r w:rsidRPr="00AC1B06">
        <w:rPr>
          <w:rFonts w:ascii="Calibri" w:hAnsi="Calibri" w:cs="Calibri"/>
          <w:color w:val="000000"/>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India","type":"article-journal","volume":"19"},"uris":["http://www.mendeley.com/documents/?uuid=d8bcf27c-1efc-4c15-8204-cd8b37719dd2"]},{"id":"ITEM-2","itemData":{"DOI":"10.1007/s13280-021-01678-9","ISBN":"1328002101","ISSN":"16547209","PMID":"35015248","abstract":"Social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-2","issue":"6","issued":{"date-parts":[["2022"]]},"page":"1371-1387","title":"Building community resilience in a context of climate change: The role of social capital","type":"article-journal","volume":"51"},"uris":["http://www.mendeley.com/documents/?uuid=811839c2-2eda-4cbc-80b5-6bfc7c4a8392"]}],"mendeley":{"formattedCitation":"(Carmen et al., 2022; Sanyal &amp; Routray, 2016)","plainTextFormattedCitation":"(Carmen et al., 2022; Sanyal &amp; Routray, 2016)","previouslyFormattedCitation":"(Carmen et al., 2022; Sanyal &amp; Routray, 2016)"},"properties":{"noteIndex":0},"schema":"https://github.com/citation-style-language/schema/raw/master/csl-citation.json"}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(Carmen et al., 2022; Sanyal &amp; Routray, 2016)</w:t>
      </w:r>
      <w:r w:rsidRPr="00AC1B06">
        <w:rPr>
          <w:rFonts w:ascii="Calibri" w:hAnsi="Calibri" w:cs="Calibri"/>
          <w:color w:val="000000"/>
        </w:rPr>
        <w:fldChar w:fldCharType="end"/>
      </w:r>
      <w:r w:rsidRPr="00AC1B06">
        <w:rPr>
          <w:rFonts w:ascii="Calibri" w:hAnsi="Calibri" w:cs="Calibri"/>
          <w:color w:val="000000"/>
        </w:rPr>
        <w:t xml:space="preserve">.  This chapter adds to these studies by examining the impact of bonding and linking social capital, and the impact on a community when it is not present. </w:t>
      </w:r>
    </w:p>
    <w:p w14:paraId="57E7401C" w14:textId="77777777" w:rsidR="00956DFB" w:rsidRPr="00AC1B06" w:rsidRDefault="00956DFB" w:rsidP="00A0151B">
      <w:pPr>
        <w:pStyle w:val="NormalWeb"/>
        <w:spacing w:before="0" w:after="0" w:line="360" w:lineRule="auto"/>
        <w:rPr>
          <w:rFonts w:ascii="Calibri" w:hAnsi="Calibri" w:cs="Calibri"/>
        </w:rPr>
      </w:pPr>
    </w:p>
    <w:p w14:paraId="504B014F" w14:textId="77E20A69" w:rsidR="00787F73" w:rsidRDefault="00C84401" w:rsidP="00A0151B">
      <w:pPr>
        <w:pStyle w:val="NormalWeb"/>
        <w:spacing w:before="0" w:after="0" w:line="360" w:lineRule="auto"/>
        <w:rPr>
          <w:rFonts w:ascii="Calibri" w:hAnsi="Calibri" w:cs="Calibri"/>
          <w:color w:val="000000"/>
        </w:rPr>
      </w:pPr>
      <w:r w:rsidRPr="00010F12">
        <w:rPr>
          <w:rFonts w:ascii="Calibri" w:hAnsi="Calibri" w:cs="Calibri"/>
        </w:rPr>
        <w:t>While</w:t>
      </w:r>
      <w:r w:rsidR="00742FB7" w:rsidRPr="00AC1B06">
        <w:rPr>
          <w:rFonts w:ascii="Calibri" w:hAnsi="Calibri" w:cs="Calibri"/>
        </w:rPr>
        <w:t xml:space="preserve"> the LR community had a series of community groups which helped support community members, the HR group did not have this infrastructure in place due to a lack of capacity within the community and chronic underfunding resulting in a removal of services within the area. This impacted the mentality of the community, with the HR group having an extremely low mental outlook in terms of their ability to survive COVID-19 or other disasters, which can influence the wider community’s perception of community resilience </w:t>
      </w:r>
      <w:bookmarkStart w:id="1098" w:name="_Hlk153298155"/>
      <w:r w:rsidR="00742FB7" w:rsidRPr="00AC1B06">
        <w:rPr>
          <w:rFonts w:ascii="Calibri" w:hAnsi="Calibri" w:cs="Calibri"/>
        </w:rPr>
        <w:t xml:space="preserve"> </w:t>
      </w:r>
      <w:r w:rsidR="00742FB7" w:rsidRPr="00AC1B06">
        <w:rPr>
          <w:rFonts w:ascii="Calibri" w:hAnsi="Calibri" w:cs="Calibri"/>
        </w:rPr>
        <w:fldChar w:fldCharType="begin" w:fldLock="1"/>
      </w:r>
      <w:r w:rsidR="00974B75" w:rsidRPr="00AC1B06">
        <w:rPr>
          <w:rFonts w:ascii="Calibri" w:hAnsi="Calibri" w:cs="Calibri"/>
        </w:rPr>
        <w:instrText>ADDIN CSL_CITATION {"citationItems":[{"id":"ITEM-1","itemData":{"DOI":"10.1016/j.chb.2022.107294","ISSN":"07475632","abstract":"Facing the Covid outbreaks, public health researchers share a consensus that community resilience should be maintained and strengthened because it helps mitigate the physical and emotional tolls on individuals and communities. One way to achieve the goal is to build and strengthen community resilience through social media. However, social media's role in building community resilience has been poorly understood from a behavioral perspective. Guiding by uses and gratification theory and the coping literature, we build a model to examine how social media behaviors may influence community members' perceived community resilience, providing a “bottom-up” voice to deepen our understanding of community resilience and its implications for public health. The results shows that community members' social media engagement was significantly associated with their perceived community resilience. While helping others on social media led people to perceive their communities as less resilient, the use of social media for social support helped foster social capital, leading to more perceived resilience at the collective level. Overall, social media use played important roles in shaping people's perception of community resilience, helping community members and organizations evaluate their strengths and weaknesses, and make improvement to better address future challenges in the times of global disasters.","author":[{"dropping-particle":"","family":"Xie","given":"Lola","non-dropping-particle":"","parse-names":false,"suffix":""},{"dropping-particle":"","family":"Pinto","given":"Juliet","non-dropping-particle":"","parse-names":false,"suffix":""},{"dropping-particle":"","family":"Zhong","given":"Bu","non-dropping-particle":"","parse-names":false,"suffix":""}],"container-title":"Computers in Human Behavior","id":"ITEM-1","issued":{"date-parts":[["2022"]]},"page":"1 - 9","title":"Building community resilience on social media to help recover from the COVID-19 pandemic","type":"article-journal","volume":"134"},"uris":["http://www.mendeley.com/documents/?uuid=625f072e-ec3a-410e-b53c-06c711464573"]},{"id":"ITEM-2","itemData":{"DOI":"10.1109/TEM.2023.3290152","ISSN":"15580040","abstract":"The ubiquity of social media and the varying nature of subjective well-being (SWB) in a culturally heterogeneous world raises an essential question about how social media and culture jointly influence SWB. We argue that social media shapes the influence of cultural dimensions on SWB in nuanced ways, depending on the nature of the dimensions. Drawing on the affordance-based institutional logics perspective, we hypothesize that social media attenuates the adverse effects of power distance, masculinity, and uncertainty avoidance and amplifies the positive effects of individualism, long-term orientation, and indulgence on SWB. Using a dynamic panel model, our analysis shows that a degree of high social media diffusion in a country reduces the negative effect of power distance on SWB and increases the positive effect of individualism on SWB. These findings can help policymakers make informed decisions regarding increasing social media penetration as a means of overcoming negative cultural characteristics to enhance SWB.","author":[{"dropping-particle":"","family":"Arayankalam","given":"Jithesh","non-dropping-particle":"","parse-names":false,"suffix":""},{"dropping-particle":"","family":"Krishnan","given":"Satish","non-dropping-particle":"","parse-names":false,"suffix":""},{"dropping-particle":"","family":"Ractham","given":"Peter","non-dropping-particle":"","parse-names":false,"suffix":""},{"dropping-particle":"","family":"Papa","given":"Armando","non-dropping-particle":"","parse-names":false,"suffix":""}],"container-title":"IEEE Transactions on Engineering Management","id":"ITEM-2","issued":{"date-parts":[["2023"]]},"page":"1-17","title":"Social Media as an Amplifier or Attenuator: How Does Social Media Diffusion Shape the Influence of Culture on Subjective Well-Being","type":"article-journal"},"uris":["http://www.mendeley.com/documents/?uuid=26a85c19-7d40-4644-a009-3a4bc68b715b"]}],"mendeley":{"formattedCitation":"(Arayankalam et al., 2023; Xie, Pinto, &amp; Zhong, 2022)","plainTextFormattedCitation":"(Arayankalam et al., 2023; Xie, Pinto, &amp; Zhong, 2022)","previouslyFormattedCitation":"(Arayankalam et al., 2023; Xie, Pinto, &amp; Zhong, 2022)"},"properties":{"noteIndex":0},"schema":"https://github.com/citation-style-language/schema/raw/master/csl-citation.json"}</w:instrText>
      </w:r>
      <w:r w:rsidR="00742FB7" w:rsidRPr="00AC1B06">
        <w:rPr>
          <w:rFonts w:ascii="Calibri" w:hAnsi="Calibri" w:cs="Calibri"/>
        </w:rPr>
        <w:fldChar w:fldCharType="separate"/>
      </w:r>
      <w:r w:rsidR="00742FB7" w:rsidRPr="00AC1B06">
        <w:rPr>
          <w:rFonts w:ascii="Calibri" w:hAnsi="Calibri" w:cs="Calibri"/>
          <w:noProof/>
        </w:rPr>
        <w:t>(Arayankalam et al., 2023; Xie, Pinto, &amp; Zhong, 2022)</w:t>
      </w:r>
      <w:r w:rsidR="00742FB7" w:rsidRPr="00AC1B06">
        <w:rPr>
          <w:rFonts w:ascii="Calibri" w:hAnsi="Calibri" w:cs="Calibri"/>
        </w:rPr>
        <w:fldChar w:fldCharType="end"/>
      </w:r>
      <w:bookmarkEnd w:id="1098"/>
      <w:r w:rsidR="00742FB7" w:rsidRPr="00AC1B06">
        <w:rPr>
          <w:rFonts w:ascii="Calibri" w:hAnsi="Calibri" w:cs="Calibri"/>
        </w:rPr>
        <w:t xml:space="preserve">. Within the community resilience literature, mental outlook is viewed as an important element within communities, and can be combined with socio-economic conditions to explain a community’s vulnerability and therefore their ability to develop community resilience </w:t>
      </w:r>
      <w:r w:rsidR="00742FB7" w:rsidRPr="00AC1B06">
        <w:rPr>
          <w:rFonts w:ascii="Calibri" w:hAnsi="Calibri" w:cs="Calibri"/>
        </w:rPr>
        <w:fldChar w:fldCharType="begin" w:fldLock="1"/>
      </w:r>
      <w:r w:rsidR="00974B75" w:rsidRPr="00AC1B06">
        <w:rPr>
          <w:rFonts w:ascii="Calibri" w:hAnsi="Calibri" w:cs="Calibri"/>
        </w:rPr>
        <w:instrText>ADDIN CSL_CITATION {"citationItems":[{"id":"ITEM-1","itemData":{"author":[{"dropping-particle":"","family":"Demeritt","given":"David","non-dropping-particle":"","parse-names":false,"suffix":""}],"container-title":"Progress in Human Geography","id":"ITEM-1","issue":"6","issued":{"date-parts":[["2002"]]},"page":"767-790","title":"What is the `social construction of nature? A typology and sympathetic critique","type":"article-journal","volume":"26"},"uris":["http://www.mendeley.com/documents/?uuid=426453fe-6225-4de7-a3c1-96891a7070ff"]},{"id":"ITEM-2","itemData":{"DOI":"10.1108/09653560810887275","ISBN":"0471949930","ISSN":"0965-3562","PMID":"14616063","abstract":"The main concept by which the 'social causation' is explained is 'vulnerability', which is a measure of the degree and type of exposures to risks generated by different societies in relation to hazards. This approach can be termed as 'vulnerability analysis'.","author":[{"dropping-particle":"","family":"Cannon","given":"Terry","non-dropping-particle":"","parse-names":false,"suffix":""}],"chapter-number":"2","container-title":"Disasters, Development and Environment","editor":[{"dropping-particle":"","family":"Varley","given":"Ann","non-dropping-particle":"","parse-names":false,"suffix":""}],"id":"ITEM-2","issued":{"date-parts":[["1994"]]},"page":"13-30","publisher":"John Wiley &amp; Sons Ltd","title":"Vulnerability Analysis and the Explanation of 'Natural' Disasters","type":"chapter"},"uris":["http://www.mendeley.com/documents/?uuid=af2da17b-67b6-4ce1-96d0-11ea439137c5"]},{"id":"ITEM-3","itemData":{"DOI":"10.3763/ehaz.1999.0105","ISSN":"18780059","abstract":"A disaster is widely perceived as an event that is beyond human control; the capricious hand of fate moves against unsuspecting communities creating massive destruction and prompting victims to call for divine support as well as earthly assistance. Surely these people would have acted differently had the risks been known and now they must depend on others for humanitarian aid with which to rebuild their shattered communities.","author":[{"dropping-particle":"","family":"Comfort","given":"L.","non-dropping-particle":"","parse-names":false,"suffix":""},{"dropping-particle":"","family":"Wisner","given":"B.","non-dropping-particle":"","parse-names":false,"suffix":""},{"dropping-particle":"","family":"Cutter","given":"S.","non-dropping-particle":"","parse-names":false,"suffix":""},{"dropping-particle":"","family":"Pulwarty","given":"R.","non-dropping-particle":"","parse-names":false,"suffix":""},{"dropping-particle":"","family":"Hewitt","given":"K.","non-dropping-particle":"","parse-names":false,"suffix":""},{"dropping-particle":"","family":"Oliver-Smith","given":"A.","non-dropping-particle":"","parse-names":false,"suffix":""},{"dropping-particle":"","family":"Wiener","given":"J.","non-dropping-particle":"","parse-names":false,"suffix":""},{"dropping-particle":"","family":"Fordham","given":"M.","non-dropping-particle":"","parse-names":false,"suffix":""},{"dropping-particle":"","family":"Peacock","given":"W.","non-dropping-particle":"","parse-names":false,"suffix":""},{"dropping-particle":"","family":"Krimgold","given":"F.","non-dropping-particle":"","parse-names":false,"suffix":""}],"container-title":"Global Environmental Change Part B: Environmental Hazards","id":"ITEM-3","issue":"1","issued":{"date-parts":[["1999"]]},"page":"39-44","title":"Reframing disaster policy: The global evolution of vulnerable communities","type":"article-journal","volume":"1"},"uris":["http://www.mendeley.com/documents/?uuid=ef487eba-33ca-47fb-8984-5d690fecc16e"]},{"id":"ITEM-4","itemData":{"DOI":"10.1016/j.scs.2021.103577","ISSN":"22106707","abstract":"The use of social media platforms such as Twitter significantly increases during natural hazards. With the emergence of several social media platforms over the past decade, many studies have investigated the applications of these platforms during calamities. This study presents a comprehensive spatiotemporal analysis of textual content from millions of tweets shared on Twitter during Hurricane Harvey (2017) across several affected counties in southeast Texas. We propose a new Hazard Risk Awareness (HRA) Index, which considers multiple factors, including the number of tweets, population, internet use rate, and natural hazard characteristics per geographic location. We then map the HRA Index across southeast Texas. Utilizing a dataset of 18 million tweets, we employ Natural Language Processing (NLP) along with a set of statistical techniques to perform analysis on the textual data generated by Twitter users during Hurricane Harvey. This enables us to subdivide the tweet contents into several categories per county that would inform crisis management during the event. In all, our study provides valuable information at the county level before, during, and after Harvey that could significantly help disaster managers and responders to minimize the consequences of the event and improve the preparedness of the residents for it. Since HRA is derived based on the meteorological observations and some demographic information, depending on the availability of such dataset and the nature of the hazard (i.e., flood, wildfire, hurricane, and earthquake), this index can be calculated and employed for assessing the risk awareness of a community exposed to either of these natural hazards.","author":[{"dropping-particle":"","family":"Karimiziarani","given":"Mohammadsepehr","non-dropping-particle":"","parse-names":false,"suffix":""},{"dropping-particle":"","family":"Jafarzadegan","given":"Keighobad","non-dropping-particle":"","parse-names":false,"suffix":""},{"dropping-particle":"","family":"Abbaszadeh","given":"Peyman","non-dropping-particle":"","parse-names":false,"suffix":""},{"dropping-particle":"","family":"Shao","given":"Wanyun","non-dropping-particle":"","parse-names":false,"suffix":""},{"dropping-particle":"","family":"Moradkhani","given":"Hamid","non-dropping-particle":"","parse-names":false,"suffix":""}],"container-title":"Sustainable Cities and Society","id":"ITEM-4","issued":{"date-parts":[["2022"]]},"page":"1 - 11","title":"Hazard risk awareness and disaster management: Extracting the information content of twitter data","type":"article-journal","volume":"77"},"uris":["http://www.mendeley.com/documents/?uuid=0ff52b10-5251-4279-bf6e-c55c0e18363a"]}],"mendeley":{"formattedCitation":"(Karimiziarani et al., 2022; Demeritt, 2002; Comfort et al., 1999; Cannon, 1994)","plainTextFormattedCitation":"(Karimiziarani et al., 2022; Demeritt, 2002; Comfort et al., 1999; Cannon, 1994)","previouslyFormattedCitation":"(Karimiziarani et al., 2022; Demeritt, 2002; Comfort et al., 1999; Cannon, 1994)"},"properties":{"noteIndex":0},"schema":"https://github.com/citation-style-language/schema/raw/master/csl-citation.json"}</w:instrText>
      </w:r>
      <w:r w:rsidR="00742FB7" w:rsidRPr="00AC1B06">
        <w:rPr>
          <w:rFonts w:ascii="Calibri" w:hAnsi="Calibri" w:cs="Calibri"/>
        </w:rPr>
        <w:fldChar w:fldCharType="separate"/>
      </w:r>
      <w:r w:rsidR="00742FB7" w:rsidRPr="00AC1B06">
        <w:rPr>
          <w:rFonts w:ascii="Calibri" w:hAnsi="Calibri" w:cs="Calibri"/>
          <w:noProof/>
        </w:rPr>
        <w:t>(Karimiziarani et al., 2022; Demeritt, 2002; Comfort et al., 1999; Cannon, 1994)</w:t>
      </w:r>
      <w:r w:rsidR="00742FB7" w:rsidRPr="00AC1B06">
        <w:rPr>
          <w:rFonts w:ascii="Calibri" w:hAnsi="Calibri" w:cs="Calibri"/>
        </w:rPr>
        <w:fldChar w:fldCharType="end"/>
      </w:r>
      <w:r w:rsidR="00742FB7" w:rsidRPr="00AC1B06">
        <w:rPr>
          <w:rFonts w:ascii="Calibri" w:hAnsi="Calibri" w:cs="Calibri"/>
        </w:rPr>
        <w:t xml:space="preserve">. This low mental outlook will impact their ability to develop threat appraisal, as they believed that they would not be able to develop coping appraisal to any risk </w:t>
      </w:r>
      <w:r w:rsidR="00742FB7" w:rsidRPr="00AC1B06">
        <w:rPr>
          <w:rFonts w:ascii="Calibri" w:hAnsi="Calibri" w:cs="Calibri"/>
        </w:rPr>
        <w:fldChar w:fldCharType="begin" w:fldLock="1"/>
      </w:r>
      <w:r w:rsidR="00974B75" w:rsidRPr="00AC1B06">
        <w:rPr>
          <w:rFonts w:ascii="Calibri" w:hAnsi="Calibri" w:cs="Calibri"/>
        </w:rPr>
        <w:instrText>ADDIN CSL_CITATION {"citationItems":[{"id":"ITEM-1","itemData":{"DOI":"10.1007/s11069-017-3111-0","ISSN":"15730840","abstract":"Communicating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Hazards","id":"ITEM-1","issued":{"date-parts":[["2018"]]},"page":"1461-1483","title":"How does information affect fire risk reduction behaviors? Mediating effects of cognitive processes and subjective knowledge","type":"article-journal","volume":"90"},"uris":["http://www.mendeley.com/documents/?uuid=b253cc58-5f59-4b2e-9c77-76be2b2788b4"]},{"id":"ITEM-2","itemData":{"DOI":"10.1061/(asce)nh.1527-6996.0000294","ISBN":"0000000167","ISSN":"1527-6988","abstract":"©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Review","id":"ITEM-2","issue":"3","issued":{"date-parts":[["2018"]]},"page":"1 - 21","title":"Flood Risk Assessment, Future Trend Modeling, and Risk Communication: A Review of Ongoing Research","type":"article-journal","volume":"19"},"uris":["http://www.mendeley.com/documents/?uuid=72f77961-1216-4228-ab43-b36cf7f2e2d4"]},{"id":"ITEM-3","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Hazards","id":"ITEM-3","issued":{"date-parts":[["2018"]]},"page":"1665-1686","publisher":"Springer Netherlands","title":"Rethinking flood risk communication","type":"article-journal","volume":"92"},"uris":["http://www.mendeley.com/documents/?uuid=a75b9d7a-46e6-41f1-a446-75375a9342c5"]},{"id":"ITEM-4","itemData":{"DOI":"10.1080/19371918.2021.2018082","ISSN":"1937190X","PMID":"34962187","abstract":"COVID-19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Health","id":"ITEM-4","issue":"5","issued":{"date-parts":[["2022"]]},"page":"419-434","title":"An Integrated Approach to COVID-19 Preventive Behaviour Intentions: Protection Motivation Theory, Information Acquisition, and Trust","type":"article-journal","volume":"37"},"uris":["http://www.mendeley.com/documents/?uuid=8abd72eb-8ae4-4af7-9da1-be357bf94394"]},{"id":"ITEM-5","itemData":{"DOI":"10.1016/j.ijdrr.2021.102759","ISSN":"22124209","abstract":"The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Reduction","id":"ITEM-5","issued":{"date-parts":[["2022"]]},"page":"1 - 16","title":"Determination of factors affecting the response efficacy of Filipinos under Typhoon Conson 2021 (Jolina): An extended protection motivation theory approach","type":"article-journal","volume":"70"},"uris":["http://www.mendeley.com/documents/?uuid=df8c524a-2262-493d-9e98-6620d59903d4"]}],"mendeley":{"formattedCitation":"(Acar &amp; Kıcali, 2022; Gumasing et al., 2022; Liu &amp; Jiao, 2018; Rollason et al., 2018; Salman &amp; Li, 2018)","manualFormatting":"(Acar &amp; Kıcali, 2022; Gumasing et al., 2022; Liu &amp; Jiao, 2018; Rollason et al., 2018; Salman &amp; Li, 2018)","plainTextFormattedCitation":"(Acar &amp; Kıcali, 2022; Gumasing et al., 2022; Liu &amp; Jiao, 2018; Rollason et al., 2018; Salman &amp; Li, 2018)","previouslyFormattedCitation":"(Acar &amp; Kıcali, 2022; Gumasing et al., 2022; Liu &amp; Jiao, 2018; Rollason et al., 2018; Salman &amp; Li, 2018)"},"properties":{"noteIndex":0},"schema":"https://github.com/citation-style-language/schema/raw/master/csl-citation.json"}</w:instrText>
      </w:r>
      <w:r w:rsidR="00742FB7" w:rsidRPr="00AC1B06">
        <w:rPr>
          <w:rFonts w:ascii="Calibri" w:hAnsi="Calibri" w:cs="Calibri"/>
        </w:rPr>
        <w:fldChar w:fldCharType="separate"/>
      </w:r>
      <w:r w:rsidR="00742FB7" w:rsidRPr="00AC1B06">
        <w:rPr>
          <w:rFonts w:ascii="Calibri" w:hAnsi="Calibri" w:cs="Calibri"/>
          <w:noProof/>
        </w:rPr>
        <w:t>(Acar &amp; Kıcali, 2022; Gumasing et al., 2022; Liu &amp; Jiao, 2018; Rollason et al., 2018; Salman &amp; Li, 2018)</w:t>
      </w:r>
      <w:r w:rsidR="00742FB7" w:rsidRPr="00AC1B06">
        <w:rPr>
          <w:rFonts w:ascii="Calibri" w:hAnsi="Calibri" w:cs="Calibri"/>
        </w:rPr>
        <w:fldChar w:fldCharType="end"/>
      </w:r>
      <w:r w:rsidR="00742FB7" w:rsidRPr="00AC1B06">
        <w:rPr>
          <w:rFonts w:ascii="Calibri" w:hAnsi="Calibri" w:cs="Calibri"/>
        </w:rPr>
        <w:t xml:space="preserve">. </w:t>
      </w:r>
      <w:r w:rsidR="00742FB7" w:rsidRPr="00AC1B06">
        <w:rPr>
          <w:rFonts w:ascii="Calibri" w:hAnsi="Calibri" w:cs="Calibri"/>
          <w:color w:val="000000"/>
        </w:rPr>
        <w:t>This builds on existing literature focus</w:t>
      </w:r>
      <w:r w:rsidR="00BF12D9">
        <w:rPr>
          <w:rFonts w:ascii="Calibri" w:hAnsi="Calibri" w:cs="Calibri"/>
          <w:color w:val="000000"/>
        </w:rPr>
        <w:t>sing</w:t>
      </w:r>
      <w:r w:rsidR="00742FB7" w:rsidRPr="00AC1B06">
        <w:rPr>
          <w:rFonts w:ascii="Calibri" w:hAnsi="Calibri" w:cs="Calibri"/>
          <w:color w:val="000000"/>
        </w:rPr>
        <w:t xml:space="preserve"> on the importance of networks for emotional and mental support </w:t>
      </w:r>
      <w:r w:rsidR="00742FB7" w:rsidRPr="00AC1B06">
        <w:rPr>
          <w:rFonts w:ascii="Calibri" w:hAnsi="Calibri" w:cs="Calibri"/>
        </w:rPr>
        <w:fldChar w:fldCharType="begin" w:fldLock="1"/>
      </w:r>
      <w:r w:rsidR="00742FB7" w:rsidRPr="00AC1B06">
        <w:rPr>
          <w:rFonts w:ascii="Calibri" w:hAnsi="Calibri" w:cs="Calibri"/>
          <w:color w:val="000000"/>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India","type":"article-journal","volume":"19"},"uris":["http://www.mendeley.com/documents/?uuid=d8bcf27c-1efc-4c15-8204-cd8b37719dd2"]}],"mendeley":{"formattedCitation":"(Sanyal &amp; Routray, 2016)","plainTextFormattedCitation":"(Sanyal &amp; Routray, 2016)","previouslyFormattedCitation":"(Sanyal &amp; Routray, 2016)"},"properties":{"noteIndex":0},"schema":"https://github.com/citation-style-language/schema/raw/master/csl-citation.json"}</w:instrText>
      </w:r>
      <w:r w:rsidR="00742FB7" w:rsidRPr="00AC1B06">
        <w:rPr>
          <w:rFonts w:ascii="Calibri" w:hAnsi="Calibri" w:cs="Calibri"/>
          <w:color w:val="000000"/>
        </w:rPr>
        <w:fldChar w:fldCharType="separate"/>
      </w:r>
      <w:r w:rsidR="00742FB7" w:rsidRPr="00AC1B06">
        <w:rPr>
          <w:rFonts w:ascii="Calibri" w:hAnsi="Calibri" w:cs="Calibri"/>
          <w:noProof/>
          <w:color w:val="000000"/>
        </w:rPr>
        <w:t>(Sanyal &amp; Routray, 2016)</w:t>
      </w:r>
      <w:r w:rsidR="00742FB7" w:rsidRPr="00AC1B06">
        <w:rPr>
          <w:rFonts w:ascii="Calibri" w:hAnsi="Calibri" w:cs="Calibri"/>
          <w:color w:val="000000"/>
        </w:rPr>
        <w:fldChar w:fldCharType="end"/>
      </w:r>
      <w:r w:rsidR="00742FB7" w:rsidRPr="00AC1B06">
        <w:rPr>
          <w:rFonts w:ascii="Calibri" w:hAnsi="Calibri" w:cs="Calibri"/>
          <w:color w:val="000000"/>
        </w:rPr>
        <w:t xml:space="preserve"> and the role of mental health and a communities sense of hope and adaptability </w:t>
      </w:r>
      <w:r w:rsidR="00742FB7"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{"citationItems":[{"id":"ITEM-1","itemData":{"DOI":"10.1371/currents.dis.db775aff25efc5ac4f0660ad9c9f7db2","ISSN":"2157-3999","abstract":"Background: Government, industry and charitable organisations have an increasing focus on programs intended to support community resilience to disasters. But has consensus been reached as to what defines 'community resilience' and what its core characteristics are? Methods: We undertook a systematic literature review of definitions of community resilience related to disasters. We conducted an inductive thematic analysis of the definitions and descriptions that we identified, in order to determine the proposed characteristics of community resilience prior to, during and after a disaster. Results: We identified 80 relevant papers. There was no evidence of a common, agreed definition of community resilience. In spite of this, evidence was found of nine core elements of community resilience that were common among the definitions. The core elements were: local knowledge, community networks and relationships, communication, health, governance and leadership, resources, economic investment, preparedness, and mental outlook. Within these core elements, we identified 19 sub-elements linked to community resilience. Conclusion: Our findings show that community resilience remains an amorphous concept that is understood and applied differently by different research groups. Yet in spite of the differences in conception and application, there are well-understood elements that are widely proposed as important for a resilient community. A focus on these individual elements may be more productive than attempting to define and study community resilience as a distinct concept. Tweet Patel SS, Rogers MB, Amlôt R, Rubin GJ. What Do We Mean by 'Community Resilience'? A","author":[{"dropping-particle":"","family":"Patel","given":"Sonny S","non-dropping-particle":"","parse-names":false,"suffix":""},{"dropping-particle":"","family":"Rogers","given":"M Brooke","non-dropping-particle":"","parse-names":false,"suffix":""},{"dropping-particle":"","family":"Amlôt","given":"Richard","non-dropping-particle":"","parse-names":false,"suffix":""},{"dropping-particle":"","family":"Rubin","given":"G James","non-dropping-particle":"","parse-names":false,"suffix":""}],"container-title":"PLoS currents","id":"ITEM-1","issued":{"date-parts":[["2017"]]},"page":"1-22","title":"What Do We Mean by 'Community Resilience'? A Systematic Literature Review of How It Is Defined in the Literature","type":"article-journal","volume":"9"},"uris":["http://www.mendeley.com/documents/?uuid=8b7e845a-0cc5-4c23-b38e-826bdf09e29d"]}],"mendeley":{"formattedCitation":"(Patel et al., 2017)","plainTextFormattedCitation":"(Patel et al., 2017)","previouslyFormattedCitation":"(Patel et al., 2017)"},"properties":{"noteIndex":0},"schema":"https://github.com/citation-style-language/schema/raw/master/csl-citation.json"}</w:instrText>
      </w:r>
      <w:r w:rsidR="00742FB7" w:rsidRPr="00AC1B06">
        <w:rPr>
          <w:rFonts w:ascii="Calibri" w:hAnsi="Calibri" w:cs="Calibri"/>
          <w:color w:val="000000"/>
        </w:rPr>
        <w:fldChar w:fldCharType="separate"/>
      </w:r>
      <w:r w:rsidR="00742FB7" w:rsidRPr="00AC1B06">
        <w:rPr>
          <w:rFonts w:ascii="Calibri" w:hAnsi="Calibri" w:cs="Calibri"/>
          <w:noProof/>
          <w:color w:val="000000"/>
        </w:rPr>
        <w:t>(Patel et al., 2017)</w:t>
      </w:r>
      <w:r w:rsidR="00742FB7" w:rsidRPr="00AC1B06">
        <w:rPr>
          <w:rFonts w:ascii="Calibri" w:hAnsi="Calibri" w:cs="Calibri"/>
          <w:color w:val="000000"/>
        </w:rPr>
        <w:fldChar w:fldCharType="end"/>
      </w:r>
      <w:r w:rsidR="00742FB7" w:rsidRPr="00AC1B06">
        <w:rPr>
          <w:rFonts w:ascii="Calibri" w:hAnsi="Calibri" w:cs="Calibri"/>
          <w:color w:val="000000"/>
        </w:rPr>
        <w:t xml:space="preserve">. This thesis contributes to the literature by examining how a lack of linking social capital with </w:t>
      </w:r>
      <w:r w:rsidR="00742FB7" w:rsidRPr="00AC1B06">
        <w:rPr>
          <w:rFonts w:ascii="Calibri" w:hAnsi="Calibri" w:cs="Calibri"/>
          <w:color w:val="000000"/>
        </w:rPr>
        <w:lastRenderedPageBreak/>
        <w:t>agencies can influence the wellbeing of a community, such as the HR group’s feelings of being abandoned by services and agencies.</w:t>
      </w:r>
    </w:p>
    <w:p w14:paraId="40ECF9B7" w14:textId="77777777" w:rsidR="00956DFB" w:rsidRPr="00AC1B06" w:rsidRDefault="00956DFB" w:rsidP="00A0151B">
      <w:pPr>
        <w:pStyle w:val="NormalWeb"/>
        <w:spacing w:before="0" w:after="0" w:line="360" w:lineRule="auto"/>
        <w:rPr>
          <w:rFonts w:ascii="Calibri" w:hAnsi="Calibri" w:cs="Calibri"/>
        </w:rPr>
      </w:pPr>
    </w:p>
    <w:p w14:paraId="687E0944" w14:textId="35B64FD0" w:rsidR="00787F73" w:rsidRDefault="00742FB7" w:rsidP="00A0151B">
      <w:pPr>
        <w:pStyle w:val="NormalWeb"/>
        <w:spacing w:before="0" w:after="0" w:line="360" w:lineRule="auto"/>
        <w:rPr>
          <w:rFonts w:ascii="Calibri" w:hAnsi="Calibri" w:cs="Calibri"/>
          <w:color w:val="000000"/>
        </w:rPr>
      </w:pPr>
      <w:r w:rsidRPr="00AC1B06">
        <w:rPr>
          <w:rFonts w:ascii="Calibri" w:hAnsi="Calibri" w:cs="Calibri"/>
          <w:color w:val="000000"/>
        </w:rPr>
        <w:t>Within the community composition, each group was subject to different logics, including macro societal and smaller scale field logics. Within the LR group</w:t>
      </w:r>
      <w:r w:rsidR="00BF12D9">
        <w:rPr>
          <w:rFonts w:ascii="Calibri" w:hAnsi="Calibri" w:cs="Calibri"/>
          <w:color w:val="000000"/>
        </w:rPr>
        <w:t>,</w:t>
      </w:r>
      <w:r w:rsidRPr="00AC1B06">
        <w:rPr>
          <w:rFonts w:ascii="Calibri" w:hAnsi="Calibri" w:cs="Calibri"/>
          <w:color w:val="000000"/>
        </w:rPr>
        <w:t xml:space="preserve"> there were community members who had relevant professional logics, such as a geography teacher and someone with an understanding of the insurance sector, which meant they were able to support the community during the floods, help explain what was happening</w:t>
      </w:r>
      <w:r w:rsidR="00BF12D9">
        <w:rPr>
          <w:rFonts w:ascii="Calibri" w:hAnsi="Calibri" w:cs="Calibri"/>
          <w:color w:val="000000"/>
        </w:rPr>
        <w:t>,</w:t>
      </w:r>
      <w:r w:rsidRPr="00AC1B06">
        <w:rPr>
          <w:rFonts w:ascii="Calibri" w:hAnsi="Calibri" w:cs="Calibri"/>
          <w:color w:val="000000"/>
        </w:rPr>
        <w:t xml:space="preserve"> and also how to apply through insurance providers. This builds on the existing community resilience literature which examines the information and knowledge within a community and its ability to reduce vulnerability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{"citationItems":[{"id":"ITEM-1","itemData":{"DOI":"10.1146/annurev.energy.32.051807.090348","ISBN":"1708-3087","ISSN":"0954-5794","PMID":"7615","abstract":"Despite the recent popularity and frequent use of the disaster resilience concept in the academic, re- search, and policy programs, there is a limited theoretical understanding of this concept. For instance, it is not clear how this concept should be operationalized and what its determinant factors are or how they can be measured. Al- though the recent literatures on hazard and disaster frequently refer to resilience concept as a guiding principle behind an effective hazard risk management, making it operational for policies raises critical challenges in terms of its as- sessment. This paper is an attempt to develop a conceptual and methodological framework for the analysis, measure- ment, and mapping of community disaster resilience. The paper specifically intends to archive three objectives. Firstly, it examines the general definitional issues of the concept of resilience with a focus on community disaster re- silience. Secondly, it reviews the frameworks that are currently used to measure community resilience. Thirdly, it evaluates the existing methods that are used to develop resilience indices, and based on this review, a methodology on how to measure community disaster resilience is proposed. Finally, it summarizes the limitations and recommen- dations for further improvement of the methodology.","author":[{"dropping-particle":"","family":"Mayunga","given":"Joseph S","non-dropping-particle":"","parse-names":false,"suffix":""}],"container-title":"Summer academy for social vulnerability and resilience building","id":"ITEM-1","issue":"1","issued":{"date-parts":[["2007"]]},"number-of-pages":"1-16","publisher-place":"Munich","title":"Understanding and Applying the Concept of Community Disaster Resilience : A capital-based approach","type":"report"},"uris":["http://www.mendeley.com/documents/?uuid=8d9105d9-093b-4ab1-98f2-8230311a4cbf"]}],"mendeley":{"formattedCitation":"(Mayunga, 2007)","plainTextFormattedCitation":"(Mayunga, 2007)","previouslyFormattedCitation":"(Mayunga, 2007)"},"properties":{"noteIndex":0},"schema":"https://github.com/citation-style-language/schema/raw/master/csl-citation.json"}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(Mayunga, 2007)</w:t>
      </w:r>
      <w:r w:rsidRPr="00AC1B06">
        <w:rPr>
          <w:rFonts w:ascii="Calibri" w:hAnsi="Calibri" w:cs="Calibri"/>
          <w:color w:val="000000"/>
        </w:rPr>
        <w:fldChar w:fldCharType="end"/>
      </w:r>
      <w:r w:rsidRPr="00AC1B06">
        <w:rPr>
          <w:rFonts w:ascii="Calibri" w:hAnsi="Calibri" w:cs="Calibri"/>
          <w:color w:val="000000"/>
        </w:rPr>
        <w:t xml:space="preserve">, the importance of these skills within community leaders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{"citationItems":[{"id":"ITEM-1","itemData":{"DOI":"10.3763/ehaz.1999.0103","author":[{"dropping-particle":"","family":"Tobin","given":"Graham A","non-dropping-particle":"","parse-names":false,"suffix":""}],"container-title":"Environmental Hazards","id":"ITEM-1","issue":"1","issued":{"date-parts":[["1999"]]},"page":"13-25","title":"Sustainability and community resilience: the holy grail of hazards planning?","type":"article-journal","volume":"1"},"uris":["http://www.mendeley.com/documents/?uuid=8bf65d46-8190-4198-bf8c-df8928e2d260"]}],"mendeley":{"formattedCitation":"(Tobin, 1999)","plainTextFormattedCitation":"(Tobin, 1999)","previouslyFormattedCitation":"(Tobin, 1999)"},"properties":{"noteIndex":0},"schema":"https://github.com/citation-style-language/schema/raw/master/csl-citation.json"}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(Tobin, 1999)</w:t>
      </w:r>
      <w:r w:rsidRPr="00AC1B06">
        <w:rPr>
          <w:rFonts w:ascii="Calibri" w:hAnsi="Calibri" w:cs="Calibri"/>
          <w:color w:val="000000"/>
        </w:rPr>
        <w:fldChar w:fldCharType="end"/>
      </w:r>
      <w:r w:rsidRPr="00AC1B06">
        <w:rPr>
          <w:rFonts w:ascii="Calibri" w:hAnsi="Calibri" w:cs="Calibri"/>
          <w:color w:val="000000"/>
        </w:rPr>
        <w:t xml:space="preserve">, and the role of traditional skills within communities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{"citationItems":[{"id":"ITEM-1","itemData":{"DOI":"10.1016/j.wsif.2021.102550","ISSN":"02775395","abstract":"Climate change is projected to have wide-ranging effects on natural resources, environment, agriculture and fisheries. The various impacts of climate change pose significant risks to Pacific Island communities and people's livelihoods. A community consists of different groups of people and requires contributions from all members to build community resilience to the impacts of climate change. The Indigenous Fijian (iTaukei) women have skills, knowledge, and unique local and traditional experience that can increase the resilience of the community, however, their voice is not often heard in a patriarchal community. An understanding of gender roles in a community is essential for adaptation to climate change. Fijian communities exhibit elaborate social support system and traditional practices that demonstrate high level of dynamism and institutional support in the community's response to risks. Using semi-structured interviews, focus groups, and participant observations, the study investigated the enabling and inhibiting factors that affect the ability of iTaukei women to contribute to building community resilience. The findings from the study identified that the village women contribute significantly to three key areas of community resilience, particularly social resilience, economic resilience and ecological resilience. The findings also indicated that women face barriers that prevent them from contributing to decision-making on issues related to climate change resilience in the community. The study recommends interventions that are culturally accepted and that also support the role of women in decision-making, while promoting their participation in various climate change forums in the community.","author":[{"dropping-particle":"","family":"Singh","given":"Priyatma","non-dropping-particle":"","parse-names":false,"suffix":""},{"dropping-particle":"","family":"Tabe","given":"Tammy","non-dropping-particle":"","parse-names":false,"suffix":""},{"dropping-particle":"","family":"Martin","given":"Tess","non-dropping-particle":"","parse-names":false,"suffix":""}],"container-title":"Women's Studies International Forum","id":"ITEM-1","issued":{"date-parts":[["2022"]]},"page":"1 - 13","title":"The role of women in community resilience to climate change: A case study of an Indigenous Fijian community","type":"article-journal","volume":"90"},"uris":["http://www.mendeley.com/documents/?uuid=f2c8aeeb-38ad-428a-b6a4-98e8966b79fc"]}],"mendeley":{"formattedCitation":"(Singh, Tabe, &amp; Martin, 2022)","plainTextFormattedCitation":"(Singh, Tabe, &amp; Martin, 2022)","previouslyFormattedCitation":"(Singh, Tabe, &amp; Martin, 2022)"},"properties":{"noteIndex":0},"schema":"https://github.com/citation-style-language/schema/raw/master/csl-citation.json"}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(Singh, Tabe, &amp; Martin, 2022)</w:t>
      </w:r>
      <w:r w:rsidRPr="00AC1B06">
        <w:rPr>
          <w:rFonts w:ascii="Calibri" w:hAnsi="Calibri" w:cs="Calibri"/>
          <w:color w:val="000000"/>
        </w:rPr>
        <w:fldChar w:fldCharType="end"/>
      </w:r>
      <w:r w:rsidRPr="00AC1B06">
        <w:rPr>
          <w:rFonts w:ascii="Calibri" w:hAnsi="Calibri" w:cs="Calibri"/>
          <w:color w:val="000000"/>
        </w:rPr>
        <w:t>. This thesis builds on this work and contributes to both the community resilience literature as well as the institutional logics literature by examining the community composition through the lens of professional logics.</w:t>
      </w:r>
    </w:p>
    <w:p w14:paraId="183DA6EA" w14:textId="77777777" w:rsidR="00956DFB" w:rsidRPr="00AC1B06" w:rsidRDefault="00956DFB" w:rsidP="00A0151B">
      <w:pPr>
        <w:pStyle w:val="NormalWeb"/>
        <w:spacing w:before="0" w:after="0" w:line="360" w:lineRule="auto"/>
        <w:rPr>
          <w:rFonts w:ascii="Calibri" w:hAnsi="Calibri" w:cs="Calibri"/>
        </w:rPr>
      </w:pPr>
    </w:p>
    <w:p w14:paraId="4636602D" w14:textId="77777777" w:rsidR="00787F73" w:rsidRDefault="00742FB7" w:rsidP="00A0151B">
      <w:pPr>
        <w:pStyle w:val="NormalWeb"/>
        <w:spacing w:before="0" w:after="0" w:line="360" w:lineRule="auto"/>
        <w:rPr>
          <w:rFonts w:ascii="Calibri" w:hAnsi="Calibri" w:cs="Calibri"/>
        </w:rPr>
      </w:pPr>
      <w:r w:rsidRPr="00AC1B06">
        <w:rPr>
          <w:rFonts w:ascii="Calibri" w:hAnsi="Calibri" w:cs="Calibri"/>
        </w:rPr>
        <w:t xml:space="preserve">The second characteristic examined in the literature was the different context of each disaster or risk. An important finding within this section was that none of the community members mentioned fire, even after I had introduced myself as working in partnership with SYFR. It appeared that their threat appraisal for fires had not been activated </w:t>
      </w:r>
      <w:r w:rsidRPr="00AC1B06">
        <w:rPr>
          <w:rFonts w:ascii="Calibri" w:hAnsi="Calibri" w:cs="Calibri"/>
        </w:rPr>
        <w:fldChar w:fldCharType="begin" w:fldLock="1"/>
      </w:r>
      <w:r w:rsidR="00974B75" w:rsidRPr="00AC1B06">
        <w:rPr>
          <w:rFonts w:ascii="Calibri" w:hAnsi="Calibri" w:cs="Calibri"/>
        </w:rPr>
        <w:instrText>ADDIN CSL_CITATION {"citationItems":[{"id":"ITEM-1","itemData":{"DOI":"10.1007/s11069-017-3111-0","ISSN":"15730840","abstract":"Communicating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Hazards","id":"ITEM-1","issued":{"date-parts":[["2018"]]},"page":"1461-1483","title":"How does information affect fire risk reduction behaviors? Mediating effects of cognitive processes and subjective knowledge","type":"article-journal","volume":"90"},"uris":["http://www.mendeley.com/documents/?uuid=b253cc58-5f59-4b2e-9c77-76be2b2788b4"]},{"id":"ITEM-2","itemData":{"DOI":"10.1061/(asce)nh.1527-6996.0000294","ISBN":"0000000167","ISSN":"1527-6988","abstract":"©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Review","id":"ITEM-2","issue":"3","issued":{"date-parts":[["2018"]]},"page":"1 - 21","title":"Flood Risk Assessment, Future Trend Modeling, and Risk Communication: A Review of Ongoing Research","type":"article-journal","volume":"19"},"uris":["http://www.mendeley.com/documents/?uuid=72f77961-1216-4228-ab43-b36cf7f2e2d4"]},{"id":"ITEM-3","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Hazards","id":"ITEM-3","issued":{"date-parts":[["2018"]]},"page":"1665-1686","publisher":"Springer Netherlands","title":"Rethinking flood risk communication","type":"article-journal","volume":"92"},"uris":["http://www.mendeley.com/documents/?uuid=a75b9d7a-46e6-41f1-a446-75375a9342c5"]},{"id":"ITEM-4","itemData":{"DOI":"10.1080/19371918.2021.2018082","ISSN":"1937190X","PMID":"34962187","abstract":"COVID-19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Health","id":"ITEM-4","issue":"5","issued":{"date-parts":[["2022"]]},"page":"419-434","title":"An Integrated Approach to COVID-19 Preventive Behaviour Intentions: Protection Motivation Theory, Information Acquisition, and Trust","type":"article-journal","volume":"37"},"uris":["http://www.mendeley.com/documents/?uuid=8abd72eb-8ae4-4af7-9da1-be357bf94394"]},{"id":"ITEM-5","itemData":{"DOI":"10.1016/j.ijdrr.2021.102759","ISSN":"22124209","abstract":"The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Reduction","id":"ITEM-5","issued":{"date-parts":[["2022"]]},"page":"1 - 16","title":"Determination of factors affecting the response efficacy of Filipinos under Typhoon Conson 2021 (Jolina): An extended protection motivation theory approach","type":"article-journal","volume":"70"},"uris":["http://www.mendeley.com/documents/?uuid=df8c524a-2262-493d-9e98-6620d59903d4"]}],"mendeley":{"formattedCitation":"(Acar &amp; Kıcali, 2022; Gumasing et al., 2022; Liu &amp; Jiao, 2018; Rollason et al., 2018; Salman &amp; Li, 2018)","manualFormatting":"(Acar &amp; Kıcali, 2022; Gumasing et al., 2022; Liu &amp; Jiao, 2018; Rollason et al., 2018; Salman &amp; Li, 2018)","plainTextFormattedCitation":"(Acar &amp; Kıcali, 2022; Gumasing et al., 2022; Liu &amp; Jiao, 2018; Rollason et al., 2018; Salman &amp; Li, 2018)","previouslyFormattedCitation":"(Acar &amp; Kıcali, 2022; Gumasing et al., 2022; Liu &amp; Jiao, 2018; Rollason et al., 2018; Salman &amp; Li, 2018)"},"properties":{"noteIndex":0},"schema":"https://github.com/citation-style-language/schema/raw/master/csl-citation.json"}</w:instrText>
      </w:r>
      <w:r w:rsidRPr="00AC1B06">
        <w:rPr>
          <w:rFonts w:ascii="Calibri" w:hAnsi="Calibri" w:cs="Calibri"/>
        </w:rPr>
        <w:fldChar w:fldCharType="separate"/>
      </w:r>
      <w:r w:rsidRPr="00AC1B06">
        <w:rPr>
          <w:rFonts w:ascii="Calibri" w:hAnsi="Calibri" w:cs="Calibri"/>
          <w:noProof/>
        </w:rPr>
        <w:t>(Acar &amp; Kıcali, 2022; Gumasing et al., 2022; Liu &amp; Jiao, 2018; Rollason et al., 2018; Salman &amp; Li, 2018)</w:t>
      </w:r>
      <w:r w:rsidRPr="00AC1B06">
        <w:rPr>
          <w:rFonts w:ascii="Calibri" w:hAnsi="Calibri" w:cs="Calibri"/>
        </w:rPr>
        <w:fldChar w:fldCharType="end"/>
      </w:r>
      <w:r w:rsidRPr="00AC1B06">
        <w:rPr>
          <w:rFonts w:ascii="Calibri" w:hAnsi="Calibri" w:cs="Calibri"/>
        </w:rPr>
        <w:t>. Instead, both groups focused on community wide disasters, such as flooding, poverty, and COVID-19, which SYFR have no statutory obligation to communicate, but are involved with the response and recovery. Fire affects individual households directly and the community less directly, which means that SYFR's communication surrounding fire risk is unlikely to support the development of community resilience if the community are not acknowledging it as a threat to the community.</w:t>
      </w:r>
      <w:r w:rsidRPr="00AC1B06">
        <w:rPr>
          <w:rFonts w:ascii="Calibri" w:hAnsi="Calibri" w:cs="Calibri"/>
          <w:color w:val="000000"/>
        </w:rPr>
        <w:t xml:space="preserve"> This builds on the existing PMT literature highlighting that the community are either not aware of the risk of fire, or do not view it as a probable threat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Hazards","id":"ITEM-1","issued":{"date-parts":[["2018"]]},"page":"1461-1483","title":"How does information affect fire risk reduction behaviors? Mediating effects of cognitive processes and subjective knowledge","type":"article-journal","volume":"90"},"uris":["http://www.mendeley.com/documents/?uuid=b253cc58-5f59-4b2e-9c77-76be2b2788b4"]}],"mendeley":{"formattedCitation":"(Liu &amp; Jiao, 2018)","manualFormatting":"(Liu &amp; Jiao, 2018)","plainTextFormattedCitation":"(Liu &amp; Jiao, 2018)","previouslyFormattedCitation":"(Liu &amp; Jiao, 2018)"},"properties":{"noteIndex":0},"schema":"https://github.com/citation-style-language/schema/raw/master/csl-citation.json"}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(Liu &amp; Jiao, 2018)</w:t>
      </w:r>
      <w:r w:rsidRPr="00AC1B06">
        <w:rPr>
          <w:rFonts w:ascii="Calibri" w:hAnsi="Calibri" w:cs="Calibri"/>
          <w:color w:val="000000"/>
        </w:rPr>
        <w:fldChar w:fldCharType="end"/>
      </w:r>
      <w:r w:rsidRPr="00AC1B06">
        <w:rPr>
          <w:rFonts w:ascii="Calibri" w:hAnsi="Calibri" w:cs="Calibri"/>
          <w:color w:val="000000"/>
        </w:rPr>
        <w:t xml:space="preserve">. This chapter adds to the literature examining the personal link between communication and adoption of protective measures, the importance of direct and reliable information, as well as trust for the source of the information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Hazards","id":"ITEM-1","issued":{"date-parts":[["2018"]]},"page":"1665-1686","publisher":"Springer Netherlands","title":"Rethinking flood risk communication","type":"article-journal","volume":"92"},"uris":["http://www.mendeley.com/documents/?uuid=a75b9d7a-46e6-41f1-a446-75375a9342c5"]},{"id":"ITEM-2","itemData":{"DOI":"10.1080/19371918.2021.2018082","ISSN":"1937190X","PMID":"34962187","abstract":"COVID-19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Health","id":"ITEM-2","issue":"5","issued":{"date-parts":[["2022"]]},"page":"419-434","title":"An Integrated Approach to COVID-19 Preventive Behaviour Intentions: Protection Motivation Theory, Information Acquisition, and Trust","type":"article-journal","volume":"37"},"uris":["http://www.mendeley.com/documents/?uuid=8abd72eb-8ae4-4af7-9da1-be357bf94394"]}],"mendeley":{"formattedCitation":"(Acar &amp; Kıcali, 2022; Rollason et al., 2018)","plainTextFormattedCitation":"(Acar &amp; Kıcali, 2022; Rollason et al., 2018)","previouslyFormattedCitation":"(Acar &amp; Kıcali, 2022; Rollason et al., 2018)"},"properties":{"noteIndex":0},"schema":"https://github.com/citation-style-language/schema/raw/master/csl-citation.json"}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(Acar &amp; Kıcali, 2022; Rollason et al., 2018)</w:t>
      </w:r>
      <w:r w:rsidRPr="00AC1B06">
        <w:rPr>
          <w:rFonts w:ascii="Calibri" w:hAnsi="Calibri" w:cs="Calibri"/>
          <w:color w:val="000000"/>
        </w:rPr>
        <w:fldChar w:fldCharType="end"/>
      </w:r>
      <w:r w:rsidRPr="00AC1B06">
        <w:rPr>
          <w:rFonts w:ascii="Calibri" w:hAnsi="Calibri" w:cs="Calibri"/>
          <w:color w:val="000000"/>
        </w:rPr>
        <w:t>.</w:t>
      </w:r>
      <w:r w:rsidRPr="00AC1B06">
        <w:rPr>
          <w:rFonts w:ascii="Calibri" w:hAnsi="Calibri" w:cs="Calibri"/>
        </w:rPr>
        <w:t xml:space="preserve"> </w:t>
      </w:r>
    </w:p>
    <w:p w14:paraId="2F147C75" w14:textId="3A3F3DE5" w:rsidR="00787F73" w:rsidRDefault="00742FB7" w:rsidP="00A0151B">
      <w:pPr>
        <w:pStyle w:val="NormalWeb"/>
        <w:spacing w:before="0" w:after="0" w:line="360" w:lineRule="auto"/>
        <w:rPr>
          <w:rFonts w:ascii="Calibri" w:hAnsi="Calibri" w:cs="Calibri"/>
          <w:color w:val="000000"/>
        </w:rPr>
      </w:pPr>
      <w:bookmarkStart w:id="1099" w:name="_Hlk161311332"/>
      <w:r w:rsidRPr="00AC1B06">
        <w:rPr>
          <w:rFonts w:ascii="Calibri" w:hAnsi="Calibri" w:cs="Calibri"/>
          <w:color w:val="000000"/>
        </w:rPr>
        <w:lastRenderedPageBreak/>
        <w:t xml:space="preserve">There also appeared to be different timings with which the communities were able to develop resilience and build community capacity to disasters. Within the LR group, there appeared to be social infrastructure </w:t>
      </w:r>
      <w:bookmarkEnd w:id="1099"/>
      <w:r w:rsidRPr="00AC1B06">
        <w:rPr>
          <w:rFonts w:ascii="Calibri" w:hAnsi="Calibri" w:cs="Calibri"/>
          <w:color w:val="000000"/>
        </w:rPr>
        <w:t xml:space="preserve">in place prior to the flood, which was then built on during the recovery phase of the flooding and COVID-19. Further research could re-analyse the LR community group in a few years, to see if the community is still developing their resilience and engaging with the community groups such as the flood warden group. </w:t>
      </w:r>
      <w:r w:rsidR="00C84401" w:rsidRPr="00010F12">
        <w:rPr>
          <w:rFonts w:ascii="Calibri" w:hAnsi="Calibri" w:cs="Calibri"/>
        </w:rPr>
        <w:t>While</w:t>
      </w:r>
      <w:r w:rsidRPr="00AC1B06">
        <w:rPr>
          <w:rFonts w:ascii="Calibri" w:hAnsi="Calibri" w:cs="Calibri"/>
          <w:color w:val="000000"/>
        </w:rPr>
        <w:t xml:space="preserve"> the LR group were actively developing their resilience, the HR group were not. </w:t>
      </w:r>
      <w:r w:rsidR="00C84401" w:rsidRPr="00010F12">
        <w:rPr>
          <w:rFonts w:ascii="Calibri" w:hAnsi="Calibri" w:cs="Calibri"/>
        </w:rPr>
        <w:t>While</w:t>
      </w:r>
      <w:r w:rsidRPr="00AC1B06">
        <w:rPr>
          <w:rFonts w:ascii="Calibri" w:hAnsi="Calibri" w:cs="Calibri"/>
          <w:color w:val="000000"/>
        </w:rPr>
        <w:t xml:space="preserve"> there appeared to be a drive by some members of the HR community to develop community networks and support, there appeared to not be the capacity to do this effectively, perhaps as they were still being affected by their risk of poverty and anti-social behaviour. This builds on the existing literature examining how a community’s capacity can be developed for community resilience</w:t>
      </w:r>
      <w:r w:rsidR="00EA08AE">
        <w:rPr>
          <w:rFonts w:ascii="Calibri" w:hAnsi="Calibri" w:cs="Calibri"/>
          <w:color w:val="000000"/>
        </w:rPr>
        <w:t xml:space="preserve">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{"citationItems":[{"id":"ITEM-1","itemData":{"DOI":"10.1007/s10464-007-9156-6","ISBN":"0091-0562 (Print)","ISSN":"00910562","PMID":"18157631","abstract":"Communities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unknowns.","author":[{"dropping-particle":"","family":"Norris","given":"Fran H.","non-dropping-particle":"","parse-names":false,"suffix":""},{"dropping-particle":"","family":"Stevens","given":"Susan P.","non-dropping-particle":"","parse-names":false,"suffix":""},{"dropping-particle":"","family":"Pfefferbaum","given":"Betty","non-dropping-particle":"","parse-names":false,"suffix":""},{"dropping-particle":"","family":"Wyche","given":"Karen F.","non-dropping-particle":"","parse-names":false,"suffix":""},{"dropping-particle":"","family":"Pfefferbaum","given":"Rose L.","non-dropping-particle":"","parse-names":false,"suffix":""}],"container-title":"American Journal of Community Psychology","id":"ITEM-1","issued":{"date-parts":[["2008"]]},"page":"127-150","title":"Community resilience as a metaphor, theory, set of capacities, and strategy for disaster readiness","type":"article-journal","volume":"41"},"uris":["http://www.mendeley.com/documents/?uuid=ce971e9c-40de-4c41-9d71-39c5bbe61334"]},{"id":"ITEM-2","itemData":{"DOI":"10.1080/08941920.2012.736605","ISBN":"0894-1920","ISSN":"08941920","PMID":"84423027","abstract":"We explore opportunities for an integrated approach in community resilience to inform new research directions and practice, using the productive common ground between two strands of literature on community resilience, one from social-ecological systems and the other from the psychology of development and mental health. The first strand treats resilience as a systems concept, dealing with adaptive relationships and learning in social-ecological systems across nested levels, with attention to feedbacks, nonlinearity, unpredictability, scale, renewal cycles, drivers, system memory, disturbance events, and windows of opportunity. The second strand emphasizes identifying and developing community strengths, and building resilience through agency and self-organization, with attention to people-place connections, values and beliefs, knowledge and learning, social networks, collaborative governance, economic diversification, infrastructure, leadership, and outlook. An integrative approach seated in the complex adaptive system and ecological understanding can incorporate the identification of explicit social strengths and connections to place, activated by agency and self-organizing. &amp;copy; 2013 Copyright Taylor and Francis Group, LLC.","author":[{"dropping-particle":"","family":"Berkes","given":"Fikret","non-dropping-particle":"","parse-names":false,"suffix":""},{"dropping-particle":"","family":"Ross","given":"Helen","non-dropping-particle":"","parse-names":false,"suffix":""}],"container-title":"Society and Natural Resources","id":"ITEM-2","issue":"1","issued":{"date-parts":[["2013"]]},"page":"5-20","title":"Community Resilience: Toward an Integrated Approach","type":"article-journal","volume":"26"},"uris":["http://www.mendeley.com/documents/?uuid=0b80407c-2c27-4353-a9ed-b8cff357c953"]},{"id":"ITEM-3","itemData":{"DOI":"10.1080/08941920903305674","ISBN":"0894-1920","ISSN":"08941920","PMID":"1089","abstract":"Change is a constant force, in nature and in society. Research suggests that resilience pertains to the ability of a system to sustain itself through change via adaptation and occasional transformation. This article is based on the premises that communities can develop resilience by actively building and engaging the capacity to thrive in an environment characterized by change, and that community resilience is an important indicator of social sustainability. Community resilience, as defined herein, is the existence, development, and engagement of community resources by community members to thrive in an environment characterized by change, uncertainty, unpredictability, and surprise. The U.S. Roundtable on Sustainable Forests commissioned a research project to develop a theoretically and empirically based definition of community resilience as well as an associated measurement instrument. In this article, the research is presented, the emergent definition and dimensions of community resilience are posited, ...","author":[{"dropping-particle":"","family":"Magis","given":"Kristen","non-dropping-particle":"","parse-names":false,"suffix":""}],"container-title":"Society and Natural Resources","id":"ITEM-3","issue":"5","issued":{"date-parts":[["2010"]]},"page":"401-416","title":"Community resilience: An indicator of social sustainability","type":"article-journal","volume":"23"},"uris":["http://www.mendeley.com/documents/?uuid=a5d74235-7106-41d0-9117-63f47d2407b6"]},{"id":"ITEM-4","itemData":{"DOI":"10.1016/j.gloenvcha.2008.07.013","ISBN":"0959-3780","ISSN":"09593780","PMID":"9015263","abstract":"There is considerable research interest on the meaning and measurement of resilience from a variety of research perspectives including those from the hazards/disasters and global change communities. The identification of standards and metrics for measuring disaster resilience is one of the challenges faced by local, state, and federal agencies, especially in the United States. This paper provides a new framework, the disaster resilience of place (DROP) model, designed to improve comparative assessments of disaster resilience at the local or community level. A candidate set of variables for implementing the model are also presented as a first step towards its implementation. © 2008 Elsevier Ltd. All rights reserved.","author":[{"dropping-particle":"","family":"Cutter","given":"Susan L.","non-dropping-particle":"","parse-names":false,"suffix":""},{"dropping-particle":"","family":"Barnes","given":"Lindsey","non-dropping-particle":"","parse-names":false,"suffix":""},{"dropping-particle":"","family":"Berry","given":"Melissa","non-dropping-particle":"","parse-names":false,"suffix":""},{"dropping-particle":"","family":"Burton","given":"Christopher","non-dropping-particle":"","parse-names":false,"suffix":""},{"dropping-particle":"","family":"Evans","given":"Elijah","non-dropping-particle":"","parse-names":false,"suffix":""},{"dropping-particle":"","family":"Tate","given":"Eric","non-dropping-particle":"","parse-names":false,"suffix":""},{"dropping-particle":"","family":"Webb","given":"Jennifer","non-dropping-particle":"","parse-names":false,"suffix":""}],"container-title":"Global Environmental Change","id":"ITEM-4","issue":"4","issued":{"date-parts":[["2008"]]},"page":"598-606","title":"A place-based model for understanding community resilience to natural disasters","type":"article-journal","volume":"18"},"uris":["http://www.mendeley.com/documents/?uuid=f39d054c-95b4-4e3b-9b04-ec37b9a5a024"]},{"id":"ITEM-5","itemData":{"DOI":"10.1007/s10464-011-9427-0","ISBN":"1573-2770 (Electronic)\\r0091-0562 (Linking)","ISSN":"00910562","PMID":"21287261","abstract":"In this paper we draw on the findings of a critical, multi-sited ethnographic study of two rural communities affected by a wildfire in British Columbia, Canada to examine the salience of place, identity, and social capital to the disaster recovery process and community disaster resilience. We argue that a reconfiguration of disaster recovery is required that more meaningfully considers the role of place in the disaster recovery process and opens up the space for a more reflective and intentional consideration of the disorientation and disruption associated with disasters and our organized response to that disorientation. We describe a social-psychological process, reorientation, in which affected individuals and communities navigate the psychological, social and emotional responses to the symbolic and material changes to social and geographic place that result from the fire's destruction. The reorientation process emphasizes the critical importance of place not only as an orienting framework in recovery but also as the ground upon which social capital and community disaster resilience are built. This approach to understanding and responding to the disorientation of disasters has implications for community psychologists and other service providers engaged in supporting disaster survivors. This includes the need to consider the complex dynamic of contextual and cultural factors that influence the disaster recovery process.","author":[{"dropping-particle":"","family":"Cox","given":"Robin S.","non-dropping-particle":"","parse-names":false,"suffix":""},{"dropping-particle":"","family":"Perry","given":"Karen Marie Elah","non-dropping-particle":"","parse-names":false,"suffix":""}],"container-title":"American Journal of Community Psychology","id":"ITEM-5","issued":{"date-parts":[["2011"]]},"page":"395-411","title":"Like a Fish Out of Water: Reconsidering Disaster Recovery and the Role of Place and Social Capital in Community Disaster Resilience","type":"article-journal","volume":"48"},"uris":["http://www.mendeley.com/documents/?uuid=7cc0bc64-5b6c-47d3-b8e2-087a2c2fd9f6"]},{"id":"ITEM-6","itemData":{"DOI":"10.1007/s11069-010-9646-y","ISBN":"0921-030X","ISSN":"0921030X","abstract":"The discussion surrounding resilience to natural hazards and disasters has advanced considerably within the last years. It ranges from ecological to social systems and also covers some socio-ecological spaces in-between. Yet, although the discussion is broad and multifaceted, a common theme runs through most approaches to resilience: Resilience is defined as a systemâ€™s capacity to adapt to or respond to singular, unique and most often radically surprising events. This paper seeks to shed some light on a different aspect of resilience; its constructionist dimension. For doing this, it introduces the â€˜myth of resilience, which not only considers the functional aspects of resilience (i.e. actors capacities), but also how actors make retrospectively sense of the radically surprising discovery of something entirely unknown. The paper will argue that the â€˜myth of resilienceâ€™ may become a powerful worldview that enables actors to define what is â€˜rightâ€™ and what is â€˜wrongâ€™, as it may be used as a very intriguing way of changing, creating and consolidating power relations; at least this is the insight a study on disaster management reveals. The case study was conducted in a municipality of a city located in the State of Saxony Germany, which was severely affected by the 2002 August flood. The paper ends with outlining implications for the discussion on resilience.","author":[{"dropping-particle":"","family":"Kuhlicke","given":"Christian","non-dropping-particle":"","parse-names":false,"suffix":""}],"container-title":"Natural Hazards","id":"ITEM-6","issued":{"date-parts":[["2013"]]},"page":"61-76","title":"Resilience: A capacity and a myth: findings from an in-depth case study in disaster management research","type":"article-journal","volume":"67"},"uris":["http://www.mendeley.com/documents/?uuid=18ec7922-a082-49a2-815e-4dc2fd41ecf4"]},{"id":"ITEM-7","itemData":{"DOI":"10.3390/su11071943","ISSN":"20711050","abstract":"Disaster risk reduction (DRR) research has long recognised that social networks are a vital source of support during and after a shock. However, the quantification of this social support, primarily through its recognition as social capital, has proven problematic as there is no singular method for its measurement, invalidating the credibility of studies that try to correlate its effects with community disaster resilience. Within the wider resilience field, research that specifically utilises social networks as the focus of analysis is evolving. This paper provides a critical synthesis of how this developing discourse is filtering into community disaster resilience, reviewing empirical case studies from the Global South within DRR that use social network analysis and connectivity measurement. Our analysis of these studies indicates that a robust methodology utilising social network analysis is emerging, which offers opportunity for research cross-comparability. Our review also finds that without this bottom-up mapping, the implementation of top-down preparedness policy and procedures are likely to fail, resulting in the advocation of social network analysis as a critical methodology in future resilience research and policy planning.","author":[{"dropping-particle":"","family":"Wilkin","given":"Joanna","non-dropping-particle":"","parse-names":false,"suffix":""},{"dropping-particle":"","family":"Biggs","given":"Eloise","non-dropping-particle":"","parse-names":false,"suffix":""},{"dropping-particle":"","family":"Tatem","given":"Andrew J.","non-dropping-particle":"","parse-names":false,"suffix":""}],"container-title":"Sustainability","id":"ITEM-7","issue":"7","issued":{"date-parts":[["2019"]]},"page":"1-16","title":"Measurement of social networks for innovation within community disaster resilience","type":"article-journal","volume":"11"},"uris":["http://www.mendeley.com/documents/?uuid=9e76bdd8-24b4-4df0-a097-ee625fdf2033"]}],"mendeley":{"formattedCitation":"(Wilkin, Biggs, &amp; Tatem, 2019; Berkes &amp; Ross, 2013; Kuhlicke, 2013; Cox &amp; Perry, 2011; Magis, 2010; Cutter et al., 2008; Norris et al., 2008)","plainTextFormattedCitation":"(Wilkin, Biggs, &amp; Tatem, 2019; Berkes &amp; Ross, 2013; Kuhlicke, 2013; Cox &amp; Perry, 2011; Magis, 2010; Cutter et al., 2008; Norris et al., 2008)","previouslyFormattedCitation":"(Wilkin, Biggs, &amp; Tatem, 2019; Berkes &amp; Ross, 2013; Kuhlicke, 2013; Cox &amp; Perry, 2011; Magis, 2010; Cutter et al., 2008; Norris et al., 2008)"},"properties":{"noteIndex":0},"schema":"https://github.com/citation-style-language/schema/raw/master/csl-citation.json"}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(Wilkin, Biggs, &amp; Tatem, 2019; Berkes &amp; Ross, 2013; Kuhlicke, 2013; Cox &amp; Perry, 2011; Magis, 2010; Cutter et al., 2008; Norris et al., 2008)</w:t>
      </w:r>
      <w:r w:rsidRPr="00AC1B06">
        <w:rPr>
          <w:rFonts w:ascii="Calibri" w:hAnsi="Calibri" w:cs="Calibri"/>
          <w:color w:val="000000"/>
        </w:rPr>
        <w:fldChar w:fldCharType="end"/>
      </w:r>
      <w:r w:rsidRPr="00AC1B06">
        <w:rPr>
          <w:rFonts w:ascii="Calibri" w:hAnsi="Calibri" w:cs="Calibri"/>
          <w:color w:val="000000"/>
        </w:rPr>
        <w:t>. This again highlights the need to understand the specific context of the community, and the different interpretations of the community logic</w:t>
      </w:r>
      <w:r w:rsidR="00BF12D9">
        <w:rPr>
          <w:rFonts w:ascii="Calibri" w:hAnsi="Calibri" w:cs="Calibri"/>
          <w:color w:val="000000"/>
        </w:rPr>
        <w:t>,</w:t>
      </w:r>
      <w:r w:rsidRPr="00AC1B06">
        <w:rPr>
          <w:rFonts w:ascii="Calibri" w:hAnsi="Calibri" w:cs="Calibri"/>
          <w:color w:val="000000"/>
        </w:rPr>
        <w:t xml:space="preserve"> with each community being composed of a variety of lived experiences, who all interpret and embed logics based on their own identities, cognition and goals </w:t>
      </w:r>
      <w:r w:rsidRPr="00AC1B06">
        <w:rPr>
          <w:rFonts w:ascii="Calibri" w:hAnsi="Calibri" w:cs="Calibri"/>
        </w:rPr>
        <w:fldChar w:fldCharType="begin" w:fldLock="1"/>
      </w:r>
      <w:r w:rsidR="00E37B0E">
        <w:rPr>
          <w:rFonts w:ascii="Calibri" w:hAnsi="Calibri" w:cs="Calibri"/>
          <w:color w:val="000000"/>
        </w:rPr>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Process","type":"book"},"uris":["http://www.mendeley.com/documents/?uuid=7afe7588-cd0b-4a95-b78a-3214c1130169"]},{"id":"ITEM-2","itemData":{"DOI":"10.1177/26317877211004602","ISSN":"26317877","abstract":"In their 2012 book The Institutional Logics Perspective, Patricia Thornton, William Ocasio and Michael Lounsbury proposed the addition of community as a logic to more traditional candidates such as religion and family. This article argues that an examination of the wider sociological and historical literature indicates that community is indeed an important category of analysis, but as the context shaping action rather than as a logic. The literature that Thornton, Ocasio and Lounsbury draw on tends to conflate community as a form of informal social structure with community as geographically bounded space. Using Friedland’s characterization of logics as a combination of substance and practices, I argue that community lacks the coherence necessary to function as a logic. While community remains an important part of our conceptual armoury, I argue that as well as being aware of the connotations of the term it may be more productive to consider it as the context in which logics are received, contested and blended. Attention is thus directed to the ways in which a range of organizational forms might foster or negate shared feelings of groupness.","author":[{"dropping-particle":"","family":"Mutch","given":"Alistair","non-dropping-particle":"","parse-names":false,"suffix":""}],"container-title":"Organization Theory","id":"ITEM-2","issue":"2","issued":{"date-parts":[["2021"]]},"page":"1 - 18","title":"Challenging Community: Logic or Context?","type":"article-journal","volume":"2"},"uris":["http://www.mendeley.com/documents/?uuid=e7cf665a-0525-445a-b70a-82b92ea0afad"]}],"mendeley":{"formattedCitation":"(Mutch, 2021; Thornton, Ocasio, &amp; Lounsbury, 2012)","plainTextFormattedCitation":"(Mutch, 2021; Thornton, Ocasio, &amp; Lounsbury, 2012)","previouslyFormattedCitation":"(Mutch, 2021; Thornton, Ocasio, &amp; Lounsbury, 2012)"},"properties":{"noteIndex":0},"schema":"https://github.com/citation-style-language/schema/raw/master/csl-citation.json"}</w:instrText>
      </w:r>
      <w:r w:rsidRPr="00AC1B06">
        <w:rPr>
          <w:rFonts w:ascii="Calibri" w:hAnsi="Calibri" w:cs="Calibri"/>
          <w:color w:val="000000"/>
        </w:rPr>
        <w:fldChar w:fldCharType="separate"/>
      </w:r>
      <w:r w:rsidR="007C12EC" w:rsidRPr="007C12EC">
        <w:rPr>
          <w:rFonts w:ascii="Calibri" w:hAnsi="Calibri" w:cs="Calibri"/>
          <w:noProof/>
          <w:color w:val="000000"/>
        </w:rPr>
        <w:t>(Mutch, 2021; Thornton, Ocasio, &amp; Lounsbury, 2012)</w:t>
      </w:r>
      <w:r w:rsidRPr="00AC1B06">
        <w:rPr>
          <w:rFonts w:ascii="Calibri" w:hAnsi="Calibri" w:cs="Calibri"/>
          <w:color w:val="000000"/>
        </w:rPr>
        <w:fldChar w:fldCharType="end"/>
      </w:r>
      <w:r w:rsidR="00EA08AE">
        <w:rPr>
          <w:rFonts w:ascii="Calibri" w:hAnsi="Calibri" w:cs="Calibri"/>
          <w:color w:val="000000"/>
        </w:rPr>
        <w:t>.</w:t>
      </w:r>
    </w:p>
    <w:p w14:paraId="67004A59" w14:textId="77777777" w:rsidR="00956DFB" w:rsidRPr="00AC1B06" w:rsidRDefault="00956DFB" w:rsidP="00A0151B">
      <w:pPr>
        <w:pStyle w:val="NormalWeb"/>
        <w:spacing w:before="0" w:after="0" w:line="360" w:lineRule="auto"/>
        <w:rPr>
          <w:rFonts w:ascii="Calibri" w:hAnsi="Calibri" w:cs="Calibri"/>
        </w:rPr>
      </w:pPr>
    </w:p>
    <w:p w14:paraId="3FF773BD" w14:textId="671ACCEB" w:rsidR="00787F73" w:rsidRDefault="00742FB7" w:rsidP="00A0151B">
      <w:pPr>
        <w:pStyle w:val="NormalWeb"/>
        <w:spacing w:before="0" w:after="0" w:line="360" w:lineRule="auto"/>
        <w:rPr>
          <w:rFonts w:ascii="Calibri" w:hAnsi="Calibri" w:cs="Calibri"/>
          <w:color w:val="000000"/>
        </w:rPr>
      </w:pPr>
      <w:r w:rsidRPr="00AC1B06">
        <w:rPr>
          <w:rFonts w:ascii="Calibri" w:hAnsi="Calibri" w:cs="Calibri"/>
          <w:color w:val="000000"/>
        </w:rPr>
        <w:t xml:space="preserve">Examinations of community capacity need to be combined with an understanding of the risks and hazards that the community is experiencing, and to be mindful of the timing surrounding risk communication. In the case of the flooding and pandemic there appeared to be a drive to develop responsive resilience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(Carmen et al., 2022)</w:t>
      </w:r>
      <w:r w:rsidRPr="00AC1B06">
        <w:rPr>
          <w:rFonts w:ascii="Calibri" w:hAnsi="Calibri" w:cs="Calibri"/>
          <w:color w:val="000000"/>
        </w:rPr>
        <w:fldChar w:fldCharType="end"/>
      </w:r>
      <w:r w:rsidRPr="00AC1B06">
        <w:rPr>
          <w:rFonts w:ascii="Calibri" w:hAnsi="Calibri" w:cs="Calibri"/>
          <w:color w:val="000000"/>
        </w:rPr>
        <w:t xml:space="preserve">, as the community were acutely aware of the threat and wanted to develop coping appraisals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Hazards","id":"ITEM-1","issued":{"date-parts":[["2018"]]},"page":"1461-1483","title":"How does information affect fire risk reduction behaviors? Mediating effects of cognitive processes and subjective knowledge","type":"article-journal","volume":"90"},"uris":["http://www.mendeley.com/documents/?uuid=b253cc58-5f59-4b2e-9c77-76be2b2788b4"]},{"id":"ITEM-2","itemData":{"DOI":"10.1061/(asce)nh.1527-6996.0000294","ISBN":"0000000167","ISSN":"1527-6988","abstract":"©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Review","id":"ITEM-2","issue":"3","issued":{"date-parts":[["2018"]]},"page":"1 - 21","title":"Flood Risk Assessment, Future Trend Modeling, and Risk Communication: A Review of Ongoing Research","type":"article-journal","volume":"19"},"uris":["http://www.mendeley.com/documents/?uuid=72f77961-1216-4228-ab43-b36cf7f2e2d4"]},{"id":"ITEM-3","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Hazards","id":"ITEM-3","issued":{"date-parts":[["2018"]]},"page":"1665-1686","publisher":"Springer Netherlands","title":"Rethinking flood risk communication","type":"article-journal","volume":"92"},"uris":["http://www.mendeley.com/documents/?uuid=a75b9d7a-46e6-41f1-a446-75375a9342c5"]},{"id":"ITEM-4","itemData":{"DOI":"10.1080/19371918.2021.2018082","ISSN":"1937190X","PMID":"34962187","abstract":"COVID-19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Health","id":"ITEM-4","issue":"5","issued":{"date-parts":[["2022"]]},"page":"419-434","title":"An Integrated Approach to COVID-19 Preventive Behaviour Intentions: Protection Motivation Theory, Information Acquisition, and Trust","type":"article-journal","volume":"37"},"uris":["http://www.mendeley.com/documents/?uuid=8abd72eb-8ae4-4af7-9da1-be357bf94394"]},{"id":"ITEM-5","itemData":{"DOI":"10.1016/j.ijdrr.2021.102759","ISSN":"22124209","abstract":"The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Reduction","id":"ITEM-5","issued":{"date-parts":[["2022"]]},"page":"1 - 16","title":"Determination of factors affecting the response efficacy of Filipinos under Typhoon Conson 2021 (Jolina): An extended protection motivation theory approach","type":"article-journal","volume":"70"},"uris":["http://www.mendeley.com/documents/?uuid=df8c524a-2262-493d-9e98-6620d59903d4"]}],"mendeley":{"formattedCitation":"(Acar &amp; Kıcali, 2022; Gumasing et al., 2022; Liu &amp; Jiao, 2018; Rollason et al., 2018; Salman &amp; Li, 2018)","manualFormatting":"(Acar &amp; Kıcali, 2022; Gumasing et al., 2022; Liu &amp; Jiao, 2018; Rollason et al., 2018; Salman &amp; Li, 2018)","plainTextFormattedCitation":"(Acar &amp; Kıcali, 2022; Gumasing et al., 2022; Liu &amp; Jiao, 2018; Rollason et al., 2018; Salman &amp; Li, 2018)","previouslyFormattedCitation":"(Acar &amp; Kıcali, 2022; Gumasing et al., 2022; Liu &amp; Jiao, 2018; Rollason et al., 2018; Salman &amp; Li, 2018)"},"properties":{"noteIndex":0},"schema":"https://github.com/citation-style-language/schema/raw/master/csl-citation.json"}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rPr>
        <w:t>(Acar &amp; Kıcali, 2022; Gumasing et al., 2022; Liu &amp; Jiao, 2018; Rollason et al., 2018; Salman &amp; Li, 2018)</w:t>
      </w:r>
      <w:r w:rsidRPr="00AC1B06">
        <w:rPr>
          <w:rFonts w:ascii="Calibri" w:hAnsi="Calibri" w:cs="Calibri"/>
          <w:color w:val="000000"/>
        </w:rPr>
        <w:fldChar w:fldCharType="end"/>
      </w:r>
      <w:r w:rsidRPr="00AC1B06">
        <w:rPr>
          <w:rFonts w:ascii="Calibri" w:hAnsi="Calibri" w:cs="Calibri"/>
          <w:color w:val="000000"/>
        </w:rPr>
        <w:t xml:space="preserve"> to prevent it happening again. However, SYFR’s communication predominantly focuses on fire risk, which is not as visible to the whole community as an event like flooding or COVID-19, suggesting that the timing of their risk PICs is more related to proactive resilience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(Carmen et al., 2022)</w:t>
      </w:r>
      <w:r w:rsidRPr="00AC1B06">
        <w:rPr>
          <w:rFonts w:ascii="Calibri" w:hAnsi="Calibri" w:cs="Calibri"/>
          <w:color w:val="000000"/>
        </w:rPr>
        <w:fldChar w:fldCharType="end"/>
      </w:r>
      <w:r w:rsidRPr="00AC1B06">
        <w:rPr>
          <w:rFonts w:ascii="Calibri" w:hAnsi="Calibri" w:cs="Calibri"/>
          <w:color w:val="000000"/>
        </w:rPr>
        <w:t xml:space="preserve">. This builds on the existing PIC literature by examining the importance of timing and resulting retention of the information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{"citationItems":[{"id":"ITEM-1","itemData":{"DOI":"10.1017/S1474747215000098","ISBN":"1474747215000","ISSN":"14753022","abstract":"Government authorities use resources on information campaigns in order to inform citizens about relevant policy changes. The motivation is usually that individuals sometimes are ill-informed about the public policies relevant for their choices. In a survey experiment where the treatment group was provided with public information material on the social security system, we assess the short- and medium-term knowledge effects. We show that the short run effects of the information on knowledge disappear completely within 4 months. The findings illustrate the limits of public information campaigns to improve knowledge about relevant policy reforms.","author":[{"dropping-particle":"","family":"Finseraas","given":"Henning","non-dropping-particle":"","parse-names":false,"suffix":""},{"dropping-particle":"","family":"Jakobsson","given":"Niklas","non-dropping-particle":"","parse-names":false,"suffix":""},{"dropping-particle":"","family":"Svensson","given":"Mikael","non-dropping-particle":"","parse-names":false,"suffix":""}],"container-title":"Journal of Pension Economics and Finance","id":"ITEM-1","issue":"1","issued":{"date-parts":[["2017"]]},"page":"108-117","title":"Do knowledge gains from public information campaigns persist over time? Results from a survey experiment on the Norwegian pension reform","type":"article-journal","volume":"16"},"uris":["http://www.mendeley.com/documents/?uuid=d9dbed88-c694-49dd-a174-2531c9ca6d3f"]}],"mendeley":{"formattedCitation":"(Finseraas, Jakobsson, &amp; Svensson, 2017)","plainTextFormattedCitation":"(Finseraas, Jakobsson, &amp; Svensson, 2017)","previouslyFormattedCitation":"(Finseraas, Jakobsson, &amp; Svensson, 2017)"},"properties":{"noteIndex":0},"schema":"https://github.com/citation-style-language/schema/raw/master/csl-citation.json"}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(Finseraas, Jakobsson, &amp; Svensson, 2017)</w:t>
      </w:r>
      <w:r w:rsidRPr="00AC1B06">
        <w:rPr>
          <w:rFonts w:ascii="Calibri" w:hAnsi="Calibri" w:cs="Calibri"/>
          <w:color w:val="000000"/>
        </w:rPr>
        <w:fldChar w:fldCharType="end"/>
      </w:r>
      <w:r w:rsidRPr="00AC1B06">
        <w:rPr>
          <w:rFonts w:ascii="Calibri" w:hAnsi="Calibri" w:cs="Calibri"/>
          <w:color w:val="000000"/>
        </w:rPr>
        <w:t xml:space="preserve"> as well as the ability for social media to connect PIC to people not reached by traditional media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{"citationItems":[{"id":"ITEM-1","itemData":{"DOI":"10.1177/02673231221101865","ISBN":"0267323122110","ISSN":"14603705","abstract":"Online platforms can help public information campaigns reach target audiences who are unlikely to engage with content distributed via traditional media. This paper adds to this emergent literature, as the first study of the Ending the Harm campaign, which is designed to change public discourse about paramilitary-style attacks in Northern Ireland. Campaign effects were explored through interviews (N = 7) conducted with key stakeholders, as well as the results of a quantitative survey of residents (N = 805) in areas most affected by these attacks. Results indicate that exposure to the ETH advertisements correlated with a belief that PSAs were unjustified. Platforms like Snapchat helped the campaign reach younger demographics (16–34 years old). Nevertheless, it was unclear whether self-reported changes in attitude toward PSAs would lead to sustained behavioral changes.","author":[{"dropping-particle":"","family":"Reilly","given":"Paul","non-dropping-particle":"","parse-names":false,"suffix":""},{"dropping-particle":"","family":"Gordon","given":"Faith","non-dropping-particle":"","parse-names":false,"suffix":""}],"container-title":"European Journal of Communication","id":"ITEM-1","issue":"1","issued":{"date-parts":[["2023"]]},"page":"3-21","title":"Can social media help end the harm? Public information campaigns, online platforms, and paramilitary-style attacks in a deeply divided society","type":"article-journal","volume":"38"},"uris":["http://www.mendeley.com/documents/?uuid=3ec5ff30-ed2f-4827-9a69-15ac53ecac0f"]}],"mendeley":{"formattedCitation":"(Reilly &amp; Gordon, 2023)","plainTextFormattedCitation":"(Reilly &amp; Gordon, 2023)","previouslyFormattedCitation":"(Reilly &amp; Gordon, 2023)"},"properties":{"noteIndex":0},"schema":"https://github.com/citation-style-language/schema/raw/master/csl-citation.json"}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(Reilly &amp; Gordon, 2023)</w:t>
      </w:r>
      <w:r w:rsidRPr="00AC1B06">
        <w:rPr>
          <w:rFonts w:ascii="Calibri" w:hAnsi="Calibri" w:cs="Calibri"/>
          <w:color w:val="000000"/>
        </w:rPr>
        <w:fldChar w:fldCharType="end"/>
      </w:r>
      <w:r w:rsidRPr="00AC1B06">
        <w:rPr>
          <w:rFonts w:ascii="Calibri" w:hAnsi="Calibri" w:cs="Calibri"/>
          <w:color w:val="000000"/>
        </w:rPr>
        <w:t xml:space="preserve"> and to reach a larger audience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{"citationItems":[{"id":"ITEM-1","itemData":{"DOI":"10.2196/publichealth.6313","ISSN":"2369-2960","abstract":"Background: Social media public health campaigns have the advantage of tailored messaging at low cost and large reach, but little is known about what would determine their feasibility as tools for inducing attitude and behavior change. Objective: The aim of this study was to test the feasibility of designing, implementing, and evaluating a social media–enabled intervention for skin cancer prevention. Methods: A quasi-experimental feasibility study used social media (Twitter) to disseminate different message “frames” related to care in the sun and cancer prevention. Phase 1 utilized the Northern Ireland cancer charity’s Twitter platform (May 1 to July 14, 2015). Following a 2-week “washout” period, Phase 2 commenced (August 1 to September 30, 2015) using a bespoke Twitter platform. Phase 2 also included a Thunderclap, whereby users allowed their social media accounts to automatically post a bespoke message on their behalf. Message frames were categorized into 5 broad categories: humor, shock or disgust, informative, personal stories, and opportunistic. Seed users with a notable following were contacted to be “influencers” in retweeting campaign content. A pre- and postintervention Web-based survey recorded skin cancer prevention knowledge and attitudes in Northern Ireland (population 1.8 million). Results: There were a total of 417,678 tweet impressions, 11,213 engagements, and 1211 retweets related to our campaign. Shocking messages generated the greatest impressions (shock, n=2369; informative, n=2258; humorous, n=1458; story, n=1680), whereas humorous messages generated greater engagement (humorous, n=148; shock, n=147; story, n=117; informative, n=100) and greater engagement rates compared with story tweets. Informative messages, resulted in the greatest number of shares (informative, n=17; humorous, n=10; shock, n=9; story, n=7). The study findings included improved knowledge of skin cancer severity in a pre- and postintervention Web-based survey, with greater awareness that skin cancer is the most common form of cancer (preintervention: 28.4% [95/335] vs postintervention: 39.3% [168/428] answered “True”) and that melanoma is most serious (49.1% [165/336] vs 55.5% [238/429]). The results also show improved attitudes toward ultraviolet (UV) exposure and skin cancer with a reduction in agreement that respondents “like to tan” (60.5% [202/334] vs 55.6% [238/428]).","author":[{"dropping-particle":"","family":"Gough","given":"Aisling","non-dropping-particle":"","parse-names":false,"suffix":""},{"dropping-particle":"","family":"Hunter","given":"Ruth F.","non-dropping-particle":"","parse-names":false,"suffix":""},{"dropping-particle":"","family":"Ajao","given":"Oluwaseun","non-dropping-particle":"","parse-names":false,"suffix":""},{"dropping-particle":"","family":"Jurek","given":"Anna","non-dropping-particle":"","parse-names":false,"suffix":""},{"dropping-particle":"","family":"McKeown","given":"Gary","non-dropping-particle":"","parse-names":false,"suffix":""},{"dropping-particle":"","family":"Hong","given":"Jun","non-dropping-particle":"","parse-names":false,"suffix":""},{"dropping-particle":"","family":"Barrett","given":"Eimear","non-dropping-particle":"","parse-names":false,"suffix":""},{"dropping-particle":"","family":"Ferguson","given":"Marbeth","non-dropping-particle":"","parse-names":false,"suffix":""},{"dropping-particle":"","family":"McElwee","given":"Gerry","non-dropping-particle":"","parse-names":false,"suffix":""},{"dropping-particle":"","family":"McCarthy","given":"Miriam","non-dropping-particle":"","parse-names":false,"suffix":""},{"dropping-particle":"","family":"Kee","given":"Frank","non-dropping-particle":"","parse-names":false,"suffix":""}],"container-title":"JMIR Public Health Surveillance","id":"ITEM-1","issue":"1","issued":{"date-parts":[["2017"]]},"page":"1-17","title":"Tweet for behavior change: Using social media for the dissemination of public health messages","type":"article-journal","volume":"3"},"uris":["http://www.mendeley.com/documents/?uuid=69906f6f-a21b-4963-9734-a5b16e66f747"]}],"mendeley":{"formattedCitation":"(Gough et al., 2017)","plainTextFormattedCitation":"(Gough et al., 2017)","previouslyFormattedCitation":"(Gough et al., 2017)"},"properties":{"noteIndex":0},"schema":"https://github.com/citation-style-language/schema/raw/master/csl-citation.json"}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(Gough et al., 2017)</w:t>
      </w:r>
      <w:r w:rsidRPr="00AC1B06">
        <w:rPr>
          <w:rFonts w:ascii="Calibri" w:hAnsi="Calibri" w:cs="Calibri"/>
          <w:color w:val="000000"/>
        </w:rPr>
        <w:fldChar w:fldCharType="end"/>
      </w:r>
      <w:r w:rsidRPr="00AC1B06">
        <w:rPr>
          <w:rFonts w:ascii="Calibri" w:hAnsi="Calibri" w:cs="Calibri"/>
          <w:color w:val="000000"/>
        </w:rPr>
        <w:t xml:space="preserve">. However, this chapter adds to the literature and notes that </w:t>
      </w:r>
      <w:r w:rsidR="00C84401">
        <w:rPr>
          <w:rFonts w:ascii="Calibri" w:hAnsi="Calibri" w:cs="Calibri"/>
          <w:color w:val="000000"/>
        </w:rPr>
        <w:t>while</w:t>
      </w:r>
      <w:r w:rsidR="00C84401" w:rsidRPr="00AC1B06">
        <w:rPr>
          <w:rFonts w:ascii="Calibri" w:hAnsi="Calibri" w:cs="Calibri"/>
          <w:color w:val="000000"/>
        </w:rPr>
        <w:t xml:space="preserve"> </w:t>
      </w:r>
      <w:r w:rsidRPr="00AC1B06">
        <w:rPr>
          <w:rFonts w:ascii="Calibri" w:hAnsi="Calibri" w:cs="Calibri"/>
          <w:color w:val="000000"/>
        </w:rPr>
        <w:t xml:space="preserve">there is the potential to reach more </w:t>
      </w:r>
      <w:r w:rsidRPr="00AC1B06">
        <w:rPr>
          <w:rFonts w:ascii="Calibri" w:hAnsi="Calibri" w:cs="Calibri"/>
          <w:color w:val="000000"/>
        </w:rPr>
        <w:lastRenderedPageBreak/>
        <w:t xml:space="preserve">people via social media, one needs to not assume the audience is geographically located nearby or that they are reading or engaging with the information. This chapter therefore contributes to literature by examining the use of social media for PICs with a focus on FRS and for building and developing community resilience. </w:t>
      </w:r>
    </w:p>
    <w:p w14:paraId="0F9DB1AB" w14:textId="77777777" w:rsidR="00956DFB" w:rsidRPr="00AC1B06" w:rsidRDefault="00956DFB" w:rsidP="00A0151B">
      <w:pPr>
        <w:pStyle w:val="NormalWeb"/>
        <w:spacing w:before="0" w:after="0" w:line="360" w:lineRule="auto"/>
        <w:rPr>
          <w:rFonts w:ascii="Calibri" w:hAnsi="Calibri" w:cs="Calibri"/>
        </w:rPr>
      </w:pPr>
    </w:p>
    <w:p w14:paraId="131FEE55" w14:textId="0A3433E2" w:rsidR="00787F73" w:rsidRPr="00AC1B06" w:rsidRDefault="00742FB7" w:rsidP="00A0151B">
      <w:pPr>
        <w:pStyle w:val="NormalWeb"/>
        <w:spacing w:before="0" w:after="0" w:line="360" w:lineRule="auto"/>
        <w:rPr>
          <w:rFonts w:ascii="Calibri" w:hAnsi="Calibri" w:cs="Calibri"/>
        </w:rPr>
      </w:pPr>
      <w:r w:rsidRPr="00AC1B06">
        <w:rPr>
          <w:rFonts w:ascii="Calibri" w:hAnsi="Calibri" w:cs="Calibri"/>
          <w:color w:val="000000"/>
        </w:rPr>
        <w:t xml:space="preserve">Another characteristic of the community which was examined in the literature was a community’s relationship to organisations. The participants in the LR group were viewed to be assertively critical of agencies, perhaps wanting to develop a stronger linking social capital with agencies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id":"ITEM-2","itemData":{"author":[{"dropping-particle":"","family":"Sanyal","given":"Saswata","non-dropping-particle":"","parse-names":false,"suffix":""},{"dropping-particle":"","family":"Routray","given":"Jayant K.","non-dropping-particle":"","parse-names":false,"suffix":""}],"container-title":"International Journal of Disaster Risk Reduction","id":"ITEM-2","issued":{"date-parts":[["2016"]]},"page":"101-111","title":"Social capital for disaster risk reduction and management with empirical evidences from Sundarbans of India","type":"article-journal","volume":"19"},"uris":["http://www.mendeley.com/documents/?uuid=d8bcf27c-1efc-4c15-8204-cd8b37719dd2"]}],"mendeley":{"formattedCitation":"(Carmen et al., 2022; Sanyal &amp; Routray, 2016)","plainTextFormattedCitation":"(Carmen et al., 2022; Sanyal &amp; Routray, 2016)","previouslyFormattedCitation":"(Carmen et al., 2022; Sanyal &amp; Routray, 2016)"},"properties":{"noteIndex":0},"schema":"https://github.com/citation-style-language/schema/raw/master/csl-citation.json"}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rPr>
        <w:t>(Carmen et al., 2022; Sanyal &amp; Routray, 2016)</w:t>
      </w:r>
      <w:r w:rsidRPr="00AC1B06">
        <w:rPr>
          <w:rFonts w:ascii="Calibri" w:hAnsi="Calibri" w:cs="Calibri"/>
          <w:color w:val="000000"/>
        </w:rPr>
        <w:fldChar w:fldCharType="end"/>
      </w:r>
      <w:r w:rsidRPr="00AC1B06">
        <w:rPr>
          <w:rFonts w:ascii="Calibri" w:hAnsi="Calibri" w:cs="Calibri"/>
          <w:color w:val="000000"/>
        </w:rPr>
        <w:t xml:space="preserve"> and demanding a better level of service from agencies such as the Environment Agency. However, the experience was very different with the HR group, who shared with me that they had a fear of agencies and of engagement with external organisations. </w:t>
      </w:r>
      <w:r w:rsidR="00C84401" w:rsidRPr="00010F12">
        <w:rPr>
          <w:rFonts w:ascii="Calibri" w:hAnsi="Calibri" w:cs="Calibri"/>
        </w:rPr>
        <w:t>While</w:t>
      </w:r>
      <w:r w:rsidRPr="00AC1B06">
        <w:rPr>
          <w:rFonts w:ascii="Calibri" w:hAnsi="Calibri" w:cs="Calibri"/>
          <w:color w:val="000000"/>
        </w:rPr>
        <w:t xml:space="preserve"> the LR community were actively engaging with organisations, the HR community were trying to limit contact even though arguably the HR community need the greatest level of support. This creates a challenge for SYFR as they do not have the capacity to develop these community relationships and build the required level of linking social capital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id":"ITEM-2","itemData":{"author":[{"dropping-particle":"","family":"Sanyal","given":"Saswata","non-dropping-particle":"","parse-names":false,"suffix":""},{"dropping-particle":"","family":"Routray","given":"Jayant K.","non-dropping-particle":"","parse-names":false,"suffix":""}],"container-title":"International Journal of Disaster Risk Reduction","id":"ITEM-2","issued":{"date-parts":[["2016"]]},"page":"101-111","title":"Social capital for disaster risk reduction and management with empirical evidences from Sundarbans of India","type":"article-journal","volume":"19"},"uris":["http://www.mendeley.com/documents/?uuid=d8bcf27c-1efc-4c15-8204-cd8b37719dd2"]}],"mendeley":{"formattedCitation":"(Carmen et al., 2022; Sanyal &amp; Routray, 2016)","plainTextFormattedCitation":"(Carmen et al., 2022; Sanyal &amp; Routray, 2016)","previouslyFormattedCitation":"(Carmen et al., 2022; Sanyal &amp; Routray, 2016)"},"properties":{"noteIndex":0},"schema":"https://github.com/citation-style-language/schema/raw/master/csl-citation.json"}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rPr>
        <w:t>(Carmen et al., 2022; Sanyal &amp; Routray, 2016)</w:t>
      </w:r>
      <w:r w:rsidRPr="00AC1B06">
        <w:rPr>
          <w:rFonts w:ascii="Calibri" w:hAnsi="Calibri" w:cs="Calibri"/>
          <w:color w:val="000000"/>
        </w:rPr>
        <w:fldChar w:fldCharType="end"/>
      </w:r>
      <w:r w:rsidRPr="00AC1B06">
        <w:rPr>
          <w:rFonts w:ascii="Calibri" w:hAnsi="Calibri" w:cs="Calibri"/>
        </w:rPr>
        <w:t>, as the Community Safety team are only able to focus on the vulnerable members of society (discussed in chapter 4)</w:t>
      </w:r>
      <w:r w:rsidRPr="00AC1B06">
        <w:rPr>
          <w:rFonts w:ascii="Calibri" w:hAnsi="Calibri" w:cs="Calibri"/>
          <w:color w:val="000000"/>
        </w:rPr>
        <w:t xml:space="preserve">. This builds on the existing literature by examining the impact of linking social capital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{"citationItems":[{"id":"ITEM-1","itemData":{"DOI":"10.1080/08941920903305674","ISBN":"0894-1920","ISSN":"08941920","PMID":"1089","abstract":"Change is a constant force, in nature and in society. Research suggests that resilience pertains to the ability of a system to sustain itself through change via adaptation and occasional transformation. This article is based on the premises that communities can develop resilience by actively building and engaging the capacity to thrive in an environment characterized by change, and that community resilience is an important indicator of social sustainability. Community resilience, as defined herein, is the existence, development, and engagement of community resources by community members to thrive in an environment characterized by change, uncertainty, unpredictability, and surprise. The U.S. Roundtable on Sustainable Forests commissioned a research project to develop a theoretically and empirically based definition of community resilience as well as an associated measurement instrument. In this article, the research is presented, the emergent definition and dimensions of community resilience are posited, ...","author":[{"dropping-particle":"","family":"Magis","given":"Kristen","non-dropping-particle":"","parse-names":false,"suffix":""}],"container-title":"Society and Natural Resources","id":"ITEM-1","issue":"5","issued":{"date-parts":[["2010"]]},"page":"401-416","title":"Community resilience: An indicator of social sustainability","type":"article-journal","volume":"23"},"uris":["http://www.mendeley.com/documents/?uuid=a5d74235-7106-41d0-9117-63f47d2407b6"]},{"id":"ITEM-2","itemData":{"DOI":"10.3390/su11071943","ISSN":"20711050","abstract":"Disaster risk reduction (DRR) research has long recognised that social networks are a vital source of support during and after a shock. However, the quantification of this social support, primarily through its recognition as social capital, has proven problematic as there is no singular method for its measurement, invalidating the credibility of studies that try to correlate its effects with community disaster resilience. Within the wider resilience field, research that specifically utilises social networks as the focus of analysis is evolving. This paper provides a critical synthesis of how this developing discourse is filtering into community disaster resilience, reviewing empirical case studies from the Global South within DRR that use social network analysis and connectivity measurement. Our analysis of these studies indicates that a robust methodology utilising social network analysis is emerging, which offers opportunity for research cross-comparability. Our review also finds that without this bottom-up mapping, the implementation of top-down preparedness policy and procedures are likely to fail, resulting in the advocation of social network analysis as a critical methodology in future resilience research and policy planning.","author":[{"dropping-particle":"","family":"Wilkin","given":"Joanna","non-dropping-particle":"","parse-names":false,"suffix":""},{"dropping-particle":"","family":"Biggs","given":"Eloise","non-dropping-particle":"","parse-names":false,"suffix":""},{"dropping-particle":"","family":"Tatem","given":"Andrew J.","non-dropping-particle":"","parse-names":false,"suffix":""}],"container-title":"Sustainability","id":"ITEM-2","issue":"7","issued":{"date-parts":[["2019"]]},"page":"1-16","title":"Measurement of social networks for innovation within community disaster resilience","type":"article-journal","volume":"11"},"uris":["http://www.mendeley.com/documents/?uuid=9e76bdd8-24b4-4df0-a097-ee625fdf2033"]},{"id":"ITEM-3","itemData":{"author":[{"dropping-particle":"","family":"Sanyal","given":"Saswata","non-dropping-particle":"","parse-names":false,"suffix":""},{"dropping-particle":"","family":"Routray","given":"Jayant K.","non-dropping-particle":"","parse-names":false,"suffix":""}],"container-title":"International Journal of Disaster Risk Reduction","id":"ITEM-3","issued":{"date-parts":[["2016"]]},"page":"101-111","title":"Social capital for disaster risk reduction and management with empirical evidences from Sundarbans of India","type":"article-journal","volume":"19"},"uris":["http://www.mendeley.com/documents/?uuid=d8bcf27c-1efc-4c15-8204-cd8b37719dd2"]},{"id":"ITEM-4","itemData":{"DOI":"10.1007/s13280-021-01678-9","ISBN":"1328002101","ISSN":"16547209","PMID":"35015248","abstract":"Social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-4","issue":"6","issued":{"date-parts":[["2022"]]},"page":"1371-1387","title":"Building community resilience in a context of climate change: The role of social capital","type":"article-journal","volume":"51"},"uris":["http://www.mendeley.com/documents/?uuid=811839c2-2eda-4cbc-80b5-6bfc7c4a8392"]}],"mendeley":{"formattedCitation":"(Carmen et al., 2022; Wilkin, Biggs, &amp; Tatem, 2019; Sanyal &amp; Routray, 2016; Magis, 2010)","plainTextFormattedCitation":"(Carmen et al., 2022; Wilkin, Biggs, &amp; Tatem, 2019; Sanyal &amp; Routray, 2016; Magis, 2010)","previouslyFormattedCitation":"(Carmen et al., 2022; Wilkin, Biggs, &amp; Tatem, 2019; Sanyal &amp; Routray, 2016; Magis, 2010)"},"properties":{"noteIndex":0},"schema":"https://github.com/citation-style-language/schema/raw/master/csl-citation.json"}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(Carmen et al., 2022; Wilkin, Biggs, &amp; Tatem, 2019; Sanyal &amp; Routray, 2016; Magis, 2010)</w:t>
      </w:r>
      <w:r w:rsidRPr="00AC1B06">
        <w:rPr>
          <w:rFonts w:ascii="Calibri" w:hAnsi="Calibri" w:cs="Calibri"/>
          <w:color w:val="000000"/>
        </w:rPr>
        <w:fldChar w:fldCharType="end"/>
      </w:r>
      <w:r w:rsidRPr="00AC1B06">
        <w:rPr>
          <w:rFonts w:ascii="Calibri" w:hAnsi="Calibri" w:cs="Calibri"/>
          <w:color w:val="000000"/>
        </w:rPr>
        <w:t>, and examines the need for increased engagement from agencies like SYFR.</w:t>
      </w:r>
    </w:p>
    <w:p w14:paraId="4B06F018" w14:textId="3D8E2FB4" w:rsidR="00787F73" w:rsidRDefault="00C84401" w:rsidP="00A0151B">
      <w:pPr>
        <w:pStyle w:val="NormalWeb"/>
        <w:spacing w:before="0" w:after="0" w:line="360" w:lineRule="auto"/>
        <w:rPr>
          <w:rFonts w:ascii="Calibri" w:hAnsi="Calibri" w:cs="Calibri"/>
          <w:color w:val="000000"/>
        </w:rPr>
      </w:pPr>
      <w:r w:rsidRPr="00C84401">
        <w:rPr>
          <w:rFonts w:ascii="Calibri" w:hAnsi="Calibri" w:cs="Calibri"/>
          <w:color w:val="000000"/>
        </w:rPr>
        <w:t>While</w:t>
      </w:r>
      <w:r w:rsidR="00742FB7" w:rsidRPr="00AC1B06">
        <w:rPr>
          <w:rFonts w:ascii="Calibri" w:hAnsi="Calibri" w:cs="Calibri"/>
          <w:color w:val="000000"/>
        </w:rPr>
        <w:t xml:space="preserve"> there is a need to increase community engagement, there is a challenge for SYFR as </w:t>
      </w:r>
      <w:r w:rsidR="00742FB7" w:rsidRPr="00AC1B06">
        <w:rPr>
          <w:rFonts w:ascii="Calibri" w:hAnsi="Calibri" w:cs="Calibri"/>
        </w:rPr>
        <w:t>FRS</w:t>
      </w:r>
      <w:r w:rsidR="00BF12D9">
        <w:rPr>
          <w:rFonts w:ascii="Calibri" w:hAnsi="Calibri" w:cs="Calibri"/>
        </w:rPr>
        <w:t>’</w:t>
      </w:r>
      <w:r w:rsidR="00742FB7" w:rsidRPr="00AC1B06">
        <w:rPr>
          <w:rFonts w:ascii="Calibri" w:hAnsi="Calibri" w:cs="Calibri"/>
        </w:rPr>
        <w:t xml:space="preserve"> in E</w:t>
      </w:r>
      <w:r w:rsidR="00742FB7" w:rsidRPr="00AC1B06">
        <w:rPr>
          <w:rFonts w:ascii="Calibri" w:hAnsi="Calibri" w:cs="Calibri"/>
          <w:color w:val="000000"/>
        </w:rPr>
        <w:t xml:space="preserve">ngland have seen a reduction in their budgets over the last decade and they do not have the resources to target everyone in the community </w:t>
      </w:r>
      <w:r w:rsidR="00742FB7" w:rsidRPr="00AC1B06">
        <w:rPr>
          <w:rFonts w:ascii="Calibri" w:hAnsi="Calibri" w:cs="Calibri"/>
        </w:rPr>
        <w:fldChar w:fldCharType="begin" w:fldLock="1"/>
      </w:r>
      <w:r w:rsidR="00742FB7" w:rsidRPr="00AC1B06">
        <w:rPr>
          <w:rFonts w:ascii="Calibri" w:hAnsi="Calibri" w:cs="Calibri"/>
          <w:color w:val="000000"/>
        </w:rPr>
        <w:instrText>ADDIN CSL_CITATION {"citationItems":[{"id":"ITEM-1","itemData":{"author":[{"dropping-particle":"","family":"Waring","given":"Sara","non-dropping-particle":"","parse-names":false,"suffix":""},{"dropping-particle":"","family":"Bromley","given":"Caitlin","non-dropping-particle":"","parse-names":false,"suffix":""},{"dropping-particle":"","family":"Giles","given":"Susan","non-dropping-particle":"","parse-names":false,"suffix":""}],"id":"ITEM-1","issue":"July","issued":{"date-parts":[["2022"]]},"number-of-pages":"1-17","title":"Economic Evaluation of Fire and Rescue Service Activities : A Scoping Review","type":"report"},"uris":["http://www.mendeley.com/documents/?uuid=50784e0c-6920-43d9-85c2-0d903a9aa97c"]},{"id":"ITEM-2","itemData":{"DOI":"10.1108/TG-05-2014-0017","ISSN":"17506166","abstract":"Purpose – The purpose of this paper was to examine the transformation of fire prevention processes via improved targeting of fire prevention interventions over a four-year period. Design/methodology/approach – A four-year case study of the transformation of fire prevention processes involving a UK fire and rescue service, local council, National Health Service primary care trust and a police force was undertaken. Findings – Understanding the socio-economic causal factors underlying unintentional dwelling fires, and the need to work in collaborative partnerships to achieve change in such factors can support more targeted and effective fire prevention activities. Research limitations/implications – Analysis of underlying causal factors and their relationships, together with population segmentation and working in coordinated collaborative partnerships, can support enhanced fire risk assessment and community safety. This supported more pro-active early intervention fire risk management. Practical implications – Analysis of socio-economic causal factors and socio-economic groups associated with unintentional dwelling fires can assist in targeting fire prevention activities in a more effective and efficient manner. This enabled the fire and rescue service to target fire prevention to social groups most at risk of dwelling fires and the types of fires (for example, kitchen fires) relevant to the different social groups. Social implications – Collaborative public sector partnerships can achieve change in the socio-economic circumstances of at-risk individuals to support fire prevention. This enables the social- and health-related factors underlying fire risk to be addressed by the relevant partner health or social services agencies. Originality/value – The detailed analysis of the transformation of fire prevention activities that led to an implemented approach to enhance community safety. In particular, the analysis and evaluation of the move to collaborative multi-agency partnerships to support and improve fire prevention activities.","author":[{"dropping-particle":"","family":"Taylor","given":"Mark","non-dropping-particle":"","parse-names":false,"suffix":""},{"dropping-particle":"","family":"Higgins","given":"Emma","non-dropping-particle":"","parse-names":false,"suffix":""},{"dropping-particle":"","family":"Francis","given":"Hulya","non-dropping-particle":"","parse-names":false,"suffix":""},{"dropping-particle":"","family":"Jones","given":"Mark","non-dropping-particle":"","parse-names":false,"suffix":""},{"dropping-particle":"","family":"Appleton","given":"Deb","non-dropping-particle":"","parse-names":false,"suffix":""}],"container-title":"Transforming Government: People, Process and Policy","id":"ITEM-2","issue":"2","issued":{"date-parts":[["2015"]]},"page":"223-236","title":"Transforming fire prevention: A case study","type":"article-journal","volume":"9"},"uris":["http://www.mendeley.com/documents/?uuid=acd5c7b1-983b-4433-b0f5-98d6d2d3b882"]},{"id":"ITEM-3","itemData":{"DOI":"10.1080/03003930.2011.588701","ISBN":"03003930 (ISSN)","ISSN":"03003930","abstract":"Over the last ten years, local government modernisation and the growth of community safety agendas have called for change in the public sector at a local level. This has been typified by partnership work, improvement and inspection and community governance. The fire and rescue services, despite some initial cultural difficulties, have worked hard to adapt themselves to modern local government, for example through community fire safety work, which is presented as a case study. However, the culmination of the modernisation project, Comprehensive Area Assessment, does not favour the fire and rescue service, and to an extent excludes them from its formula. In this light, it seems that there is little incentive for the Fire Service to continue its modernising trajectory. © 2011 Taylor &amp; Francis.","author":[{"dropping-particle":"","family":"Matheson","given":"Kate","non-dropping-particle":"","parse-names":false,"suffix":""},{"dropping-particle":"","family":"Manning","given":"Rachel","non-dropping-particle":"","parse-names":false,"suffix":""},{"dropping-particle":"","family":"Williams","given":"Sara","non-dropping-particle":"","parse-names":false,"suffix":""}],"container-title":"Local Government Studies","id":"ITEM-3","issue":"4","issued":{"date-parts":[["2011"]]},"page":"451-465","title":"From brigade to service: An examination of the role of fire and rescue services in modern local government","type":"article-journal","volume":"37"},"uris":["http://www.mendeley.com/documents/?uuid=d535e317-5890-468e-bf3a-7891ccb8e10d"]}],"mendeley":{"formattedCitation":"(Waring, Bromley, &amp; Giles, 2022; Taylor et al., 2015; Matheson, Manning, &amp; Williams, 2011)","manualFormatting":"(Matheson et al., 2011; Taylor et al., 2015; Waring et al., 2022)","plainTextFormattedCitation":"(Waring, Bromley, &amp; Giles, 2022; Taylor et al., 2015; Matheson, Manning, &amp; Williams, 2011)","previouslyFormattedCitation":"(Waring, Bromley, &amp; Giles, 2022; Taylor et al., 2015; Matheson, Manning, &amp; Williams, 2011)"},"properties":{"noteIndex":0},"schema":"https://github.com/citation-style-language/schema/raw/master/csl-citation.json"}</w:instrText>
      </w:r>
      <w:r w:rsidR="00742FB7" w:rsidRPr="00AC1B06">
        <w:rPr>
          <w:rFonts w:ascii="Calibri" w:hAnsi="Calibri" w:cs="Calibri"/>
          <w:color w:val="000000"/>
        </w:rPr>
        <w:fldChar w:fldCharType="separate"/>
      </w:r>
      <w:r w:rsidR="00742FB7" w:rsidRPr="00AC1B06">
        <w:rPr>
          <w:rFonts w:ascii="Calibri" w:hAnsi="Calibri" w:cs="Calibri"/>
          <w:noProof/>
          <w:color w:val="000000"/>
        </w:rPr>
        <w:t>(Matheson et al., 2011; Taylor et al., 2015; Waring et al., 2022)</w:t>
      </w:r>
      <w:r w:rsidR="00742FB7" w:rsidRPr="00AC1B06">
        <w:rPr>
          <w:rFonts w:ascii="Calibri" w:hAnsi="Calibri" w:cs="Calibri"/>
          <w:color w:val="000000"/>
        </w:rPr>
        <w:fldChar w:fldCharType="end"/>
      </w:r>
      <w:r w:rsidR="00742FB7" w:rsidRPr="00AC1B06">
        <w:rPr>
          <w:rFonts w:ascii="Calibri" w:hAnsi="Calibri" w:cs="Calibri"/>
          <w:color w:val="000000"/>
        </w:rPr>
        <w:t xml:space="preserve">. This challenge then strengthens the social media logic, namely the drive to engage with the perceived communities online as a method to increase engagement, however, </w:t>
      </w:r>
      <w:r>
        <w:rPr>
          <w:rFonts w:ascii="Calibri" w:hAnsi="Calibri" w:cs="Calibri"/>
          <w:color w:val="000000"/>
        </w:rPr>
        <w:t>while</w:t>
      </w:r>
      <w:r w:rsidRPr="00AC1B06">
        <w:rPr>
          <w:rFonts w:ascii="Calibri" w:hAnsi="Calibri" w:cs="Calibri"/>
          <w:color w:val="000000"/>
        </w:rPr>
        <w:t xml:space="preserve"> </w:t>
      </w:r>
      <w:r w:rsidR="00742FB7" w:rsidRPr="00AC1B06">
        <w:rPr>
          <w:rFonts w:ascii="Calibri" w:hAnsi="Calibri" w:cs="Calibri"/>
          <w:color w:val="000000"/>
        </w:rPr>
        <w:t xml:space="preserve">this approach may be able to build linking social capital within some communities (if they are active and engaged on the specific social media platform that SYFR choose), the linking social capital also needs to be built with at risk communities such as the HR group, who are potentially more vulnerable to disasters. The challenge with this approach is that due to the digital divide, these communities are less likely to be engaging online, and as examined with the HR group, are less likely to actively follow or engage with </w:t>
      </w:r>
      <w:r w:rsidR="00742FB7" w:rsidRPr="00AC1B06">
        <w:rPr>
          <w:rFonts w:ascii="Calibri" w:hAnsi="Calibri" w:cs="Calibri"/>
          <w:color w:val="000000"/>
        </w:rPr>
        <w:lastRenderedPageBreak/>
        <w:t xml:space="preserve">content from official organisations, such as SYFR. However, with the pressures of performance management from NPM logics </w:t>
      </w:r>
      <w:r w:rsidR="00742FB7"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Journal","id":"ITEM-1","issue":"1/2","issued":{"date-parts":[["2019"]]},"page":"134-151","title":"The impact of new public management through outsourcing on the management of government information: The case of Sweden","type":"article-journal","volume":"29"},"uris":["http://www.mendeley.com/documents/?uuid=4524732a-155c-4c93-922f-cd3a912b45c2"]},{"id":"ITEM-2","itemData":{"DOI":"10.1016/0361-3682(93)E0001-W","ISSN":"03613682","abstract":"Changes in public sector accounting in a number of OECD countries over the 1980s were central to the rise of the \"New Public Management\" (NPM) and its associated doctrines of public accountability and organizational best practice. This paper discusses the rise of NPM as an alternative to the tradition of public accountability embodied in progressive-era public administration ideas. It argues that, in spite of allegations of internationalization and the adoption of a new global paradigm in public management, there was considerable variation in the extent to which different OECD countries adopted NPM over the 1980s. It further argues that conventional explanations of the rise of NPM (\"Englishness\", party political incumbency, economic performance record and government size) seem hard to sustain even from a relatively brief inspection of such cross-national data as are available, and that an explanation based on initial endowment may give us a different perspective on those changes. © 1995.","author":[{"dropping-particle":"","family":"Hood","given":"Christopher","non-dropping-particle":"","parse-names":false,"suffix":""}],"container-title":"Accounting, Organizations and Society","id":"ITEM-2","issue":"2/3","issued":{"date-parts":[["1995"]]},"page":"93-109","title":"The \"New Public Management\" in the 1980s: Variations on a theme","type":"article-journal","volume":"20"},"uris":["http://www.mendeley.com/documents/?uuid=7c2fc97b-7560-4c74-9a7c-9a0f44e73949"]}],"mendeley":{"formattedCitation":"(Svärd, 2019; Hood, 1995)","plainTextFormattedCitation":"(Svärd, 2019; Hood, 1995)","previouslyFormattedCitation":"(Svärd, 2019; Hood, 1995)"},"properties":{"noteIndex":0},"schema":"https://github.com/citation-style-language/schema/raw/master/csl-citation.json"}</w:instrText>
      </w:r>
      <w:r w:rsidR="00742FB7" w:rsidRPr="00AC1B06">
        <w:rPr>
          <w:rFonts w:ascii="Calibri" w:hAnsi="Calibri" w:cs="Calibri"/>
          <w:color w:val="000000"/>
        </w:rPr>
        <w:fldChar w:fldCharType="separate"/>
      </w:r>
      <w:r w:rsidR="00742FB7" w:rsidRPr="00AC1B06">
        <w:rPr>
          <w:rFonts w:ascii="Calibri" w:hAnsi="Calibri" w:cs="Calibri"/>
          <w:noProof/>
          <w:color w:val="000000"/>
        </w:rPr>
        <w:t>(Svärd, 2019; Hood, 1995)</w:t>
      </w:r>
      <w:r w:rsidR="00742FB7" w:rsidRPr="00AC1B06">
        <w:rPr>
          <w:rFonts w:ascii="Calibri" w:hAnsi="Calibri" w:cs="Calibri"/>
          <w:color w:val="000000"/>
        </w:rPr>
        <w:fldChar w:fldCharType="end"/>
      </w:r>
      <w:r w:rsidR="00742FB7" w:rsidRPr="00AC1B06">
        <w:rPr>
          <w:rFonts w:ascii="Calibri" w:hAnsi="Calibri" w:cs="Calibri"/>
          <w:color w:val="000000"/>
        </w:rPr>
        <w:t xml:space="preserve">, this analysis is often missed. The data examining the communities relationship with organisations indicates that linking social capital needs to be conducted in partnership with trusted community agencies, to provide the introduction, and for a partner organisation to be embedded within the community with the relevant community institutional legitimacy </w:t>
      </w:r>
      <w:r w:rsidR="00742FB7"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Phenomena","type":"article-journal","volume":"47"},"uris":["http://www.mendeley.com/documents/?uuid=3561369e-31b0-40ce-940d-739bd34cab24"]},{"id":"ITEM-2","itemData":{"DOI":"10.1108/S0733-558X(2013)0039A&amp;B015","ISSN":"0733558X","abstract":"This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Organizations","id":"ITEM-2","issue":"B","issued":{"date-parts":[["2013"]]},"page":"37-61","publisher":"Emerald Group Publishing Limited","title":"Institutional ambidexterity: Leveraging institutional complexity in practice","type":"article-journal","volume":"39"},"uris":["http://www.mendeley.com/documents/?uuid=ff8dc873-f050-4c05-bdec-08925d6e6ab8"]}],"mendeley":{"formattedCitation":"(Lounsbury et al., 2021; Jarzabkowski et al., 2013)","plainTextFormattedCitation":"(Lounsbury et al., 2021; Jarzabkowski et al., 2013)","previouslyFormattedCitation":"(Lounsbury et al., 2021; Jarzabkowski et al., 2013)"},"properties":{"noteIndex":0},"schema":"https://github.com/citation-style-language/schema/raw/master/csl-citation.json"}</w:instrText>
      </w:r>
      <w:r w:rsidR="00742FB7" w:rsidRPr="00AC1B06">
        <w:rPr>
          <w:rFonts w:ascii="Calibri" w:hAnsi="Calibri" w:cs="Calibri"/>
          <w:color w:val="000000"/>
        </w:rPr>
        <w:fldChar w:fldCharType="separate"/>
      </w:r>
      <w:r w:rsidR="00742FB7" w:rsidRPr="00AC1B06">
        <w:rPr>
          <w:rFonts w:ascii="Calibri" w:hAnsi="Calibri" w:cs="Calibri"/>
          <w:noProof/>
          <w:color w:val="000000"/>
        </w:rPr>
        <w:t>(Lounsbury et al., 2021; Jarzabkowski et al., 2013)</w:t>
      </w:r>
      <w:r w:rsidR="00742FB7" w:rsidRPr="00AC1B06">
        <w:rPr>
          <w:rFonts w:ascii="Calibri" w:hAnsi="Calibri" w:cs="Calibri"/>
          <w:color w:val="000000"/>
        </w:rPr>
        <w:fldChar w:fldCharType="end"/>
      </w:r>
      <w:r w:rsidR="00742FB7" w:rsidRPr="00AC1B06">
        <w:rPr>
          <w:rFonts w:ascii="Calibri" w:hAnsi="Calibri" w:cs="Calibri"/>
          <w:color w:val="000000"/>
        </w:rPr>
        <w:t xml:space="preserve">. </w:t>
      </w:r>
    </w:p>
    <w:p w14:paraId="48C81E39" w14:textId="77777777" w:rsidR="00956DFB" w:rsidRPr="00AC1B06" w:rsidRDefault="00956DFB" w:rsidP="00A0151B">
      <w:pPr>
        <w:pStyle w:val="NormalWeb"/>
        <w:spacing w:before="0" w:after="0" w:line="360" w:lineRule="auto"/>
        <w:rPr>
          <w:rFonts w:ascii="Calibri" w:hAnsi="Calibri" w:cs="Calibri"/>
        </w:rPr>
      </w:pPr>
    </w:p>
    <w:p w14:paraId="6435B1EB" w14:textId="12C8D1B4" w:rsidR="00773ACF" w:rsidRDefault="00742FB7" w:rsidP="00A0151B">
      <w:pPr>
        <w:pStyle w:val="NormalWeb"/>
        <w:spacing w:before="0" w:after="0" w:line="360" w:lineRule="auto"/>
        <w:rPr>
          <w:rFonts w:ascii="Calibri" w:hAnsi="Calibri" w:cs="Calibri"/>
          <w:color w:val="000000"/>
        </w:rPr>
      </w:pPr>
      <w:r w:rsidRPr="00AC1B06">
        <w:rPr>
          <w:rFonts w:ascii="Calibri" w:hAnsi="Calibri" w:cs="Calibri"/>
          <w:color w:val="000000"/>
        </w:rPr>
        <w:t>The final aspect of RQ3 referred to the community’s relationship to social media. The LR group have a Facebook group which was used prior and during the flood and this provided a great source of emotional support and sharing of information</w:t>
      </w:r>
      <w:r w:rsidR="0093200E">
        <w:rPr>
          <w:rFonts w:ascii="Calibri" w:hAnsi="Calibri" w:cs="Calibri"/>
          <w:color w:val="000000"/>
        </w:rPr>
        <w:t>,</w:t>
      </w:r>
      <w:r w:rsidR="00773ACF">
        <w:rPr>
          <w:rFonts w:ascii="Calibri" w:hAnsi="Calibri" w:cs="Calibri"/>
          <w:color w:val="000000"/>
        </w:rPr>
        <w:t xml:space="preserve"> which can be viewed as developing two elements of community resilience, education and mental outlook </w:t>
      </w:r>
      <w:r w:rsidR="00773ACF">
        <w:rPr>
          <w:rFonts w:ascii="Calibri" w:hAnsi="Calibri" w:cs="Calibri"/>
          <w:color w:val="000000"/>
        </w:rPr>
        <w:fldChar w:fldCharType="begin" w:fldLock="1"/>
      </w:r>
      <w:r w:rsidR="0067686A">
        <w:rPr>
          <w:rFonts w:ascii="Calibri" w:hAnsi="Calibri" w:cs="Calibri"/>
          <w:color w:val="000000"/>
        </w:rPr>
        <w:instrText>ADDIN CSL_CITATION {"citationItems":[{"id":"ITEM-1","itemData":{"DOI":"10.1371/currents.dis.db775aff25efc5ac4f0660ad9c9f7db2","ISSN":"2157-3999","abstract":"Background: Government, industry and charitable organisations have an increasing focus on programs intended to support community resilience to disasters. But has consensus been reached as to what defines 'community resilience' and what its core characteristics are? Methods: We undertook a systematic literature review of definitions of community resilience related to disasters. We conducted an inductive thematic analysis of the definitions and descriptions that we identified, in order to determine the proposed characteristics of community resilience prior to, during and after a disaster. Results: We identified 80 relevant papers. There was no evidence of a common, agreed definition of community resilience. In spite of this, evidence was found of nine core elements of community resilience that were common among the definitions. The core elements were: local knowledge, community networks and relationships, communication, health, governance and leadership, resources, economic investment, preparedness, and mental outlook. Within these core elements, we identified 19 sub-elements linked to community resilience. Conclusion: Our findings show that community resilience remains an amorphous concept that is understood and applied differently by different research groups. Yet in spite of the differences in conception and application, there are well-understood elements that are widely proposed as important for a resilient community. A focus on these individual elements may be more productive than attempting to define and study community resilience as a distinct concept. Tweet Patel SS, Rogers MB, Amlôt R, Rubin GJ. What Do We Mean by 'Community Resilience'? A","author":[{"dropping-particle":"","family":"Patel","given":"Sonny S","non-dropping-particle":"","parse-names":false,"suffix":""},{"dropping-particle":"","family":"Rogers","given":"M Brooke","non-dropping-particle":"","parse-names":false,"suffix":""},{"dropping-particle":"","family":"Amlôt","given":"Richard","non-dropping-particle":"","parse-names":false,"suffix":""},{"dropping-particle":"","family":"Rubin","given":"G James","non-dropping-particle":"","parse-names":false,"suffix":""}],"container-title":"PLoS currents","id":"ITEM-1","issued":{"date-parts":[["2017"]]},"page":"1-22","title":"What Do We Mean by 'Community Resilience'? A Systematic Literature Review of How It Is Defined in the Literature","type":"article-journal","volume":"9"},"uris":["http://www.mendeley.com/documents/?uuid=8b7e845a-0cc5-4c23-b38e-826bdf09e29d"]},{"id":"ITEM-2","itemData":{"author":[{"dropping-particle":"","family":"Ludin","given":"Salizar M.","non-dropping-particle":"","parse-names":false,"suffix":""},{"dropping-particle":"","family":"Rohaizat","given":"Munirah","non-dropping-particle":"","parse-names":false,"suffix":""},{"dropping-particle":"","family":"Arbon","given":"Paul","non-dropping-particle":"","parse-names":false,"suffix":""}],"container-title":"Health and Social Care in the Community","id":"ITEM-2","issue":"3","issued":{"date-parts":[["2019"]]},"page":"621 - 631","title":"The association between social cohesion and community disaster resilience: A cross‐sectional study","type":"article-journal","volume":"27"},"uris":["http://www.mendeley.com/documents/?uuid=818d7348-40a6-4380-acb5-bd2c514990f2"]}],"mendeley":{"formattedCitation":"(Ludin, Rohaizat, &amp; Arbon, 2019; Patel et al., 2017)","plainTextFormattedCitation":"(Ludin, Rohaizat, &amp; Arbon, 2019; Patel et al., 2017)","previouslyFormattedCitation":"(Ludin, Rohaizat, &amp; Arbon, 2019; Patel et al., 2017)"},"properties":{"noteIndex":0},"schema":"https://github.com/citation-style-language/schema/raw/master/csl-citation.json"}</w:instrText>
      </w:r>
      <w:r w:rsidR="00773ACF">
        <w:rPr>
          <w:rFonts w:ascii="Calibri" w:hAnsi="Calibri" w:cs="Calibri"/>
          <w:color w:val="000000"/>
        </w:rPr>
        <w:fldChar w:fldCharType="separate"/>
      </w:r>
      <w:r w:rsidR="00773ACF" w:rsidRPr="00773ACF">
        <w:rPr>
          <w:rFonts w:ascii="Calibri" w:hAnsi="Calibri" w:cs="Calibri"/>
          <w:noProof/>
          <w:color w:val="000000"/>
        </w:rPr>
        <w:t>(Ludin, Rohaizat, &amp; Arbon, 2019; Patel et al., 2017)</w:t>
      </w:r>
      <w:r w:rsidR="00773ACF">
        <w:rPr>
          <w:rFonts w:ascii="Calibri" w:hAnsi="Calibri" w:cs="Calibri"/>
          <w:color w:val="000000"/>
        </w:rPr>
        <w:fldChar w:fldCharType="end"/>
      </w:r>
      <w:r w:rsidRPr="00AC1B06">
        <w:rPr>
          <w:rFonts w:ascii="Calibri" w:hAnsi="Calibri" w:cs="Calibri"/>
          <w:color w:val="000000"/>
        </w:rPr>
        <w:t xml:space="preserve"> However, in the recovery phase of the disaster, this group was the location of an argument which led to the shutting down of the group and resulted in members of the community disengaging from the community and in the wider local politics. </w:t>
      </w:r>
      <w:r w:rsidR="00773ACF">
        <w:rPr>
          <w:rFonts w:ascii="Calibri" w:hAnsi="Calibri" w:cs="Calibri"/>
          <w:color w:val="000000"/>
        </w:rPr>
        <w:t xml:space="preserve">Not only did this influence the community’s resilience through the shifting of governance, but also the damage to the mental wellbeing and outlook of some of the community members </w:t>
      </w:r>
      <w:r w:rsidR="00773ACF">
        <w:rPr>
          <w:rFonts w:ascii="Calibri" w:hAnsi="Calibri" w:cs="Calibri"/>
          <w:color w:val="000000"/>
        </w:rPr>
        <w:fldChar w:fldCharType="begin" w:fldLock="1"/>
      </w:r>
      <w:r w:rsidR="00773ACF">
        <w:rPr>
          <w:rFonts w:ascii="Calibri" w:hAnsi="Calibri" w:cs="Calibri"/>
          <w:color w:val="000000"/>
        </w:rPr>
        <w:instrText>ADDIN CSL_CITATION {"citationItems":[{"id":"ITEM-1","itemData":{"DOI":"10.1080/08941920.2012.736605","ISBN":"0894-1920","ISSN":"08941920","PMID":"84423027","abstract":"We explore opportunities for an integrated approach in community resilience to inform new research directions and practice, using the productive common ground between two strands of literature on community resilience, one from social-ecological systems and the other from the psychology of development and mental health. The first strand treats resilience as a systems concept, dealing with adaptive relationships and learning in social-ecological systems across nested levels, with attention to feedbacks, nonlinearity, unpredictability, scale, renewal cycles, drivers, system memory, disturbance events, and windows of opportunity. The second strand emphasizes identifying and developing community strengths, and building resilience through agency and self-organization, with attention to people-place connections, values and beliefs, knowledge and learning, social networks, collaborative governance, economic diversification, infrastructure, leadership, and outlook. An integrative approach seated in the complex adaptive system and ecological understanding can incorporate the identification of explicit social strengths and connections to place, activated by agency and self-organizing. &amp;copy; 2013 Copyright Taylor and Francis Group, LLC.","author":[{"dropping-particle":"","family":"Berkes","given":"Fikret","non-dropping-particle":"","parse-names":false,"suffix":""},{"dropping-particle":"","family":"Ross","given":"Helen","non-dropping-particle":"","parse-names":false,"suffix":""}],"container-title":"Society and Natural Resources","id":"ITEM-1","issue":"1","issued":{"date-parts":[["2013"]]},"page":"5-20","title":"Community Resilience: Toward an Integrated Approach","type":"article-journal","volume":"26"},"uris":["http://www.mendeley.com/documents/?uuid=0b80407c-2c27-4353-a9ed-b8cff357c953"]},{"id":"ITEM-2","itemData":{"DOI":"10.1371/currents.dis.db775aff25efc5ac4f0660ad9c9f7db2","ISSN":"2157-3999","abstract":"Background: Government, industry and charitable organisations have an increasing focus on programs intended to support community resilience to disasters. But has consensus been reached as to what defines 'community resilience' and what its core characteristics are? Methods: We undertook a systematic literature review of definitions of community resilience related to disasters. We conducted an inductive thematic analysis of the definitions and descriptions that we identified, in order to determine the proposed characteristics of community resilience prior to, during and after a disaster. Results: We identified 80 relevant papers. There was no evidence of a common, agreed definition of community resilience. In spite of this, evidence was found of nine core elements of community resilience that were common among the definitions. The core elements were: local knowledge, community networks and relationships, communication, health, governance and leadership, resources, economic investment, preparedness, and mental outlook. Within these core elements, we identified 19 sub-elements linked to community resilience. Conclusion: Our findings show that community resilience remains an amorphous concept that is understood and applied differently by different research groups. Yet in spite of the differences in conception and application, there are well-understood elements that are widely proposed as important for a resilient community. A focus on these individual elements may be more productive than attempting to define and study community resilience as a distinct concept. Tweet Patel SS, Rogers MB, Amlôt R, Rubin GJ. What Do We Mean by 'Community Resilience'? A","author":[{"dropping-particle":"","family":"Patel","given":"Sonny S","non-dropping-particle":"","parse-names":false,"suffix":""},{"dropping-particle":"","family":"Rogers","given":"M Brooke","non-dropping-particle":"","parse-names":false,"suffix":""},{"dropping-particle":"","family":"Amlôt","given":"Richard","non-dropping-particle":"","parse-names":false,"suffix":""},{"dropping-particle":"","family":"Rubin","given":"G James","non-dropping-particle":"","parse-names":false,"suffix":""}],"container-title":"PLoS currents","id":"ITEM-2","issued":{"date-parts":[["2017"]]},"page":"1-22","title":"What Do We Mean by 'Community Resilience'? A Systematic Literature Review of How It Is Defined in the Literature","type":"article-journal","volume":"9"},"uris":["http://www.mendeley.com/documents/?uuid=8b7e845a-0cc5-4c23-b38e-826bdf09e29d"]}],"mendeley":{"formattedCitation":"(Patel et al., 2017; Berkes &amp; Ross, 2013)","plainTextFormattedCitation":"(Patel et al., 2017; Berkes &amp; Ross, 2013)","previouslyFormattedCitation":"(Patel et al., 2017; Berkes &amp; Ross, 2013)"},"properties":{"noteIndex":0},"schema":"https://github.com/citation-style-language/schema/raw/master/csl-citation.json"}</w:instrText>
      </w:r>
      <w:r w:rsidR="00773ACF">
        <w:rPr>
          <w:rFonts w:ascii="Calibri" w:hAnsi="Calibri" w:cs="Calibri"/>
          <w:color w:val="000000"/>
        </w:rPr>
        <w:fldChar w:fldCharType="separate"/>
      </w:r>
      <w:r w:rsidR="00773ACF" w:rsidRPr="00773ACF">
        <w:rPr>
          <w:rFonts w:ascii="Calibri" w:hAnsi="Calibri" w:cs="Calibri"/>
          <w:noProof/>
          <w:color w:val="000000"/>
        </w:rPr>
        <w:t>(Patel et al., 2017; Berkes &amp; Ross, 2013)</w:t>
      </w:r>
      <w:r w:rsidR="00773ACF">
        <w:rPr>
          <w:rFonts w:ascii="Calibri" w:hAnsi="Calibri" w:cs="Calibri"/>
          <w:color w:val="000000"/>
        </w:rPr>
        <w:fldChar w:fldCharType="end"/>
      </w:r>
      <w:r w:rsidR="00773ACF">
        <w:rPr>
          <w:rFonts w:ascii="Calibri" w:hAnsi="Calibri" w:cs="Calibri"/>
          <w:color w:val="000000"/>
        </w:rPr>
        <w:t xml:space="preserve">. </w:t>
      </w:r>
    </w:p>
    <w:p w14:paraId="427975DC" w14:textId="77777777" w:rsidR="00956DFB" w:rsidRDefault="00956DFB" w:rsidP="00A0151B">
      <w:pPr>
        <w:pStyle w:val="NormalWeb"/>
        <w:spacing w:before="0" w:after="0" w:line="360" w:lineRule="auto"/>
        <w:rPr>
          <w:rFonts w:ascii="Calibri" w:hAnsi="Calibri" w:cs="Calibri"/>
          <w:color w:val="000000"/>
        </w:rPr>
      </w:pPr>
    </w:p>
    <w:p w14:paraId="7AF75F1B" w14:textId="20F2C9B0" w:rsidR="00787F73" w:rsidRDefault="00773ACF" w:rsidP="00A0151B">
      <w:pPr>
        <w:pStyle w:val="NormalWeb"/>
        <w:spacing w:before="0" w:after="0" w:line="360" w:lineRule="auto"/>
        <w:rPr>
          <w:rFonts w:ascii="Calibri" w:hAnsi="Calibri" w:cs="Calibri"/>
          <w:color w:val="000000"/>
        </w:rPr>
      </w:pPr>
      <w:r>
        <w:rPr>
          <w:rFonts w:ascii="Calibri" w:hAnsi="Calibri" w:cs="Calibri"/>
          <w:color w:val="000000"/>
        </w:rPr>
        <w:t>The community’s relationship to social media also demonstrated the</w:t>
      </w:r>
      <w:r w:rsidRPr="00AC1B06">
        <w:rPr>
          <w:rFonts w:ascii="Calibri" w:hAnsi="Calibri" w:cs="Calibri"/>
          <w:color w:val="000000"/>
        </w:rPr>
        <w:t xml:space="preserve"> challenges of Facebook groups and the transient nature of community run groups. </w:t>
      </w:r>
      <w:r w:rsidR="00C84401" w:rsidRPr="00A0151B">
        <w:rPr>
          <w:rFonts w:ascii="Calibri" w:hAnsi="Calibri" w:cs="Calibri"/>
        </w:rPr>
        <w:t>While</w:t>
      </w:r>
      <w:r w:rsidRPr="00AC1B06">
        <w:rPr>
          <w:rFonts w:ascii="Calibri" w:hAnsi="Calibri" w:cs="Calibri"/>
          <w:color w:val="000000"/>
        </w:rPr>
        <w:t xml:space="preserve"> there had been challenges with Facebook, the LR group still experienced benefits of using it, unlike the HR group which struggled with the digital divide. Participants that attended the group were digitally active, however, I noted that it was a challenge in their community and that the closing of libraries had impacted this further. This builds on the existing digital divide literature focusing on the structural inequalities leading to digital exclusion and poverty </w:t>
      </w:r>
      <w:r w:rsidRPr="00AC1B06">
        <w:rPr>
          <w:rFonts w:ascii="Calibri" w:hAnsi="Calibri" w:cs="Calibri"/>
        </w:rPr>
        <w:fldChar w:fldCharType="begin" w:fldLock="1"/>
      </w:r>
      <w:r w:rsidRPr="00AC1B06">
        <w:rPr>
          <w:rFonts w:ascii="Calibri" w:hAnsi="Calibri" w:cs="Calibri"/>
          <w:color w:val="000000"/>
        </w:rPr>
        <w:instrText>ADDIN CSL_CITATION {"citationItems":[{"id":"ITEM-1","itemData":{"DOI":"10.1016/j.diggeo.2022.100041","ISSN":"26663783","abstract":"Digital exclusion and poverty are understood to be closely linked, and existing literature on the topic makes clear that the contexts of people's lives shape their experiences of digital exclusion in important ways. Indeed, the online and offline aspects of life are in many regards inextricable. As such, this paper focuses on the complex relationship between digital exclusion and poverty, and examines how a range of spatial, material, and temporal factors related to experiences of poverty shape opportunities to use the internet. Drawing upon qualitative data from interviews with coaches and participants in a programme which seeks to help low-income people find work, manage their money, and get online, the paper traces several key ways in which different aspects of poverty – including housing inequality – coalesce to shape experiences of digital exclusion. In doing so, the paper argues that examining the ways in which these seemingly offline aspects of poverty affect opportunities to use the internet provides an opportunity to enhance understandings of exactly how digital exclusion is manifested for those experiencing poverty.","author":[{"dropping-particle":"","family":"Holmes","given":"Hannah","non-dropping-particle":"","parse-names":false,"suffix":""},{"dropping-particle":"","family":"Burgess","given":"Gemma","non-dropping-particle":"","parse-names":false,"suffix":""}],"container-title":"Digital Geography and Society","id":"ITEM-1","issued":{"date-parts":[["2022"]]},"page":"1-9","title":"Digital exclusion and poverty in the UK: How structural inequality shapes experiences of getting online","type":"article-journal","volume":"3"},"uris":["http://www.mendeley.com/documents/?uuid=a5d72ba4-5729-45de-a51e-ca85c70c5384"]}],"mendeley":{"formattedCitation":"(Holmes &amp; Burgess, 2022)","plainTextFormattedCitation":"(Holmes &amp; Burgess, 2022)","previouslyFormattedCitation":"(Holmes &amp; Burgess, 2022)"},"properties":{"noteIndex":0},"schema":"https://github.com/citation-style-language/schema/raw/master/csl-citation.json"}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(Holmes &amp; Burgess, 2022)</w:t>
      </w:r>
      <w:r w:rsidRPr="00AC1B06">
        <w:rPr>
          <w:rFonts w:ascii="Calibri" w:hAnsi="Calibri" w:cs="Calibri"/>
          <w:color w:val="000000"/>
        </w:rPr>
        <w:fldChar w:fldCharType="end"/>
      </w:r>
      <w:r w:rsidRPr="00AC1B06">
        <w:rPr>
          <w:rFonts w:ascii="Calibri" w:hAnsi="Calibri" w:cs="Calibri"/>
          <w:color w:val="000000"/>
        </w:rPr>
        <w:t xml:space="preserve">. The digital divide literature focuses on the various levels of the divide, such as the first level of access, second level of skills, and third level of outcome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{"citationItems":[{"id":"ITEM-1","itemData":{"DOI":"10.1177/1461444810386774","abstract":"Because of the growing amount of information on the internet and people's increasing dependence on information, internet skills should be considered as a vital resource in contemporary society. This article focuses on the differential possession of internet skills among the Dutch population. In two studies, an in-depth range of internet skills are measured by charging subjects assignments to be accomplished on the internet. Subjects were recruited by applying a random stratified sampling method over gender, age, and education. While the level of operational and formal internet skills appeared quite high, the level of information and strategic internet skills is questionable. Whereas education appeared an important contributor to all skill levels, age only appeared a significant contributor to operational and formal skills. The results strengthen the findings that the original digital divide of physical internet access has evolved into a divide that includes differences in skills to use the internet.","author":[{"dropping-particle":"","family":"Deursen","given":"Alexander","non-dropping-particle":"van","parse-names":false,"suffix":""},{"dropping-particle":"","family":"Dijk","given":"Jan","non-dropping-particle":"van","parse-names":false,"suffix":""}],"container-title":"New Media &amp; Society","id":"ITEM-1","issue":"6","issued":{"date-parts":[["2010"]]},"page":"893 - 911","title":"Internet skills and the digital divide","type":"article-journal","volume":"13"},"uris":["http://www.mendeley.com/documents/?uuid=4ab52788-a677-3403-95f9-543bd1f5b973"]},{"id":"ITEM-2","itemData":{"DOI":"10.1080/1369118X.2015.1084023","ISSN":"14684462","abstract":"ABSTRACTBased on the idea that Internet use can be conceptualized in terms of depth (frequency) and width (differentiated) uses of the Web, this study explored how socio-demographic factors and digital skills are related to frequency and types of Facebook use among young adults. It used a face-to-face representative survey conducted in the three main urban areas of Chile among a sample of 18-to 29-year olds. The results found that men and more educated young people had higher levels of skills, confirming that the so-called ‘digital natives’ are not a monolithic group. They also revealed that digital skills did not predict frequency of Facebook use. Furthermore, lower educated young people tended to use Facebook more frequently. Although these results go against the long-established digital divide research, traditional digital gaps emerged when types of use were analyzed. While more educated and skillful individuals tended to use Facebook for informational and mobilizing purposes, socio-demographic factors...","author":[{"dropping-particle":"","family":"Correa","given":"Teresa","non-dropping-particle":"","parse-names":false,"suffix":""}],"container-title":"Information Communication and Society","id":"ITEM-2","issue":"8","issued":{"date-parts":[["2016"]]},"page":"1095-1107","title":"Digital skills and social media use: how Internet skills are related to different types of Facebook use among ‘digital natives’","type":"article-journal","volume":"19"},"uris":["http://www.mendeley.com/documents/?uuid=487b665a-3545-479d-8afb-aa5e78296f9d"]},{"id":"ITEM-3","itemData":{"DOI":"10.1007/s13753-022-00399-1","ISSN":"21926395","abstract":"This study examined the propensity of social media use by underserved communities by drawing on the literature on the digital divide and attribution theory. Specifically, this research explored the factors that can influence the use of social media for disaster management. The study used survey methodology to collect data and partial least squares structural equation modeling (PLS-SEM) to analyze the data and test the hypotheses. The results of the study indicate: (1) that the propensity of social media use for disaster management is low for underserved communities; (2) a positive relationship between an individual’s effort and the intention to use social media for disaster management; and (3) a negative relationship between task difficulty and the intention to use social media for disaster management. The study expanded the literature on the use of social media in disaster management. The article also provides both theoretical and practical implications.","author":[{"dropping-particle":"","family":"Ramakrishnan","given":"Thiagarajan","non-dropping-particle":"","parse-names":false,"suffix":""},{"dropping-particle":"","family":"Ngamassi","given":"Louis","non-dropping-particle":"","parse-names":false,"suffix":""},{"dropping-particle":"","family":"Rahman","given":"Shahedur","non-dropping-particle":"","parse-names":false,"suffix":""}],"container-title":"International Journal of Disaster Risk Science","id":"ITEM-3","issued":{"date-parts":[["2022"]]},"page":"52-65","title":"Examining the Factors that Influence the Use of Social Media for Disaster Management by Underserved Communities","type":"article-journal","volume":"13"},"uris":["http://www.mendeley.com/documents/?uuid=78f79e65-57eb-4b0f-a3c9-31e43d9f8e7c"]}],"mendeley":{"formattedCitation":"(Ramakrishnan, Ngamassi, &amp; Rahman, 2022; Correa, 2016; van Deursen &amp; van Dijk, 2010)","plainTextFormattedCitation":"(Ramakrishnan, Ngamassi, &amp; Rahman, 2022; Correa, 2016; van Deursen &amp; van Dijk, 2010)","previouslyFormattedCitation":"(Ramakrishnan, Ngamassi, &amp; Rahman, 2022; Correa, 2016; van Deursen &amp; van Dijk, 2010)"},"properties":{"noteIndex":0},"schema":"https://github.com/citation-style-language/schema/raw/master/csl-citation.json"}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rPr>
        <w:t>(Ramakrishnan, Ngamassi, &amp; Rahman, 2022; Correa, 2016; van Deursen &amp; van Dijk, 2010)</w:t>
      </w:r>
      <w:r w:rsidRPr="00AC1B06">
        <w:rPr>
          <w:rFonts w:ascii="Calibri" w:hAnsi="Calibri" w:cs="Calibri"/>
          <w:color w:val="000000"/>
        </w:rPr>
        <w:fldChar w:fldCharType="end"/>
      </w:r>
      <w:r w:rsidR="00BF12D9">
        <w:rPr>
          <w:rFonts w:ascii="Calibri" w:hAnsi="Calibri" w:cs="Calibri"/>
        </w:rPr>
        <w:t>.</w:t>
      </w:r>
      <w:r w:rsidRPr="00AC1B06">
        <w:rPr>
          <w:rFonts w:ascii="Calibri" w:hAnsi="Calibri" w:cs="Calibri"/>
        </w:rPr>
        <w:t xml:space="preserve"> </w:t>
      </w:r>
      <w:r w:rsidR="00BF12D9">
        <w:rPr>
          <w:rFonts w:ascii="Calibri" w:hAnsi="Calibri" w:cs="Calibri"/>
        </w:rPr>
        <w:t>H</w:t>
      </w:r>
      <w:r w:rsidRPr="00AC1B06">
        <w:rPr>
          <w:rFonts w:ascii="Calibri" w:hAnsi="Calibri" w:cs="Calibri"/>
        </w:rPr>
        <w:t xml:space="preserve">owever, </w:t>
      </w:r>
      <w:r w:rsidR="00C84401">
        <w:rPr>
          <w:rFonts w:ascii="Calibri" w:hAnsi="Calibri" w:cs="Calibri"/>
        </w:rPr>
        <w:t>while</w:t>
      </w:r>
      <w:r w:rsidR="00C84401" w:rsidRPr="00AC1B06">
        <w:rPr>
          <w:rFonts w:ascii="Calibri" w:hAnsi="Calibri" w:cs="Calibri"/>
        </w:rPr>
        <w:t xml:space="preserve"> </w:t>
      </w:r>
      <w:r w:rsidRPr="00AC1B06">
        <w:rPr>
          <w:rFonts w:ascii="Calibri" w:hAnsi="Calibri" w:cs="Calibri"/>
        </w:rPr>
        <w:t xml:space="preserve">each of these levels are personal to the user, these structural inequalities, such as the closing of libraries, is exacerbating this divide further. </w:t>
      </w:r>
      <w:r w:rsidRPr="00AC1B06">
        <w:rPr>
          <w:rFonts w:ascii="Calibri" w:hAnsi="Calibri" w:cs="Calibri"/>
          <w:color w:val="000000"/>
        </w:rPr>
        <w:t xml:space="preserve">This again highlights the importance of understanding the context and nuance of the communities SYFR is trying to engage with, namely that the use </w:t>
      </w:r>
      <w:r w:rsidRPr="00AC1B06">
        <w:rPr>
          <w:rFonts w:ascii="Calibri" w:hAnsi="Calibri" w:cs="Calibri"/>
          <w:color w:val="000000"/>
        </w:rPr>
        <w:lastRenderedPageBreak/>
        <w:t>of community implies homogeneity, and a mutual trust and reciprocity, however</w:t>
      </w:r>
      <w:r w:rsidR="00BF12D9">
        <w:rPr>
          <w:rFonts w:ascii="Calibri" w:hAnsi="Calibri" w:cs="Calibri"/>
          <w:color w:val="000000"/>
        </w:rPr>
        <w:t>,</w:t>
      </w:r>
      <w:r w:rsidRPr="00AC1B06">
        <w:rPr>
          <w:rFonts w:ascii="Calibri" w:hAnsi="Calibri" w:cs="Calibri"/>
          <w:color w:val="000000"/>
        </w:rPr>
        <w:t xml:space="preserve"> this is not always the case </w:t>
      </w:r>
      <w:r w:rsidRPr="00AC1B06">
        <w:rPr>
          <w:rFonts w:ascii="Calibri" w:hAnsi="Calibri" w:cs="Calibri"/>
        </w:rPr>
        <w:fldChar w:fldCharType="begin" w:fldLock="1"/>
      </w:r>
      <w:r w:rsidR="00974B75" w:rsidRPr="00AC1B06">
        <w:rPr>
          <w:rFonts w:ascii="Calibri" w:hAnsi="Calibri" w:cs="Calibri"/>
          <w:color w:val="000000"/>
        </w:rPr>
        <w:instrText>ADDIN CSL_CITATION {"citationItems":[{"id":"ITEM-1","itemData":{"DOI":"10.1177/26317877211004602","ISSN":"26317877","abstract":"In their 2012 book The Institutional Logics Perspective, Patricia Thornton, William Ocasio and Michael Lounsbury proposed the addition of community as a logic to more traditional candidates such as religion and family. This article argues that an examination of the wider sociological and historical literature indicates that community is indeed an important category of analysis, but as the context shaping action rather than as a logic. The literature that Thornton, Ocasio and Lounsbury draw on tends to conflate community as a form of informal social structure with community as geographically bounded space. Using Friedland’s characterization of logics as a combination of substance and practices, I argue that community lacks the coherence necessary to function as a logic. While community remains an important part of our conceptual armoury, I argue that as well as being aware of the connotations of the term it may be more productive to consider it as the context in which logics are received, contested and blended. Attention is thus directed to the ways in which a range of organizational forms might foster or negate shared feelings of groupness.","author":[{"dropping-particle":"","family":"Mutch","given":"Alistair","non-dropping-particle":"","parse-names":false,"suffix":""}],"container-title":"Organization Theory","id":"ITEM-1","issue":"2","issued":{"date-parts":[["2021"]]},"page":"1 - 18","title":"Challenging Community: Logic or Context?","type":"article-journal","volume":"2"},"uris":["http://www.mendeley.com/documents/?uuid=e7cf665a-0525-445a-b70a-82b92ea0afad"]},{"id":"ITEM-2","itemData":{"DOI":"10.3390/soc8030071","ISSN":"2075-4698","abstract":"In all areas of academic or practical work related to disaster risk, climate change and development more generally, community and its adjunct community-based have become the default terminology when referring to the local level or working ‘with the people’. The terms are applied extensively to highlight what is believed to be a people-centred, participatory, or grassroot-level approach. Today, despite, or because of, its inherent ambiguity, ‘community’ tends to be used almost inflationarily. This paper aims to analyse the way the concept of ‘community’ has come into fashion, and to critically reflect on the problems that come with it. We are raising significant doubts about the usefulness of ‘community’ in development- and disaster-related work. Our approach is to first consider how ‘community’ has become popular in research and with humanitarian agencies and other organisations based on what can be considered a ‘moral licence’ that supposedly guarantees that the actions being taken are genuinely people-centred and ethically justified. We then explore several theoretical approaches to ‘community’, highlight the vast scope of different (and contested) views on what ‘community’ entails, and explain how ‘community’ is framing practical attempts to mitigate vulnerability and inequity. We demonstrate how these attempts are usually futile, and sometimes harmful, due to the blurriness of ‘community’ concepts and their inherent failure to address the root causes of vulnerability. From two antagonistic positions, we finally advocate more meaningful ways to acknowledge vulnerable people’s views and needs appropriately.","author":[{"dropping-particle":"","family":"Titz","given":"Alexandra","non-dropping-particle":"","parse-names":false,"suffix":""},{"dropping-particle":"","family":"Cannon","given":"Terry","non-dropping-particle":"","parse-names":false,"suffix":""},{"dropping-particle":"","family":"Krüger","given":"Fred","non-dropping-particle":"","parse-names":false,"suffix":""}],"container-title":"Societies","id":"ITEM-2","issue":"3","issued":{"date-parts":[["2018"]]},"page":"1 - 28","title":"Uncovering ‘Community’: Challenging an Elusive Concept in Development and Disaster Related Work","type":"article-journal","volume":"8"},"uris":["http://www.mendeley.com/documents/?uuid=f9599f8d-2339-4d46-9072-6514bdefdc30"]}],"mendeley":{"formattedCitation":"(Mutch, 2021; Titz, Cannon, &amp; Krüger, 2018)","plainTextFormattedCitation":"(Mutch, 2021; Titz, Cannon, &amp; Krüger, 2018)","previouslyFormattedCitation":"(Mutch, 2021; Titz, Cannon, &amp; Krüger, 2018)"},"properties":{"noteIndex":0},"schema":"https://github.com/citation-style-language/schema/raw/master/csl-citation.json"}</w:instrText>
      </w:r>
      <w:r w:rsidRPr="00AC1B06">
        <w:rPr>
          <w:rFonts w:ascii="Calibri" w:hAnsi="Calibri" w:cs="Calibri"/>
          <w:color w:val="000000"/>
        </w:rPr>
        <w:fldChar w:fldCharType="separate"/>
      </w:r>
      <w:r w:rsidRPr="00AC1B06">
        <w:rPr>
          <w:rFonts w:ascii="Calibri" w:hAnsi="Calibri" w:cs="Calibri"/>
          <w:noProof/>
          <w:color w:val="000000"/>
        </w:rPr>
        <w:t>(Mutch, 2021; Titz, Cannon, &amp; Krüger, 2018)</w:t>
      </w:r>
      <w:r w:rsidRPr="00AC1B06">
        <w:rPr>
          <w:rFonts w:ascii="Calibri" w:hAnsi="Calibri" w:cs="Calibri"/>
          <w:color w:val="000000"/>
        </w:rPr>
        <w:fldChar w:fldCharType="end"/>
      </w:r>
      <w:r w:rsidRPr="00AC1B06">
        <w:rPr>
          <w:rFonts w:ascii="Calibri" w:hAnsi="Calibri" w:cs="Calibri"/>
          <w:color w:val="000000"/>
        </w:rPr>
        <w:t>.</w:t>
      </w:r>
    </w:p>
    <w:p w14:paraId="60604C91" w14:textId="77777777" w:rsidR="00956DFB" w:rsidRPr="00AC1B06" w:rsidRDefault="00956DFB" w:rsidP="00A0151B">
      <w:pPr>
        <w:pStyle w:val="NormalWeb"/>
        <w:spacing w:before="0" w:after="0" w:line="360" w:lineRule="auto"/>
        <w:rPr>
          <w:rFonts w:ascii="Calibri" w:hAnsi="Calibri" w:cs="Calibri"/>
        </w:rPr>
      </w:pPr>
    </w:p>
    <w:p w14:paraId="7F088DBC" w14:textId="77777777" w:rsidR="00787F73" w:rsidRDefault="00742FB7" w:rsidP="00A0151B">
      <w:pPr>
        <w:pStyle w:val="NormalWeb"/>
        <w:spacing w:before="0" w:after="0" w:line="360" w:lineRule="auto"/>
        <w:rPr>
          <w:rFonts w:ascii="Calibri" w:hAnsi="Calibri" w:cs="Calibri"/>
        </w:rPr>
      </w:pPr>
      <w:bookmarkStart w:id="1100" w:name="_Hlk153468439"/>
      <w:r w:rsidRPr="00AC1B06">
        <w:rPr>
          <w:rFonts w:ascii="Calibri" w:hAnsi="Calibri" w:cs="Calibri"/>
          <w:color w:val="000000"/>
        </w:rPr>
        <w:t>These findings again highlight a challenge for SYFR who are aiming to use Facebook groups to engage with communities who either do not have the resources to actively engage in person or do not engage regularly within Facebook groups. The findings also bring to light the institutional complexity being experienced by SYFR as they have the institutional drive to engage and support communities but do not have the resources of statutory obligation to support the communities in this manner. </w:t>
      </w:r>
      <w:bookmarkEnd w:id="1079"/>
      <w:bookmarkEnd w:id="1080"/>
      <w:bookmarkEnd w:id="1081"/>
      <w:bookmarkEnd w:id="1082"/>
      <w:bookmarkEnd w:id="1083"/>
      <w:bookmarkEnd w:id="1084"/>
      <w:bookmarkEnd w:id="1085"/>
      <w:bookmarkEnd w:id="1086"/>
      <w:bookmarkEnd w:id="1100"/>
      <w:r w:rsidRPr="00AC1B06">
        <w:rPr>
          <w:rFonts w:ascii="Calibri" w:hAnsi="Calibri" w:cs="Calibri"/>
        </w:rPr>
        <w:t xml:space="preserve"> </w:t>
      </w:r>
    </w:p>
    <w:p w14:paraId="58D6408E" w14:textId="77777777" w:rsidR="00956DFB" w:rsidRPr="00AC1B06" w:rsidRDefault="00956DFB" w:rsidP="00A0151B">
      <w:pPr>
        <w:pStyle w:val="NormalWeb"/>
        <w:spacing w:before="0" w:after="0" w:line="360" w:lineRule="auto"/>
        <w:rPr>
          <w:rFonts w:ascii="Calibri" w:hAnsi="Calibri" w:cs="Calibri"/>
        </w:rPr>
      </w:pPr>
    </w:p>
    <w:p w14:paraId="06325A1D" w14:textId="54F49384" w:rsidR="00787F73" w:rsidRPr="00AC1B06" w:rsidRDefault="00742FB7" w:rsidP="00956DFB">
      <w:pPr>
        <w:rPr>
          <w:rFonts w:cs="Calibri"/>
        </w:rPr>
      </w:pPr>
      <w:bookmarkStart w:id="1101" w:name="_Hlk1616756171"/>
      <w:bookmarkStart w:id="1102" w:name="_Hlk161512538"/>
      <w:bookmarkEnd w:id="1101"/>
      <w:bookmarkEnd w:id="1102"/>
      <w:r w:rsidRPr="00AC1B06">
        <w:rPr>
          <w:rFonts w:cs="Calibri"/>
          <w:color w:val="000000"/>
        </w:rPr>
        <w:t>This chapter was focused on RQ3, examining w</w:t>
      </w:r>
      <w:r w:rsidRPr="00AC1B06">
        <w:rPr>
          <w:rFonts w:cs="Calibri"/>
          <w:lang w:eastAsia="ko-KR"/>
        </w:rPr>
        <w:t xml:space="preserve">ho is engaging with SYFR’s content on social media and what implications are there for community resilience? Through examining the social media data and the data from the two community groups, this chapter has provided an analysis of who is engaging with SYFR on social media and has made relevant findings which will support SYFR to develop their future communication strategies on social media. Through examining the low and high-risk communities and their sense of community resilience, the institutional logics which currently influence SYFR’s communication, as examined in chapter </w:t>
      </w:r>
      <w:r w:rsidR="00EA08AE">
        <w:rPr>
          <w:rFonts w:cs="Calibri"/>
          <w:lang w:eastAsia="ko-KR"/>
        </w:rPr>
        <w:t>5</w:t>
      </w:r>
      <w:r w:rsidRPr="00AC1B06">
        <w:rPr>
          <w:rFonts w:cs="Calibri"/>
          <w:lang w:eastAsia="ko-KR"/>
        </w:rPr>
        <w:t xml:space="preserve">, currently constrain SYFR’s ability to support these groups to develop their community resilience. However, </w:t>
      </w:r>
      <w:r w:rsidR="00C84401">
        <w:rPr>
          <w:rFonts w:cs="Calibri"/>
          <w:lang w:eastAsia="ko-KR"/>
        </w:rPr>
        <w:t>while</w:t>
      </w:r>
      <w:r w:rsidR="00C84401" w:rsidRPr="00AC1B06">
        <w:rPr>
          <w:rFonts w:cs="Calibri"/>
          <w:lang w:eastAsia="ko-KR"/>
        </w:rPr>
        <w:t xml:space="preserve"> </w:t>
      </w:r>
      <w:r w:rsidRPr="00AC1B06">
        <w:rPr>
          <w:rFonts w:cs="Calibri"/>
          <w:lang w:eastAsia="ko-KR"/>
        </w:rPr>
        <w:t xml:space="preserve">the FRSA (2004) logic dominates SYFR’s communication approach at present, there is the potential for institutional agency </w:t>
      </w:r>
      <w:r w:rsidRPr="00AC1B06">
        <w:rPr>
          <w:rFonts w:cs="Calibri"/>
        </w:rPr>
        <w:fldChar w:fldCharType="begin" w:fldLock="1"/>
      </w:r>
      <w:r w:rsidR="00974B75" w:rsidRPr="00AC1B06">
        <w:rPr>
          <w:rFonts w:cs="Calibri"/>
          <w:lang w:eastAsia="ko-KR"/>
        </w:rPr>
        <w:instrText>ADDIN CSL_CITATION {"citationItems":[{"id":"ITEM-1","itemData":{"DOI":"10.5465/amr.2015.0020","ISBN":"354068297X","ISSN":"03029743","PMID":"127021146","abstract":"In this article I argue that the quest to establish microfoundations for institutional theory is hindered by two assumptions on which it currently rests: that structure simply con-strains and enables action and that agency is mostly associated with reflexivity. I un-pack these two assumptions and propose alternative microfoundations on which (1) structure not only constrains and enables action but also actively orients it toward some possibilities over others, and (2) the pre-reflective dimension of agency is explicitly theorized. It thus becomes possible to bridge long-standing divides within institutional theory, opening up avenues for further developing its microfoundations.","author":[{"dropping-particle":"","family":"Cardinale","given":"Ivano","non-dropping-particle":"","parse-names":false,"suffix":""}],"container-title":"Academy of Management Review","id":"ITEM-1","issue":"1","issued":{"date-parts":[["2018"]]},"page":"132-155","title":"Beyond Constraining and Enabling: Toward New Microfoundations for Institutional Theory","type":"article-journal","volume":"43"},"uris":["http://www.mendeley.com/documents/?uuid=d9c484f7-3075-4731-8304-8986df5d71a1"]},{"id":"ITEM-2","itemData":{"ISBN":"1526415054","author":[{"dropping-particle":"","family":"Greenwood","given":"Royston","non-dropping-particle":"","parse-names":false,"suffix":""},{"dropping-particle":"","family":"Oliver","given":"Christine","non-dropping-particle":"","parse-names":false,"suffix":""},{"dropping-particle":"","family":"Sahlin","given":"Kerstin","non-dropping-particle":"","parse-names":false,"suffix":""},{"dropping-particle":"","family":"Suddaby","given":"Roy","non-dropping-particle":"","parse-names":false,"suffix":""}],"chapter-number":"1","container-title":"The Sage handbook of Organizational Institutionalism","editor":[{"dropping-particle":"","family":"Greenwood","given":"Royston","non-dropping-particle":"","parse-names":false,"suffix":""},{"dropping-particle":"","family":"Oliver","given":"Christine","non-dropping-particle":"","parse-names":false,"suffix":""},{"dropping-particle":"","family":"Lawrence","given":"Thomas B","non-dropping-particle":"","parse-names":false,"suffix":""},{"dropping-particle":"","family":"Meyer","given":"Renate E","non-dropping-particle":"","parse-names":false,"suffix":""}],"id":"ITEM-2","issued":{"date-parts":[["2008"]]},"page":"1 -34","publisher":"Sage","publisher-place":"London","title":"Introduction","type":"chapter"},"uris":["http://www.mendeley.com/documents/?uuid=3fed7a46-7a1f-43ad-aae4-af5880dadba6"]},{"id":"ITEM-3","itemData":{"DOI":"10.1177/1056492609347564","ISSN":"10564926","abstract":"This essay offers a critical summation of the use of neo-institutionalism to study organizations. While institutionalism has succeeded in becoming the dominant theory to study macro-organizational phenomena, there is a danger that the theory has been stretched far beyond its core purpose-to understand how organizational structures and processes acquire meaning and continuity beyond their technical goals. I discuss some possible reasons for this displacement and identify four nascent threads of research that hold strong potential for bringing institutional theory back to its core assumptions and objectives; categories, language, work, and aesthetics. © The Author(s) 2010.","author":[{"dropping-particle":"","family":"Suddaby","given":"Roy","non-dropping-particle":"","parse-names":false,"suffix":""}],"container-title":"Journal of Management Inquiry","id":"ITEM-3","issue":"1","issued":{"date-parts":[["2010"]]},"page":"14-20","title":"Challenges for institutional theory","type":"article-journal","volume":"19"},"uris":["http://www.mendeley.com/documents/?uuid=48d38a20-6474-4586-8ab9-0cdc9bff1589"]},{"id":"ITEM-4","itemData":{"DOI":"10.1111/j.1467-9299.2012.02105.x","ISBN":"00014273","ISSN":"0170-8406","PMID":"18837629","abstract":"Over recent decades, a number of managerial reform initiatives in continental Europe have aimed at moving away from the traditional Weberian model of public administration. Such shifting bases of legitimacy are brought about by changes in the institutional logics in place, which not only provide frames of reference but also social identities and vocabularies of motive for the actors in the field. In this article, we approach the expanding research on public service motivation (PSM) by employing an institutional prism. Based on an executive survey in a continental European context, we examine the assumption that high PSM is associated with the traditional ethos and social identity in the public sector. What we find is that a Weberian legalistic-bureaucratic logic supports neither a high attraction to policy-making nor a high level of compassion. A managerial orientation, on the other hand, entails significantly higher scores on these two dimensions, as well as on overall PSM.","author":[{"dropping-particle":"","family":"Dacin","given":"M Tina","non-dropping-particle":"","parse-names":false,"suffix":""},{"dropping-particle":"","family":"Goodstein","given":"Jerry","non-dropping-particle":"","parse-names":false,"suffix":""},{"dropping-particle":"","family":"Scott","given":"W Richard","non-dropping-particle":"","parse-names":false,"suffix":""}],"container-title":"The Academy of Management Journal","id":"ITEM-4","issue":"1","issued":{"date-parts":[["2002"]]},"page":"45-56","title":"Institutional Theory and Institutional Change: Introduction to the Special Research Forum","type":"article-journal","volume":"45"},"uris":["http://www.mendeley.com/documents/?uuid=ce784237-38a8-4089-a19f-9157aeaf33bb"]},{"id":"ITEM-5","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Practice","id":"ITEM-5","issue":"3","issued":{"date-parts":[["2010"]]},"page":"421-440","title":"Institutional theory and entrepreneurship: Where are we now and where do we need to move in the future?","type":"article-journal","volume":"34"},"uris":["http://www.mendeley.com/documents/?uuid=e36ff41e-f87e-4ac2-ad15-cf1983b501ae"]}],"mendeley":{"formattedCitation":"(Cardinale, 2018; Bruton, Ahlstrom, &amp; Li, 2010; Suddaby, 2010; Greenwood et al., 2008; Dacin, Goodstein, &amp; Scott, 2002)","plainTextFormattedCitation":"(Cardinale, 2018; Bruton, Ahlstrom, &amp; Li, 2010; Suddaby, 2010; Greenwood et al., 2008; Dacin, Goodstein, &amp; Scott, 2002)","previouslyFormattedCitation":"(Cardinale, 2018; Bruton, Ahlstrom, &amp; Li, 2010; Suddaby, 2010; Greenwood et al., 2008; Dacin, Goodstein, &amp; Scott, 2002)"},"properties":{"noteIndex":0},"schema":"https://github.com/citation-style-language/schema/raw/master/csl-citation.json"}</w:instrText>
      </w:r>
      <w:r w:rsidRPr="00AC1B06">
        <w:rPr>
          <w:rFonts w:cs="Calibri"/>
          <w:lang w:eastAsia="ko-KR"/>
        </w:rPr>
        <w:fldChar w:fldCharType="separate"/>
      </w:r>
      <w:r w:rsidRPr="00AC1B06">
        <w:rPr>
          <w:rFonts w:cs="Calibri"/>
          <w:noProof/>
          <w:lang w:eastAsia="ko-KR"/>
        </w:rPr>
        <w:t>(Cardinale, 2018; Bruton, Ahlstrom, &amp; Li, 2010; Suddaby, 2010; Greenwood et al., 2008; Dacin, Goodstein, &amp; Scott, 2002)</w:t>
      </w:r>
      <w:r w:rsidRPr="00AC1B06">
        <w:rPr>
          <w:rFonts w:cs="Calibri"/>
          <w:lang w:eastAsia="ko-KR"/>
        </w:rPr>
        <w:fldChar w:fldCharType="end"/>
      </w:r>
      <w:r w:rsidRPr="00AC1B06">
        <w:rPr>
          <w:rFonts w:cs="Calibri"/>
          <w:lang w:eastAsia="ko-KR"/>
        </w:rPr>
        <w:t xml:space="preserve">, namely for SYFR to utilise the state logics which are central to their functioning to support communities develop elements of community resilience. However, as discussed multiple times throughout this thesis, these approaches are heavily constrained by the reduction or stagnation in funding due to wider neoliberal agendas and the pressure from NPM logics </w:t>
      </w:r>
      <w:r w:rsidRPr="00AC1B06">
        <w:rPr>
          <w:rFonts w:cs="Calibri"/>
        </w:rPr>
        <w:fldChar w:fldCharType="begin" w:fldLock="1"/>
      </w:r>
      <w:r w:rsidRPr="00AC1B06">
        <w:rPr>
          <w:rFonts w:cs="Calibri"/>
          <w:lang w:eastAsia="ko-KR"/>
        </w:rPr>
        <w:instrText>ADDIN CSL_CITATION {"citationItems":[{"id":"ITEM-1","itemData":{"DOI":"10.1177/1440783309346472","ISSN":"17412978","author":[{"dropping-particle":"","family":"Connell","given":"Raewyn","non-dropping-particle":"","parse-names":false,"suffix":""},{"dropping-particle":"","family":"Fawcett","given":"Barbara","non-dropping-particle":"","parse-names":false,"suffix":""},{"dropping-particle":"","family":"Meagher","given":"Gabrielle","non-dropping-particle":"","parse-names":false,"suffix":""}],"container-title":"Journal of Sociology","id":"ITEM-1","issue":"4","issued":{"date-parts":[["2009"]]},"page":"331-338","title":"Neoliberalism, new public management and the human service professions","type":"article-journal","volume":"45"},"uris":["http://www.mendeley.com/documents/?uuid=2eaf93b2-17b1-4a88-9a1e-3eb392d9d30f"]}],"mendeley":{"formattedCitation":"(Connell, Fawcett, &amp; Meagher, 2009)","plainTextFormattedCitation":"(Connell, Fawcett, &amp; Meagher, 2009)","previouslyFormattedCitation":"(Connell, Fawcett, &amp; Meagher, 2009)"},"properties":{"noteIndex":0},"schema":"https://github.com/citation-style-language/schema/raw/master/csl-citation.json"}</w:instrText>
      </w:r>
      <w:r w:rsidRPr="00AC1B06">
        <w:rPr>
          <w:rFonts w:cs="Calibri"/>
          <w:lang w:eastAsia="ko-KR"/>
        </w:rPr>
        <w:fldChar w:fldCharType="separate"/>
      </w:r>
      <w:r w:rsidRPr="00AC1B06">
        <w:rPr>
          <w:rFonts w:cs="Calibri"/>
          <w:noProof/>
          <w:lang w:eastAsia="ko-KR"/>
        </w:rPr>
        <w:t>(Connell, Fawcett, &amp; Meagher, 2009)</w:t>
      </w:r>
      <w:r w:rsidRPr="00AC1B06">
        <w:rPr>
          <w:rFonts w:cs="Calibri"/>
          <w:lang w:eastAsia="ko-KR"/>
        </w:rPr>
        <w:fldChar w:fldCharType="end"/>
      </w:r>
      <w:r w:rsidRPr="00AC1B06">
        <w:rPr>
          <w:rFonts w:cs="Calibri"/>
          <w:lang w:eastAsia="ko-KR"/>
        </w:rPr>
        <w:t>. This chapter therefore supported the aim of the thesis (</w:t>
      </w:r>
      <w:r w:rsidRPr="00AC1B06">
        <w:rPr>
          <w:rFonts w:cs="Calibri"/>
          <w:i/>
          <w:iCs/>
          <w:lang w:eastAsia="ko-KR"/>
        </w:rPr>
        <w:t>critically evaluate the use of social media and its ability to develop community disaster resilience (CDR)</w:t>
      </w:r>
      <w:r w:rsidRPr="00AC1B06">
        <w:rPr>
          <w:rFonts w:cs="Calibri"/>
          <w:lang w:eastAsia="ko-KR"/>
        </w:rPr>
        <w:t xml:space="preserve">), through examining the challenges associated with utilising social media for risk communication. </w:t>
      </w:r>
      <w:r w:rsidRPr="00AC1B06">
        <w:rPr>
          <w:rFonts w:cs="Calibri"/>
        </w:rPr>
        <w:br w:type="page"/>
      </w:r>
    </w:p>
    <w:p w14:paraId="54B7C4E7" w14:textId="77777777" w:rsidR="00787F73" w:rsidRDefault="00742FB7" w:rsidP="00A0151B">
      <w:pPr>
        <w:pStyle w:val="Heading1"/>
        <w:spacing w:before="0"/>
        <w:jc w:val="center"/>
      </w:pPr>
      <w:bookmarkStart w:id="1103" w:name="_Toc156227653"/>
      <w:bookmarkStart w:id="1104" w:name="_Toc159424116"/>
      <w:bookmarkStart w:id="1105" w:name="_Toc193367265"/>
      <w:r>
        <w:rPr>
          <w:rFonts w:ascii="Calibri" w:hAnsi="Calibri" w:cs="Calibri"/>
        </w:rPr>
        <w:lastRenderedPageBreak/>
        <w:t>Chapter 7: Conclusion</w:t>
      </w:r>
      <w:bookmarkEnd w:id="1103"/>
      <w:bookmarkEnd w:id="1104"/>
      <w:bookmarkEnd w:id="1105"/>
    </w:p>
    <w:p w14:paraId="2909BEDE" w14:textId="77777777" w:rsidR="00787F73" w:rsidRDefault="00742FB7" w:rsidP="00866155">
      <w:pPr>
        <w:pStyle w:val="Heading2"/>
      </w:pPr>
      <w:bookmarkStart w:id="1106" w:name="_Toc153488327"/>
      <w:bookmarkStart w:id="1107" w:name="_Toc156227654"/>
      <w:bookmarkStart w:id="1108" w:name="_Toc159424117"/>
      <w:bookmarkStart w:id="1109" w:name="_Toc193367266"/>
      <w:r>
        <w:t>7.1: Introduction</w:t>
      </w:r>
      <w:bookmarkEnd w:id="1106"/>
      <w:bookmarkEnd w:id="1107"/>
      <w:bookmarkEnd w:id="1108"/>
      <w:bookmarkEnd w:id="1109"/>
    </w:p>
    <w:p w14:paraId="75EC022B" w14:textId="77777777" w:rsidR="00787F73" w:rsidRDefault="00742FB7" w:rsidP="00866155">
      <w:r>
        <w:rPr>
          <w:rFonts w:cs="Calibri"/>
        </w:rPr>
        <w:t>This chapter provides a conclusion to this thesis and is divided into seven sections, including this brief introduction. Section 7.2 summaries the thesis, examines each chapter in turn and details the key findings and themes. Section 7.3 examines the various theoretical, methodological, and empirical contributions presented in this thesis to the literature and wider policy. Section 7.4 focuses on the implications for future policy, examines the potential impact of these findings on SYFR and potential avenues for future policy for SYFR, and summarises within the wider FRS sector. Section 7.5 provides a summary of the limitations of the project and how future research can build upon this methodology and approach. The penultimate section (section 7.6) provides suggestions for additional future research to further our understanding of these topics and to develop this sector and the transdisciplinary knowledge base. Finally, section 7.7 provides a conclusion to this chapter.</w:t>
      </w:r>
    </w:p>
    <w:p w14:paraId="7A1C1C4F" w14:textId="77777777" w:rsidR="00787F73" w:rsidRDefault="00787F73" w:rsidP="00866155">
      <w:pPr>
        <w:rPr>
          <w:rFonts w:cs="Calibri"/>
        </w:rPr>
      </w:pPr>
    </w:p>
    <w:p w14:paraId="23770A19" w14:textId="77777777" w:rsidR="00787F73" w:rsidRDefault="00742FB7" w:rsidP="00866155">
      <w:pPr>
        <w:pStyle w:val="Heading2"/>
      </w:pPr>
      <w:bookmarkStart w:id="1110" w:name="_Toc153488328"/>
      <w:bookmarkStart w:id="1111" w:name="_Toc156227655"/>
      <w:bookmarkStart w:id="1112" w:name="_Toc159424118"/>
      <w:bookmarkStart w:id="1113" w:name="_Toc193367267"/>
      <w:r>
        <w:t>7.2: Thesis summary</w:t>
      </w:r>
      <w:bookmarkEnd w:id="1110"/>
      <w:bookmarkEnd w:id="1111"/>
      <w:bookmarkEnd w:id="1112"/>
      <w:bookmarkEnd w:id="1113"/>
    </w:p>
    <w:p w14:paraId="28CB1D40" w14:textId="77777777" w:rsidR="00787F73" w:rsidRPr="00AC1B06" w:rsidRDefault="00742FB7" w:rsidP="00866155">
      <w:pPr>
        <w:rPr>
          <w:rFonts w:cs="Calibri"/>
        </w:rPr>
      </w:pPr>
      <w:r w:rsidRPr="00AC1B06">
        <w:rPr>
          <w:rFonts w:cs="Calibri"/>
        </w:rPr>
        <w:t xml:space="preserve">Chapter one started the thesis by building context for the project by providing a description of the collaborative nature of this PhD and a brief background to SYFR. The introduction grounded the project and noted the growing demand for developing community resilience, not only due to an increasing threat of disasters </w:t>
      </w:r>
      <w:r w:rsidRPr="00AC1B06">
        <w:rPr>
          <w:rFonts w:cs="Calibri"/>
        </w:rPr>
        <w:fldChar w:fldCharType="begin" w:fldLock="1"/>
      </w:r>
      <w:r w:rsidR="00974B75" w:rsidRPr="00AC1B06">
        <w:rPr>
          <w:rFonts w:cs="Calibri"/>
        </w:rPr>
        <w:instrText>ADDIN CSL_CITATION {"citationItems":[{"id":"ITEM-1","itemData":{"DOI":"10.1080/03003930.2019.1571999","ISSN":"17439388","abstract":"Scholars and practitioners have long noted the importance of community resilience to disaster recovery and environmental risk mitigation. Yet we know surprisingly little about how local residents perceive the resilience of their local communities, including how closely their perceptions align with objective measures of resilience or whether these perceptions affect community engagement and support for resilience building activities and policies. In this paper, we utilise the results of public opinion surveys of residents of four Texas coastal shoreline counties (Brazoria, Nueces, Galveston, and Cameron) to address this gap in the literature. The results reveal that perceptions of community preparedness largely reflect social trust and disaster awareness while perceptions of recovery reflect perceived risks and preparedness.","author":[{"dropping-particle":"","family":"Goidel","given":"Kirby","non-dropping-particle":"","parse-names":false,"suffix":""},{"dropping-particle":"","family":"Horney","given":"Jennifer A.","non-dropping-particle":"","parse-names":false,"suffix":""},{"dropping-particle":"","family":"Kellstedt","given":"Paul M.","non-dropping-particle":"","parse-names":false,"suffix":""},{"dropping-particle":"","family":"Sullivan","given":"Emily","non-dropping-particle":"","parse-names":false,"suffix":""},{"dropping-particle":"","family":"Brown","given":"Stephanie E.V.","non-dropping-particle":"","parse-names":false,"suffix":""}],"container-title":"Local Government Studies","id":"ITEM-1","issue":"3","issued":{"date-parts":[["2019"]]},"page":"413-432","title":"Perceptions of disaster resilience in four Texas coastal communities","type":"article-journal","volume":"45"},"uris":["http://www.mendeley.com/documents/?uuid=4033a276-60f2-438f-a557-0a555c5f96f4"]},{"id":"ITEM-2","itemData":{"DOI":"10.1111/geoj.12174","ISBN":"1475-4959","ISSN":"14754959","abstract":"The discourse on disaster resilience and vulnerability entails diverse research and policy communities each assigning different meanings to the concepts, which in turn influences their measurement and implementation in decision-making contexts. This invited contribution introduces a themed section with five independently submitted papers on the broad topic of vulnerability and resilience. The distinctive geographical focus on the historical development of vulnerability and resilience and their contemporary manifestations is illustrated by the five internationally focused case studies presented in the themed section.","author":[{"dropping-particle":"","family":"Cutter","given":"Susan L.","non-dropping-particle":"","parse-names":false,"suffix":""}],"container-title":"Geographical Journal","id":"ITEM-2","issue":"2","issued":{"date-parts":[["2016"]]},"page":"110-113","title":"Resilience to What? Resilience for Whom?","type":"article-journal","volume":"182"},"uris":["http://www.mendeley.com/documents/?uuid=72373c9d-6f02-49e0-9a61-4796ecdfe746"]},{"id":"ITEM-3","itemData":{"author":[{"dropping-particle":"","family":"Sanyal","given":"Saswata","non-dropping-particle":"","parse-names":false,"suffix":""},{"dropping-particle":"","family":"Routray","given":"Jayant K.","non-dropping-particle":"","parse-names":false,"suffix":""}],"container-title":"International Journal of Disaster Risk Reduction","id":"ITEM-3","issued":{"date-parts":[["2016"]]},"page":"101-111","title":"Social capital for disaster risk reduction and management with empirical evidences from Sundarbans of India","type":"article-journal","volume":"19"},"uris":["http://www.mendeley.com/documents/?uuid=d8bcf27c-1efc-4c15-8204-cd8b37719dd2"]},{"id":"ITEM-4","itemData":{"DOI":"10.1007/s11069-010-9646-y","ISBN":"0921-030X","ISSN":"0921030X","abstract":"The discussion surrounding resilience to natural hazards and disasters has advanced considerably within the last years. It ranges from ecological to social systems and also covers some socio-ecological spaces in-between. Yet, although the discussion is broad and multifaceted, a common theme runs through most approaches to resilience: Resilience is defined as a systemâ€™s capacity to adapt to or respond to singular, unique and most often radically surprising events. This paper seeks to shed some light on a different aspect of resilience; its constructionist dimension. For doing this, it introduces the â€˜myth of resilience, which not only considers the functional aspects of resilience (i.e. actors capacities), but also how actors make retrospectively sense of the radically surprising discovery of something entirely unknown. The paper will argue that the â€˜myth of resilienceâ€™ may become a powerful worldview that enables actors to define what is â€˜rightâ€™ and what is â€˜wrongâ€™, as it may be used as a very intriguing way of changing, creating and consolidating power relations; at least this is the insight a study on disaster management reveals. The case study was conducted in a municipality of a city located in the State of Saxony Germany, which was severely affected by the 2002 August flood. The paper ends with outlining implications for the discussion on resilience.","author":[{"dropping-particle":"","family":"Kuhlicke","given":"Christian","non-dropping-particle":"","parse-names":false,"suffix":""}],"container-title":"Natural Hazards","id":"ITEM-4","issued":{"date-parts":[["2013"]]},"page":"61-76","title":"Resilience: A capacity and a myth: findings from an in-depth case study in disaster management research","type":"article-journal","volume":"67"},"uris":["http://www.mendeley.com/documents/?uuid=18ec7922-a082-49a2-815e-4dc2fd41ecf4"]},{"id":"ITEM-5","itemData":{"DOI":"10.3763/ehaz.1999.0103","author":[{"dropping-particle":"","family":"Tobin","given":"Graham A","non-dropping-particle":"","parse-names":false,"suffix":""}],"container-title":"Environmental Hazards","id":"ITEM-5","issue":"1","issued":{"date-parts":[["1999"]]},"page":"13-25","title":"Sustainability and community resilience: the holy grail of hazards planning?","type":"article-journal","volume":"1"},"uris":["http://www.mendeley.com/documents/?uuid=8bf65d46-8190-4198-bf8c-df8928e2d260"]}],"mendeley":{"formattedCitation":"(Goidel et al., 2019; Cutter, 2016; Sanyal &amp; Routray, 2016; Kuhlicke, 2013; Tobin, 1999)","plainTextFormattedCitation":"(Goidel et al., 2019; Cutter, 2016; Sanyal &amp; Routray, 2016; Kuhlicke, 2013; Tobin, 1999)","previouslyFormattedCitation":"(Goidel et al., 2019; Cutter, 2016; Sanyal &amp; Routray, 2016; Kuhlicke, 2013; Tobin, 1999)"},"properties":{"noteIndex":0},"schema":"https://github.com/citation-style-language/schema/raw/master/csl-citation.json"}</w:instrText>
      </w:r>
      <w:r w:rsidRPr="00AC1B06">
        <w:rPr>
          <w:rFonts w:cs="Calibri"/>
        </w:rPr>
        <w:fldChar w:fldCharType="separate"/>
      </w:r>
      <w:r w:rsidRPr="00AC1B06">
        <w:rPr>
          <w:rFonts w:cs="Calibri"/>
          <w:noProof/>
        </w:rPr>
        <w:t>(Goidel et al., 2019; Cutter, 2016; Sanyal &amp; Routray, 2016; Kuhlicke, 2013; Tobin, 1999)</w:t>
      </w:r>
      <w:r w:rsidRPr="00AC1B06">
        <w:rPr>
          <w:rFonts w:cs="Calibri"/>
        </w:rPr>
        <w:fldChar w:fldCharType="end"/>
      </w:r>
      <w:r w:rsidRPr="00AC1B06">
        <w:rPr>
          <w:rFonts w:cs="Calibri"/>
        </w:rPr>
        <w:t xml:space="preserve">, but also because of a wider political neoliberal agenda which is seeing public services and provision reduced in favour of market driven operations </w:t>
      </w:r>
      <w:r w:rsidRPr="00AC1B06">
        <w:rPr>
          <w:rFonts w:cs="Calibri"/>
        </w:rPr>
        <w:fldChar w:fldCharType="begin" w:fldLock="1"/>
      </w:r>
      <w:r w:rsidRPr="00AC1B06">
        <w:rPr>
          <w:rFonts w:cs="Calibri"/>
        </w:rPr>
        <w:instrText>ADDIN CSL_CITATION {"citationItems":[{"id":"ITEM-1","itemData":{"DOI":"10.1016/j.ijdrr.2021.102440","ISSN":"22124209","abstract":"Extreme climate events and related disasters are increasing both in frequency and intensity. Resulting impacts materialize in the form of devastating bushfires, flooding, hurricanes, and cyclones and bring with them the tragic loss of life and substantial loss and damage to phenomena of value. Disaster management plays a central role in attempting to minimize and manage these impacts, and many government institutions posit that shared responsibility with citizens is the most effective approach to achieve this. However, some scholarship contends that shared approaches preference responsibility too far towards citizens and too far away from government institutions and are ineffective in lessening and managing such impacts. Here, we analyze governmental inquiries and actions undertaken regarding three past catastrophic disasters—2005 Hurricane Katrina (USA), the 2009 Victorian Bushfires (Australia), and the 2011 Queensland Floods (Australia). We assess, across these inquiries, 'what went wrong', 'what was working', and 'what needs fixing' with shared responsibility in disaster management. Our results indicate pervasive ineffectiveness in leadership, governance, trust, and resilience. We discuss how neoliberal influence contributes towards this ineffectiveness and suggest how this influence can be actively contested. We conclude by advocating for a reinstated social contract that inserts citizen rights and justice into disaster management policy making concomitant with the redistribution of public and third sector resources administered through inclusive governance frameworks. Such a social contract affords citizens greater opportunity to exercise agency whilst maximizing institutional support before, during, and after a disaster to provide greater protection and reduce harm.","author":[{"dropping-particle":"","family":"Crosweller","given":"Mark","non-dropping-particle":"","parse-names":false,"suffix":""},{"dropping-particle":"","family":"Tschakert","given":"Petra","non-dropping-particle":"","parse-names":false,"suffix":""}],"container-title":"International Journal of Disaster Risk Reduction","id":"ITEM-1","issued":{"date-parts":[["2021"]]},"page":"1-13","publisher":"Elsevier Ltd","title":"Disaster management and the need for a reinstated social contract of shared responsibility","type":"article-journal","volume":"63"},"uris":["http://www.mendeley.com/documents/?uuid=4d44ea86-a25a-438c-a66f-510f5f82f76b"]}],"mendeley":{"formattedCitation":"(Crosweller &amp; Tschakert, 2021)","plainTextFormattedCitation":"(Crosweller &amp; Tschakert, 2021)","previouslyFormattedCitation":"(Crosweller &amp; Tschakert, 2021)"},"properties":{"noteIndex":0},"schema":"https://github.com/citation-style-language/schema/raw/master/csl-citation.json"}</w:instrText>
      </w:r>
      <w:r w:rsidRPr="00AC1B06">
        <w:rPr>
          <w:rFonts w:cs="Calibri"/>
        </w:rPr>
        <w:fldChar w:fldCharType="separate"/>
      </w:r>
      <w:r w:rsidRPr="00AC1B06">
        <w:rPr>
          <w:rFonts w:cs="Calibri"/>
          <w:noProof/>
        </w:rPr>
        <w:t>(Crosweller &amp; Tschakert, 2021)</w:t>
      </w:r>
      <w:r w:rsidRPr="00AC1B06">
        <w:rPr>
          <w:rFonts w:cs="Calibri"/>
        </w:rPr>
        <w:fldChar w:fldCharType="end"/>
      </w:r>
      <w:r w:rsidRPr="00AC1B06">
        <w:rPr>
          <w:rFonts w:cs="Calibri"/>
        </w:rPr>
        <w:t xml:space="preserve">. With these two factors driving the demand for community resilience, organisations such as SYFR must adapt and develop new methods of supporting communities, and this has led to a focus on social media. Due to its ease of access and seemingly ubiquitous nature of social media within society, there is a clear social media logic </w:t>
      </w:r>
      <w:r w:rsidRPr="00AC1B06">
        <w:rPr>
          <w:rFonts w:cs="Calibri"/>
        </w:rPr>
        <w:fldChar w:fldCharType="begin" w:fldLock="1"/>
      </w:r>
      <w:r w:rsidRPr="00AC1B06">
        <w:rPr>
          <w:rFonts w:cs="Calibri"/>
        </w:rPr>
        <w:instrText>ADDIN CSL_CITATION {"citationItems":[{"id":"ITEM-1","itemData":{"DOI":"10.12924/mac2013.01010002","ISSN":"21832439","abstract":"© 2013 by the authors; licensee Librello, Switzerland. Abstract: Over the past decade, social media platforms have penetrated deeply into the mechanics of everyday life, affecting people’s informal interactions, as well as institutional structures and professional routines. Far from being neutral platforms for everyone, social media have changed the conditions and rules of social interaction. In this article, we examine the intricate dynamic between social media platforms, mass media, users, and social institutions by calling attention to social media logic—the norms, strategies, mechanisms, and economies—underpinning its dynamics. This logic will be considered in light of what has been identified as mass media logic, which has helped spread the media’s powerful discourse outside its institutional boundaries. Theorizing social media logic, we identify four grounding principles—programmability, popularity, connectivity, and datafication—and argue that these principles become increasingly entangled with mass media logic. The logic of social media, rooted in these grounding principles and strategies, is gradually invading all areas of public life. Besides print news and broadcasting, it also affects law and order, social activism, politics, and so forth. Therefore, its sustaining logic and widespread dissemination deserve to be scrutinized in detail in order to better understand its impact in various domains. Concentrating on the tactics and strategies at work in social media logic, we reassess the constellation of power relationships in which social practices unfold, raising questions such as: How does social media logic modify or enhance existing mass media logic? And how is this new media logic exported beyond the boundaries of (social or mass) media proper? The underlying principles, tactics, and strategies may be relatively simple to identify, but it is much harder to map the complex connections between platforms that distribute this logic: users that employ them, technologies that drive them, economic structures that scaffold them, and institutional bodies that incorporate them.","author":[{"dropping-particle":"","family":"Dijck","given":"José","non-dropping-particle":"van","parse-names":false,"suffix":""},{"dropping-particle":"","family":"Poell","given":"Thomas","non-dropping-particle":"","parse-names":false,"suffix":""}],"container-title":"Media and Communication","id":"ITEM-1","issue":"1","issued":{"date-parts":[["2013"]]},"page":"2-14","title":"Understanding social media logic","type":"article-journal","volume":"1"},"uris":["http://www.mendeley.com/documents/?uuid=6959a087-04c3-4414-8425-5f017798610f"]}],"mendeley":{"formattedCitation":"(van Dijck &amp; Poell, 2013)","plainTextFormattedCitation":"(van Dijck &amp; Poell, 2013)","previouslyFormattedCitation":"(van Dijck &amp; Poell, 2013)"},"properties":{"noteIndex":0},"schema":"https://github.com/citation-style-language/schema/raw/master/csl-citation.json"}</w:instrText>
      </w:r>
      <w:r w:rsidRPr="00AC1B06">
        <w:rPr>
          <w:rFonts w:cs="Calibri"/>
        </w:rPr>
        <w:fldChar w:fldCharType="separate"/>
      </w:r>
      <w:r w:rsidRPr="00AC1B06">
        <w:rPr>
          <w:rFonts w:cs="Calibri"/>
          <w:noProof/>
        </w:rPr>
        <w:t>(van Dijck &amp; Poell, 2013)</w:t>
      </w:r>
      <w:r w:rsidRPr="00AC1B06">
        <w:rPr>
          <w:rFonts w:cs="Calibri"/>
        </w:rPr>
        <w:fldChar w:fldCharType="end"/>
      </w:r>
      <w:r w:rsidRPr="00AC1B06">
        <w:rPr>
          <w:rFonts w:cs="Calibri"/>
        </w:rPr>
        <w:t xml:space="preserve"> that drives organisations and individuals to engage and interact online, however, not everyone is in this position. The digital divide describes people who are unable or choose to not engage online </w:t>
      </w:r>
      <w:r w:rsidRPr="00AC1B06">
        <w:rPr>
          <w:rFonts w:cs="Calibri"/>
        </w:rPr>
        <w:fldChar w:fldCharType="begin" w:fldLock="1"/>
      </w:r>
      <w:r w:rsidR="00974B75" w:rsidRPr="00AC1B06">
        <w:rPr>
          <w:rFonts w:cs="Calibri"/>
        </w:rPr>
        <w:instrText>ADDIN CSL_CITATION {"citationItems":[{"id":"ITEM-1","itemData":{"DOI":"10.1016/j.poetic.2006.05.004","abstract":"From the end of the 1990s onwards the digital divide, commonly defined as the gap between those who have and do not have access to computers and the Internet, has been a central issue on the scholarly and political agenda of new media development. This article makes an inventory of 5 years of digital divide research (2000–2005). The article focuses on three questions. (1) To what type of inequality does the digital divide concept refer? (2) What is new about the inequality of access to and use of ICTs as compared to other scarce material and immaterial resources? (3) Do new types of inequality exist or rise in the information society? The results of digital divide research are classified under four successive types of access: motivational, physical, skills and usage. A shift of attention from physical access to skills and usage is observed. In terms of physical access the divide seems to be closing in the most developed countries; concerning digital skills and the use of applications the divide persists or widens. Among the shortcomings of digital divide research are its lack of theory, conceptual definition, interdisciplinary approach, qualitative research and longitudinal research. #","author":[{"dropping-particle":"","family":"Dijk","given":"Jan A G M","non-dropping-particle":"van","parse-names":false,"suffix":""}],"container-title":"Poetics","id":"ITEM-1","issue":"4-5","issued":{"date-parts":[["2006"]]},"page":"221 - 235","title":"Digital divide research, achievements and shortcomings","type":"article-journal","volume":"34"},"uris":["http://www.mendeley.com/documents/?uuid=81626349-ddbe-3702-8994-c9efb377b397"]},{"id":"ITEM-2","itemData":{"DOI":"10.1177/1461444810386774","abstract":"Because of the growing amount of information on the internet and people's increasing dependence on information, internet skills should be considered as a vital resource in contemporary society. This article focuses on the differential possession of internet skills among the Dutch population. In two studies, an in-depth range of internet skills are measured by charging subjects assignments to be accomplished on the internet. Subjects were recruited by applying a random stratified sampling method over gender, age, and education. While the level of operational and formal internet skills appeared quite high, the level of information and strategic internet skills is questionable. Whereas education appeared an important contributor to all skill levels, age only appeared a significant contributor to operational and formal skills. The results strengthen the findings that the original digital divide of physical internet access has evolved into a divide that includes differences in skills to use the internet.","author":[{"dropping-particle":"","family":"Deursen","given":"Alexander","non-dropping-particle":"van","parse-names":false,"suffix":""},{"dropping-particle":"","family":"Dijk","given":"Jan","non-dropping-particle":"van","parse-names":false,"suffix":""}],"container-title":"New Media &amp; Society","id":"ITEM-2","issue":"6","issued":{"date-parts":[["2010"]]},"page":"893 - 911","title":"Internet skills and the digital divide","type":"article-journal","volume":"13"},"uris":["http://www.mendeley.com/documents/?uuid=4ab52788-a677-3403-95f9-543bd1f5b973"]},{"id":"ITEM-3","itemData":{"DOI":"10.1007/s13753-022-00399-1","ISSN":"21926395","abstract":"This study examined the propensity of social media use by underserved communities by drawing on the literature on the digital divide and attribution theory. Specifically, this research explored the factors that can influence the use of social media for disaster management. The study used survey methodology to collect data and partial least squares structural equation modeling (PLS-SEM) to analyze the data and test the hypotheses. The results of the study indicate: (1) that the propensity of social media use for disaster management is low for underserved communities; (2) a positive relationship between an individual’s effort and the intention to use social media for disaster management; and (3) a negative relationship between task difficulty and the intention to use social media for disaster management. The study expanded the literature on the use of social media in disaster management. The article also provides both theoretical and practical implications.","author":[{"dropping-particle":"","family":"Ramakrishnan","given":"Thiagarajan","non-dropping-particle":"","parse-names":false,"suffix":""},{"dropping-particle":"","family":"Ngamassi","given":"Louis","non-dropping-particle":"","parse-names":false,"suffix":""},{"dropping-particle":"","family":"Rahman","given":"Shahedur","non-dropping-particle":"","parse-names":false,"suffix":""}],"container-title":"International Journal of Disaster Risk Science","id":"ITEM-3","issued":{"date-parts":[["2022"]]},"page":"52-65","title":"Examining the Factors that Influence the Use of Social Media for Disaster Management by Underserved Communities","type":"article-journal","volume":"13"},"uris":["http://www.mendeley.com/documents/?uuid=78f79e65-57eb-4b0f-a3c9-31e43d9f8e7c"]}],"mendeley":{"formattedCitation":"(Ramakrishnan, Ngamassi, &amp; Rahman, 2022; van Deursen &amp; van Dijk, 2010; van Dijk, 2006)","plainTextFormattedCitation":"(Ramakrishnan, Ngamassi, &amp; Rahman, 2022; van Deursen &amp; van Dijk, 2010; van Dijk, 2006)","previouslyFormattedCitation":"(Ramakrishnan, Ngamassi, &amp; Rahman, 2022; van Deursen &amp; van Dijk, 2010; van Dijk, 2006)"},"properties":{"noteIndex":0},"schema":"https://github.com/citation-style-language/schema/raw/master/csl-citation.json"}</w:instrText>
      </w:r>
      <w:r w:rsidRPr="00AC1B06">
        <w:rPr>
          <w:rFonts w:cs="Calibri"/>
        </w:rPr>
        <w:fldChar w:fldCharType="separate"/>
      </w:r>
      <w:r w:rsidRPr="00AC1B06">
        <w:rPr>
          <w:rFonts w:cs="Calibri"/>
          <w:noProof/>
        </w:rPr>
        <w:t>(Ramakrishnan, Ngamassi, &amp; Rahman, 2022; van Deursen &amp; van Dijk, 2010; van Dijk, 2006)</w:t>
      </w:r>
      <w:r w:rsidRPr="00AC1B06">
        <w:rPr>
          <w:rFonts w:cs="Calibri"/>
        </w:rPr>
        <w:fldChar w:fldCharType="end"/>
      </w:r>
      <w:r w:rsidRPr="00AC1B06">
        <w:rPr>
          <w:rFonts w:cs="Calibri"/>
        </w:rPr>
        <w:t xml:space="preserve"> with the increasing drive for business and services to go digital, and this creates a challenge for those who cannot engage online as they risk being further marginalised. The literature notes that an individual’s vulnerability is </w:t>
      </w:r>
      <w:r w:rsidRPr="00AC1B06">
        <w:rPr>
          <w:rFonts w:cs="Calibri"/>
        </w:rPr>
        <w:lastRenderedPageBreak/>
        <w:t xml:space="preserve">closely linked to their socio-economic conditions </w:t>
      </w:r>
      <w:r w:rsidRPr="00AC1B06">
        <w:rPr>
          <w:rFonts w:cs="Calibri"/>
        </w:rPr>
        <w:fldChar w:fldCharType="begin" w:fldLock="1"/>
      </w:r>
      <w:r w:rsidRPr="00AC1B06">
        <w:rPr>
          <w:rFonts w:cs="Calibri"/>
        </w:rPr>
        <w:instrText>ADDIN CSL_CITATION {"citationItems":[{"id":"ITEM-1","itemData":{"DOI":"10.1111/disa.12481","ISSN":"14677717","PMID":"33760259","abstract":"While social vulnerability in the face of disasters has received increasing academic attention, relatively little is known about the extent to which that knowledge is reflected in practice by institutions involved in disaster management. This study charts the practitioners’ approaches to disaster vulnerability in eight European countries: Belgium; Estonia; Finland; Germany; Hungary; Italy; Norway; and Sweden. It draws on a comparative document analysis and 95 interviews with disaster managers and reveals significant differences across countries in terms of the ontology of vulnerability, its sources, reduction strategies, and the allocation of related duties. To advance the debate and provide conceptual clarity, we put forward a heuristic model to facilitate different understandings of vulnerability along the dimensions of human agency and technological structures as well as social support through private relations and state actors. This could guide risk analysis of and planning for major hazards and could be adapted further to particular types of disasters.","author":[{"dropping-particle":"","family":"Orru","given":"Kati","non-dropping-particle":"","parse-names":false,"suffix":""},{"dropping-particle":"","family":"Hansson","given":"Sten","non-dropping-particle":"","parse-names":false,"suffix":""},{"dropping-particle":"","family":"Gabel","given":"Friedrich","non-dropping-particle":"","parse-names":false,"suffix":""},{"dropping-particle":"","family":"Tammpuu","given":"Piia","non-dropping-particle":"","parse-names":false,"suffix":""},{"dropping-particle":"","family":"Krüger","given":"Marco","non-dropping-particle":"","parse-names":false,"suffix":""},{"dropping-particle":"","family":"Savadori","given":"Lucia","non-dropping-particle":"","parse-names":false,"suffix":""},{"dropping-particle":"","family":"Meyer","given":"Sunniva Frislid","non-dropping-particle":"","parse-names":false,"suffix":""},{"dropping-particle":"","family":"Torpan","given":"Sten","non-dropping-particle":"","parse-names":false,"suffix":""},{"dropping-particle":"","family":"Jukarainen","given":"Pirjo","non-dropping-particle":"","parse-names":false,"suffix":""},{"dropping-particle":"","family":"Schieffelers","given":"Abriel","non-dropping-particle":"","parse-names":false,"suffix":""},{"dropping-particle":"","family":"Lovasz","given":"Gabriella","non-dropping-particle":"","parse-names":false,"suffix":""},{"dropping-particle":"","family":"Rhinard","given":"Mark","non-dropping-particle":"","parse-names":false,"suffix":""}],"container-title":"Disasters","id":"ITEM-1","issue":"3","issued":{"date-parts":[["2022"]]},"page":"742-767","title":"Approaches to ‘vulnerability’ in eight European disaster management systems","type":"article-journal","volume":"46"},"uris":["http://www.mendeley.com/documents/?uuid=4a100afe-8fc2-485b-97f9-cd7bfb391421"]}],"mendeley":{"formattedCitation":"(Orru et al., 2022)","plainTextFormattedCitation":"(Orru et al., 2022)","previouslyFormattedCitation":"(Orru et al., 2022)"},"properties":{"noteIndex":0},"schema":"https://github.com/citation-style-language/schema/raw/master/csl-citation.json"}</w:instrText>
      </w:r>
      <w:r w:rsidRPr="00AC1B06">
        <w:rPr>
          <w:rFonts w:cs="Calibri"/>
        </w:rPr>
        <w:fldChar w:fldCharType="separate"/>
      </w:r>
      <w:r w:rsidRPr="00AC1B06">
        <w:rPr>
          <w:rFonts w:cs="Calibri"/>
          <w:noProof/>
        </w:rPr>
        <w:t>(Orru et al., 2022)</w:t>
      </w:r>
      <w:r w:rsidRPr="00AC1B06">
        <w:rPr>
          <w:rFonts w:cs="Calibri"/>
        </w:rPr>
        <w:fldChar w:fldCharType="end"/>
      </w:r>
      <w:r w:rsidRPr="00AC1B06">
        <w:rPr>
          <w:rFonts w:cs="Calibri"/>
        </w:rPr>
        <w:t>, meaning that people who are digitally excluded are also</w:t>
      </w:r>
      <w:r w:rsidR="00F84689" w:rsidRPr="00AC1B06">
        <w:rPr>
          <w:rFonts w:cs="Calibri"/>
        </w:rPr>
        <w:t xml:space="preserve"> </w:t>
      </w:r>
      <w:r w:rsidRPr="00AC1B06">
        <w:rPr>
          <w:rFonts w:cs="Calibri"/>
        </w:rPr>
        <w:t xml:space="preserve">likely to experience disasters. This creates a challenge for agencies wishing to work with individuals and communities, due to institutional pressures and wider neoliberal agendas reducing their ability and capacity to conduct high levels of engagement. This contextual information provided the grounding and foundation to this project, which was further examined in the literature review. </w:t>
      </w:r>
    </w:p>
    <w:p w14:paraId="132DF49F" w14:textId="77777777" w:rsidR="00787F73" w:rsidRPr="00AC1B06" w:rsidRDefault="00787F73" w:rsidP="00866155">
      <w:pPr>
        <w:rPr>
          <w:rFonts w:cs="Calibri"/>
        </w:rPr>
      </w:pPr>
    </w:p>
    <w:p w14:paraId="650E3F77" w14:textId="77777777" w:rsidR="00787F73" w:rsidRPr="00AC1B06" w:rsidRDefault="00742FB7" w:rsidP="00866155">
      <w:pPr>
        <w:rPr>
          <w:rFonts w:cs="Calibri"/>
        </w:rPr>
      </w:pPr>
      <w:bookmarkStart w:id="1114" w:name="_Hlk161311641"/>
      <w:r w:rsidRPr="00AC1B06">
        <w:rPr>
          <w:rFonts w:cs="Calibri"/>
        </w:rPr>
        <w:t xml:space="preserve">Chapter 2 provided the academic grounding to the project via the literature </w:t>
      </w:r>
      <w:bookmarkEnd w:id="1114"/>
      <w:r w:rsidRPr="00AC1B06">
        <w:rPr>
          <w:rFonts w:cs="Calibri"/>
        </w:rPr>
        <w:t xml:space="preserve">review, which focused on six distinct topics of the research: institutional theory; communication theory; disasters; community resilience; social media; and the Fire and Rescue Service (FRS). Each of these sections provided the reader with the main definitions, concepts, and themes with which to ground the empirical data. </w:t>
      </w:r>
    </w:p>
    <w:p w14:paraId="6EA5B1E9" w14:textId="77777777" w:rsidR="00787F73" w:rsidRPr="00AC1B06" w:rsidRDefault="00787F73" w:rsidP="00866155">
      <w:pPr>
        <w:rPr>
          <w:rFonts w:cs="Calibri"/>
        </w:rPr>
      </w:pPr>
    </w:p>
    <w:p w14:paraId="65A7373F" w14:textId="77777777" w:rsidR="00787F73" w:rsidRPr="00AC1B06" w:rsidRDefault="00742FB7" w:rsidP="00866155">
      <w:pPr>
        <w:rPr>
          <w:rFonts w:cs="Calibri"/>
        </w:rPr>
      </w:pPr>
      <w:r w:rsidRPr="00AC1B06">
        <w:rPr>
          <w:rFonts w:cs="Calibri"/>
        </w:rPr>
        <w:t xml:space="preserve">The institutional theory section (2.1) explained what institutions are, with a discussion of the three main pillars of institutions: regulative; normative; and cultural cognitive </w:t>
      </w:r>
      <w:r w:rsidRPr="00AC1B06">
        <w:rPr>
          <w:rFonts w:cs="Calibri"/>
        </w:rPr>
        <w:fldChar w:fldCharType="begin" w:fldLock="1"/>
      </w:r>
      <w:r w:rsidR="00974B75" w:rsidRPr="00AC1B06">
        <w:rPr>
          <w:rFonts w:cs="Calibri"/>
        </w:rPr>
        <w:instrText>ADDIN CSL_CITATION {"citationItems":[{"id":"ITEM-1","itemData":{"DOI":"10.1108/S0277-2833(2010)0000021006","ISBN":"0000021008","ISSN":"02772833","abstract":"Social science attention to the distinctive role played by the professions\\nin modern society dates, at least, from the 1930s, beginning with\\nthe pioneering research of Carr-Saunders and Wilson (1933) and the\\ntheorizing of Parsons (1939). A considerable body of work was produced\\nwell into the 1960s, most of which embraced what was subsequently\\ntermed a functionalist approach. It was argued that in return for\\nemploying their specialized knowledge in the client's interest, professionals\\nwere ceded the right to set standards of training and practice and\\nto exercise autonomy of decision making in their spheres of competence\\n(e.g., Goode, 1957; Goss, 1961; Greenwood, 1957; Hughes, 1958b).\\nConsiderable effort was expended in differentiating between more-\\nand less-fully developed types of professions (e.g., Etzioni, 1969;\\nScott, 1965), as well as identifying the stages and strategies by\\nwhich professions acquired their distinctive features and status\\n(e.g., Abbott, 1988; Freidson, 1986; Wilensky, 1964).","author":[{"dropping-particle":"","family":"Scott","given":"W. Richard","non-dropping-particle":"","parse-names":false,"suffix":""}],"container-title":"Institutions and Entrepreneurship (Research in the Sociology of Work, Vol. 21)","editor":[{"dropping-particle":"","family":"Wesley D. Sine","given":"Robert J. David","non-dropping-particle":"","parse-names":false,"suffix":""}],"id":"ITEM-1","issued":{"date-parts":[["2010"]]},"page":"27-49","publisher":"Emerald Group Publishing Limited","publisher-place":"Leeds","title":"Entrepreneurs and professionals: The mediating role of institutions","type":"chapter"},"uris":["http://www.mendeley.com/documents/?uuid=8748eab4-c587-451c-8f5e-723bdb377cea"]},{"id":"ITEM-2","itemData":{"DOI":"10.1111/joms.12070","ISBN":"7804923325","ISSN":"14676486","abstract":"In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Studies","id":"ITEM-2","issue":"7","issued":{"date-parts":[["2014"]]},"page":"1206-1220","title":"Rethinking institutions and organizations","type":"article-journal","volume":"51"},"uris":["http://www.mendeley.com/documents/?uuid=0af2a191-4e5d-48b8-8f8d-ce7200539d20"]},{"id":"ITEM-3","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Practice","id":"ITEM-3","issue":"3","issued":{"date-parts":[["2010"]]},"page":"421-440","title":"Institutional theory and entrepreneurship: Where are we now and where do we need to move in the future?","type":"article-journal","volume":"34"},"uris":["http://www.mendeley.com/documents/?uuid=e36ff41e-f87e-4ac2-ad15-cf1983b501ae"]},{"id":"ITEM-4","itemData":{"DOI":"10.1177/0170840607088151","ISBN":"0170-8406","ISSN":"01708406","PMID":"31323064","abstract":"More so than other types of social actors, the professions in modern society have assumed leading roles in the creation and tending of institutions. They are the preeminent institutional agents of our time. Different professions work in various ways: some attempt to create general cultural-cognitive frameworks; others to devise normative pre- scriptions to guide behavior; and still others to exercise coercive authority. Also, indi- vidual professionals assume varying roles within their professional community: some concentrate on devising and testing general principles, others transport these ideas to varying communities; and still others work to apply the principles to individual cases. Professions themselves adhere to an institutional model, but this model has undergone important changes over time.","author":[{"dropping-particle":"","family":"Scott","given":"W. Richard","non-dropping-particle":"","parse-names":false,"suffix":""}],"container-title":"Organization Studies","id":"ITEM-4","issue":"2","issued":{"date-parts":[["2008"]]},"page":"219-238","title":"Lords of the dance: Professionals as institutional agents","type":"article-journal","volume":"29"},"uris":["http://www.mendeley.com/documents/?uuid=08afe149-5ce2-4fa3-a5be-8ece63af6202"]},{"id":"ITEM-5","itemData":{"author":[{"dropping-particle":"","family":"Scott","given":"W. R.","non-dropping-particle":"","parse-names":false,"suffix":""}],"chapter-number":"22","container-title":"Great Minds in Management: The Process of Theory Development","editor":[{"dropping-particle":"","family":"Smith","given":"Ken G.","non-dropping-particle":"","parse-names":false,"suffix":""},{"dropping-particle":"","family":"Hitt","given":"Michael A.","non-dropping-particle":"","parse-names":false,"suffix":""}],"id":"ITEM-5","issued":{"date-parts":[["2005"]]},"page":"460-484","publisher":"Oxford University Press","publisher-place":"Oxford","title":"Institutional theory: Contributing to a theoretical research program","type":"chapter"},"uris":["http://www.mendeley.com/documents/?uuid=8de1c0a6-4550-442d-8529-9841b65f3d92"]}],"mendeley":{"formattedCitation":"(Greenwood, Hinings, &amp; Whetten, 2014; Bruton, Ahlstrom, &amp; Li, 2010; Scott, 2005, 2008b, 2010a)","plainTextFormattedCitation":"(Greenwood, Hinings, &amp; Whetten, 2014; Bruton, Ahlstrom, &amp; Li, 2010; Scott, 2005, 2008b, 2010a)","previouslyFormattedCitation":"(Greenwood, Hinings, &amp; Whetten, 2014; Bruton, Ahlstrom, &amp; Li, 2010; Scott, 2005, 2008b, 2010a)"},"properties":{"noteIndex":0},"schema":"https://github.com/citation-style-language/schema/raw/master/csl-citation.json"}</w:instrText>
      </w:r>
      <w:r w:rsidRPr="00AC1B06">
        <w:rPr>
          <w:rFonts w:cs="Calibri"/>
        </w:rPr>
        <w:fldChar w:fldCharType="separate"/>
      </w:r>
      <w:r w:rsidRPr="00AC1B06">
        <w:rPr>
          <w:rFonts w:cs="Calibri"/>
          <w:noProof/>
        </w:rPr>
        <w:t>(Greenwood, Hinings, &amp; Whetten, 2014; Bruton, Ahlstrom, &amp; Li, 2010; Scott, 2005, 2008b, 2010a)</w:t>
      </w:r>
      <w:r w:rsidRPr="00AC1B06">
        <w:rPr>
          <w:rFonts w:cs="Calibri"/>
        </w:rPr>
        <w:fldChar w:fldCharType="end"/>
      </w:r>
      <w:r w:rsidRPr="00AC1B06">
        <w:rPr>
          <w:rFonts w:cs="Calibri"/>
        </w:rPr>
        <w:t xml:space="preserve">. This developed into a discussion of new institutionalism with a focus on the institutional logics perspective </w:t>
      </w:r>
      <w:r w:rsidRPr="00AC1B06">
        <w:rPr>
          <w:rFonts w:cs="Calibri"/>
        </w:rPr>
        <w:fldChar w:fldCharType="begin" w:fldLock="1"/>
      </w:r>
      <w:r w:rsidRPr="00AC1B06">
        <w:rPr>
          <w:rFonts w:cs="Calibri"/>
        </w:rPr>
        <w:instrText>ADDIN CSL_CITATION {"citationItems":[{"id":"ITEM-1","itemData":{"DOI":"10.5465/amr.2015.0020","ISBN":"354068297X","ISSN":"03029743","PMID":"127021146","abstract":"In this article I argue that the quest to establish microfoundations for institutional theory is hindered by two assumptions on which it currently rests: that structure simply con-strains and enables action and that agency is mostly associated with reflexivity. I un-pack these two assumptions and propose alternative microfoundations on which (1) structure not only constrains and enables action but also actively orients it toward some possibilities over others, and (2) the pre-reflective dimension of agency is explicitly theorized. It thus becomes possible to bridge long-standing divides within institutional theory, opening up avenues for further developing its microfoundations.","author":[{"dropping-particle":"","family":"Cardinale","given":"Ivano","non-dropping-particle":"","parse-names":false,"suffix":""}],"container-title":"Academy of Management Review","id":"ITEM-1","issue":"1","issued":{"date-parts":[["2018"]]},"page":"132-155","title":"Beyond Constraining and Enabling: Toward New Microfoundations for Institutional Theory","type":"article-journal","volume":"43"},"uris":["http://www.mendeley.com/documents/?uuid=d9c484f7-3075-4731-8304-8986df5d71a1"]},{"id":"ITEM-2","itemData":{"DOI":"10.1111/joms.12070","ISBN":"7804923325","ISSN":"14676486","abstract":"In this Point–Counterpoint article we argue that institutional scholarship has become overly concerned with explaining institutions and institutional processes, notably at the level of the organization field, rather than with using them to explain and understand organizations. Especially missing is an attempt to gain a coherent, holistic account of how organizations are structured and managed. We also argue that when institutional theory does give attention to organizations it inappropriately treats them as though they are the same, or at least as though any differences are irrelevant for purposes of theory. We propose a return to the study of organizations with an emphasis upon comparative analysis, and suggest the institutional logics perspective as an appropriate means for doing so.","author":[{"dropping-particle":"","family":"Greenwood","given":"Royston","non-dropping-particle":"","parse-names":false,"suffix":""},{"dropping-particle":"","family":"Hinings","given":"C. R.","non-dropping-particle":"","parse-names":false,"suffix":""},{"dropping-particle":"","family":"Whetten","given":"Dave","non-dropping-particle":"","parse-names":false,"suffix":""}],"container-title":"Journal of Management Studies","id":"ITEM-2","issue":"7","issued":{"date-parts":[["2014"]]},"page":"1206-1220","title":"Rethinking institutions and organizations","type":"article-journal","volume":"51"},"uris":["http://www.mendeley.com/documents/?uuid=0af2a191-4e5d-48b8-8f8d-ce7200539d20"]}],"mendeley":{"formattedCitation":"(Cardinale, 2018; Greenwood, Hinings, &amp; Whetten, 2014)","plainTextFormattedCitation":"(Cardinale, 2018; Greenwood, Hinings, &amp; Whetten, 2014)","previouslyFormattedCitation":"(Cardinale, 2018; Greenwood, Hinings, &amp; Whetten, 2014)"},"properties":{"noteIndex":0},"schema":"https://github.com/citation-style-language/schema/raw/master/csl-citation.json"}</w:instrText>
      </w:r>
      <w:r w:rsidRPr="00AC1B06">
        <w:rPr>
          <w:rFonts w:cs="Calibri"/>
        </w:rPr>
        <w:fldChar w:fldCharType="separate"/>
      </w:r>
      <w:r w:rsidRPr="00AC1B06">
        <w:rPr>
          <w:rFonts w:cs="Calibri"/>
          <w:noProof/>
        </w:rPr>
        <w:t>(Cardinale, 2018; Greenwood, Hinings, &amp; Whetten, 2014)</w:t>
      </w:r>
      <w:r w:rsidRPr="00AC1B06">
        <w:rPr>
          <w:rFonts w:cs="Calibri"/>
        </w:rPr>
        <w:fldChar w:fldCharType="end"/>
      </w:r>
      <w:r w:rsidRPr="00AC1B06">
        <w:rPr>
          <w:rFonts w:cs="Calibri"/>
        </w:rPr>
        <w:t xml:space="preserve">. The institutional logics section then examined institutional pluralism and the impact of multiple logics with a particular focus on institutional complexity </w:t>
      </w:r>
      <w:r w:rsidRPr="00AC1B06">
        <w:rPr>
          <w:rFonts w:cs="Calibri"/>
        </w:rPr>
        <w:fldChar w:fldCharType="begin" w:fldLock="1"/>
      </w:r>
      <w:r w:rsidR="00D177B9">
        <w:rPr>
          <w:rFonts w:cs="Calibri"/>
        </w:rPr>
        <w:instrText>ADDIN CSL_CITATION {"citationItems":[{"id":"ITEM-1","itemData":{"DOI":"10.1093/acprof","ISBN":"9780199682676","ISSN":"0873626X","PMID":"16683413","abstract":"This chapter introduces the institutional logics perspective as an analytical framework for institutional analysis. It lays out the goal of the book as a primer and programmatic statement that distinguishes the perspective from neo- institutional theory and proposes novel theory to flesh out the meta-theory initially suggested by Friedland and Alford (1991). Second, it discusses the suitability of the perspective for inter-disciplinary integration of institutional research across the social sciences. Third, it sets out the purpose of four of the central meta-theoretical principles of the institutional logics perspective and introduces an integrated model of the cross level effects that is discussed in detail in the following chapters.","author":[{"dropping-particle":"","family":"Thornton","given":"Patricia H.","non-dropping-particle":"","parse-names":false,"suffix":""},{"dropping-particle":"","family":"Ocasio","given":"William","non-dropping-particle":"","parse-names":false,"suffix":""},{"dropping-particle":"","family":"Lounsbury","given":"Michael","non-dropping-particle":"","parse-names":false,"suffix":""}],"id":"ITEM-1","issued":{"date-parts":[["2012"]]},"publisher":"Oxford Acdemic","publisher-place":"Oxford","title":"The Institutional Logics Perspective: A New Approach to Culture, Structure and Process","type":"book"},"uris":["http://www.mendeley.com/documents/?uuid=7afe7588-cd0b-4a95-b78a-3214c1130169"]},{"id":"ITEM-2","itemData":{"DOI":"10.1177/017084069701800204","ISBN":"01708406","ISSN":"0170-8406","PMID":"9707225788","abstract":"The focus of this paper is to examine the responses to institutional isomorph ism in one area of the public sector — universities. As an example, one particu lar organizational practice is examined — performance appraisal — and its implications for one group of professionals — academics. In doing so, some of the sources of variation in responses to institutional pressures are illustrated and the strategies of resistance actors engage in to resist such pressures. It is suggested that the concept of institutional logic is an important element in influencing responses to isomorphism, providing a repertoire of beliefs with which to contest concepts of legitimacy.","author":[{"dropping-particle":"","family":"Townley","given":"Barbara","non-dropping-particle":"","parse-names":false,"suffix":""}],"container-title":"Organization Studies","id":"ITEM-2","issue":"2","issued":{"date-parts":[["1997"]]},"page":"261-285","title":"Logic of Performance Appraisal","type":"article-journal","volume":"18"},"uris":["http://www.mendeley.com/documents/?uuid=3956e178-7c7b-4649-90dd-0750fde9fde0"]},{"id":"ITEM-3","itemData":{"DOI":"10.1108/S0733-558X201600048A005","author":[{"dropping-particle":"","family":"Zilber","given":"Tammar B","non-dropping-particle":"","parse-names":false,"suffix":""}],"chapter-number":"5","container-title":"How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-3","issued":{"date-parts":[["2016"]]},"page":"137-155","publisher":"Emerald Group Publishing Limited","title":"How Institutional Logics Matter: A Bottom-Up Exploration","type":"chapter","volume":"48"},"uris":["http://www.mendeley.com/documents/?uuid=e4988de7-6965-4bc8-bedf-8392ba1d8d8c"]},{"id":"ITEM-4","itemData":{"DOI":"10.1108/S0733-558X201600048A001","author":[{"dropping-particle":"","family":"Glaser","given":"Vern L","non-dropping-particle":"","parse-names":false,"suffix":""},{"dropping-particle":"","family":"Fast","given":"Nathanael J","non-dropping-particle":"","parse-names":false,"suffix":""},{"dropping-particle":"","family":"Harmon","given":"Derek J","non-dropping-particle":"","parse-names":false,"suffix":""},{"dropping-particle":"","family":"Green","given":"Sandy E","non-dropping-particle":"","parse-names":false,"suffix":""}],"chapter-number":"2","container-title":"How Institutions Matter!","editor":[{"dropping-particle":"","family":"Gehman","given":"Joel","non-dropping-particle":"","parse-names":false,"suffix":""},{"dropping-particle":"","family":"Lounsbury","given":"Michael","non-dropping-particle":"","parse-names":false,"suffix":""},{"dropping-particle":"","family":"Greenwood","given":"Royston","non-dropping-particle":"","parse-names":false,"suffix":""}],"id":"ITEM-4","issued":{"date-parts":[["2016"]]},"page":"35-70","publisher":"Emerald Group Publishing Limited","title":"Institutional Frame Switching: How Institutional Logics Shape Individual Action","type":"chapter","volume":"48A"},"uris":["http://www.mendeley.com/documents/?uuid=8ac9f37b-5be1-4297-bd70-0abc13a22de3"]},{"id":"ITEM-5","itemData":{"DOI":"10.1177/1476127015625040","author":[{"dropping-particle":"","family":"Ocasio","given":"William","non-dropping-particle":"","parse-names":false,"suffix":""},{"dropping-particle":"","family":"Radoynovska","given":"Nevena","non-dropping-particle":"","parse-names":false,"suffix":""}],"container-title":"Strategic Organization","id":"ITEM-5","issue":"4","issued":{"date-parts":[["2016"]]},"page":"287 - 309","title":"Strategy and commitments to institutional logics : Organizational heterogeneity in business models and governance","type":"article-journal","volume":"14"},"uris":["http://www.mendeley.com/documents/?uuid=eede86b6-3a39-4b52-acc9-94e8cc3fbd5e"]},{"id":"ITEM-6","itemData":{"DOI":"10.1177/0007650318789104","ISSN":"15524205","abstract":"Social innovations are urgently needed as we confront complex social problems. As these social problems feature substantial interdependencies among multiple systems and actors, developing and implementing innovative solutions involve the re-negotiating of settled institutions or the building of new ones. In this introductory article, we introduce a stylized three-cycle model highlighting the institutional nature of social innovation efforts. The model conceptualizes social innovation processes as the product of agentic, relational, and situated dynamics in three interrelated cycles that operate at the micro, meso, and macro levels of analysis. The five papers included in this special issue address one or more of these cycles. We draw on these papers and the model to stimulate and offer guidance to future conversations on social innovations from an institutional theory perspective.","author":[{"dropping-particle":"","family":"Wijk","given":"Jakomijn","non-dropping-particle":"van","parse-names":false,"suffix":""},{"dropping-particle":"","family":"Zietsma","given":"Charlene","non-dropping-particle":"","parse-names":false,"suffix":""},{"dropping-particle":"","family":"Dorado","given":"Silvia","non-dropping-particle":"","parse-names":false,"suffix":""},{"dropping-particle":"","family":"Bakker","given":"Frank G.A.","non-dropping-particle":"de","parse-names":false,"suffix":""},{"dropping-particle":"","family":"Martí","given":"Ignasi","non-dropping-particle":"","parse-names":false,"suffix":""}],"container-title":"Business and Society","id":"ITEM-6","issue":"5","issued":{"date-parts":[["2019"]]},"page":"887-918","title":"Social Innovation: Integrating Micro, Meso, and Macro Level Insights From Institutional Theory","type":"article-journal","volume":"58"},"uris":["http://www.mendeley.com/documents/?uuid=e7aea813-38d5-4cfc-809f-0f93b22a795c"]}],"mendeley":{"formattedCitation":"(van Wijk et al., 2019; Glaser et al., 2016; Ocasio &amp; Radoynovska, 2016; Zilber, 2016; Thornton, Ocasio, &amp; Lounsbury, 2012; Townley, 1997)","plainTextFormattedCitation":"(van Wijk et al., 2019; Glaser et al., 2016; Ocasio &amp; Radoynovska, 2016; Zilber, 2016; Thornton, Ocasio, &amp; Lounsbury, 2012; Townley, 1997)","previouslyFormattedCitation":"(van Wijk et al., 2019; Glaser et al., 2016; Ocasio &amp; Radoynovska, 2016; Zilber, 2016; Thornton, Ocasio, &amp; Lounsbury, 2012; Townley, 1997)"},"properties":{"noteIndex":0},"schema":"https://github.com/citation-style-language/schema/raw/master/csl-citation.json"}</w:instrText>
      </w:r>
      <w:r w:rsidRPr="00AC1B06">
        <w:rPr>
          <w:rFonts w:cs="Calibri"/>
        </w:rPr>
        <w:fldChar w:fldCharType="separate"/>
      </w:r>
      <w:r w:rsidR="00E37B0E" w:rsidRPr="00E37B0E">
        <w:rPr>
          <w:rFonts w:cs="Calibri"/>
          <w:noProof/>
        </w:rPr>
        <w:t>(van Wijk et al., 2019; Glaser et al., 2016; Ocasio &amp; Radoynovska, 2016; Zilber, 2016; Thornton, Ocasio, &amp; Lounsbury, 2012; Townley, 1997)</w:t>
      </w:r>
      <w:r w:rsidRPr="00AC1B06">
        <w:rPr>
          <w:rFonts w:cs="Calibri"/>
        </w:rPr>
        <w:fldChar w:fldCharType="end"/>
      </w:r>
      <w:r w:rsidRPr="00AC1B06">
        <w:rPr>
          <w:rFonts w:cs="Calibri"/>
        </w:rPr>
        <w:t xml:space="preserve">. This section briefly examined how organisations and individuals operate within institutional complexity, with a focus on the role of agency </w:t>
      </w:r>
      <w:r w:rsidRPr="00AC1B06">
        <w:rPr>
          <w:rFonts w:cs="Calibri"/>
        </w:rPr>
        <w:fldChar w:fldCharType="begin" w:fldLock="1"/>
      </w:r>
      <w:r w:rsidR="00974B75" w:rsidRPr="00AC1B06">
        <w:rPr>
          <w:rFonts w:cs="Calibri"/>
        </w:rPr>
        <w:instrText>ADDIN CSL_CITATION {"citationItems":[{"id":"ITEM-1","itemData":{"DOI":"10.5465/amr.2015.0020","ISBN":"354068297X","ISSN":"03029743","PMID":"127021146","abstract":"In this article I argue that the quest to establish microfoundations for institutional theory is hindered by two assumptions on which it currently rests: that structure simply con-strains and enables action and that agency is mostly associated with reflexivity. I un-pack these two assumptions and propose alternative microfoundations on which (1) structure not only constrains and enables action but also actively orients it toward some possibilities over others, and (2) the pre-reflective dimension of agency is explicitly theorized. It thus becomes possible to bridge long-standing divides within institutional theory, opening up avenues for further developing its microfoundations.","author":[{"dropping-particle":"","family":"Cardinale","given":"Ivano","non-dropping-particle":"","parse-names":false,"suffix":""}],"container-title":"Academy of Management Review","id":"ITEM-1","issue":"1","issued":{"date-parts":[["2018"]]},"page":"132-155","title":"Beyond Constraining and Enabling: Toward New Microfoundations for Institutional Theory","type":"article-journal","volume":"43"},"uris":["http://www.mendeley.com/documents/?uuid=d9c484f7-3075-4731-8304-8986df5d71a1"]},{"id":"ITEM-2","itemData":{"ISBN":"1526415054","author":[{"dropping-particle":"","family":"Greenwood","given":"Royston","non-dropping-particle":"","parse-names":false,"suffix":""},{"dropping-particle":"","family":"Oliver","given":"Christine","non-dropping-particle":"","parse-names":false,"suffix":""},{"dropping-particle":"","family":"Sahlin","given":"Kerstin","non-dropping-particle":"","parse-names":false,"suffix":""},{"dropping-particle":"","family":"Suddaby","given":"Roy","non-dropping-particle":"","parse-names":false,"suffix":""}],"chapter-number":"1","container-title":"The Sage handbook of Organizational Institutionalism","editor":[{"dropping-particle":"","family":"Greenwood","given":"Royston","non-dropping-particle":"","parse-names":false,"suffix":""},{"dropping-particle":"","family":"Oliver","given":"Christine","non-dropping-particle":"","parse-names":false,"suffix":""},{"dropping-particle":"","family":"Lawrence","given":"Thomas B","non-dropping-particle":"","parse-names":false,"suffix":""},{"dropping-particle":"","family":"Meyer","given":"Renate E","non-dropping-particle":"","parse-names":false,"suffix":""}],"id":"ITEM-2","issued":{"date-parts":[["2008"]]},"page":"1 -34","publisher":"Sage","publisher-place":"London","title":"Introduction","type":"chapter"},"uris":["http://www.mendeley.com/documents/?uuid=3fed7a46-7a1f-43ad-aae4-af5880dadba6"]},{"id":"ITEM-3","itemData":{"DOI":"10.1177/1056492609347564","ISSN":"10564926","abstract":"This essay offers a critical summation of the use of neo-institutionalism to study organizations. While institutionalism has succeeded in becoming the dominant theory to study macro-organizational phenomena, there is a danger that the theory has been stretched far beyond its core purpose-to understand how organizational structures and processes acquire meaning and continuity beyond their technical goals. I discuss some possible reasons for this displacement and identify four nascent threads of research that hold strong potential for bringing institutional theory back to its core assumptions and objectives; categories, language, work, and aesthetics. © The Author(s) 2010.","author":[{"dropping-particle":"","family":"Suddaby","given":"Roy","non-dropping-particle":"","parse-names":false,"suffix":""}],"container-title":"Journal of Management Inquiry","id":"ITEM-3","issue":"1","issued":{"date-parts":[["2010"]]},"page":"14-20","title":"Challenges for institutional theory","type":"article-journal","volume":"19"},"uris":["http://www.mendeley.com/documents/?uuid=48d38a20-6474-4586-8ab9-0cdc9bff1589"]},{"id":"ITEM-4","itemData":{"DOI":"10.1111/j.1467-9299.2012.02105.x","ISBN":"00014273","ISSN":"0170-8406","PMID":"18837629","abstract":"Over recent decades, a number of managerial reform initiatives in continental Europe have aimed at moving away from the traditional Weberian model of public administration. Such shifting bases of legitimacy are brought about by changes in the institutional logics in place, which not only provide frames of reference but also social identities and vocabularies of motive for the actors in the field. In this article, we approach the expanding research on public service motivation (PSM) by employing an institutional prism. Based on an executive survey in a continental European context, we examine the assumption that high PSM is associated with the traditional ethos and social identity in the public sector. What we find is that a Weberian legalistic-bureaucratic logic supports neither a high attraction to policy-making nor a high level of compassion. A managerial orientation, on the other hand, entails significantly higher scores on these two dimensions, as well as on overall PSM.","author":[{"dropping-particle":"","family":"Dacin","given":"M Tina","non-dropping-particle":"","parse-names":false,"suffix":""},{"dropping-particle":"","family":"Goodstein","given":"Jerry","non-dropping-particle":"","parse-names":false,"suffix":""},{"dropping-particle":"","family":"Scott","given":"W Richard","non-dropping-particle":"","parse-names":false,"suffix":""}],"container-title":"The Academy of Management Journal","id":"ITEM-4","issue":"1","issued":{"date-parts":[["2002"]]},"page":"45-56","title":"Institutional Theory and Institutional Change: Introduction to the Special Research Forum","type":"article-journal","volume":"45"},"uris":["http://www.mendeley.com/documents/?uuid=ce784237-38a8-4089-a19f-9157aeaf33bb"]},{"id":"ITEM-5","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Practice","id":"ITEM-5","issue":"3","issued":{"date-parts":[["2010"]]},"page":"421-440","title":"Institutional theory and entrepreneurship: Where are we now and where do we need to move in the future?","type":"article-journal","volume":"34"},"uris":["http://www.mendeley.com/documents/?uuid=e36ff41e-f87e-4ac2-ad15-cf1983b501ae"]}],"mendeley":{"formattedCitation":"(Cardinale, 2018; Bruton, Ahlstrom, &amp; Li, 2010; Suddaby, 2010; Greenwood et al., 2008; Dacin, Goodstein, &amp; Scott, 2002)","plainTextFormattedCitation":"(Cardinale, 2018; Bruton, Ahlstrom, &amp; Li, 2010; Suddaby, 2010; Greenwood et al., 2008; Dacin, Goodstein, &amp; Scott, 2002)","previouslyFormattedCitation":"(Cardinale, 2018; Bruton, Ahlstrom, &amp; Li, 2010; Suddaby, 2010; Greenwood et al., 2008; Dacin, Goodstein, &amp; Scott, 2002)"},"properties":{"noteIndex":0},"schema":"https://github.com/citation-style-language/schema/raw/master/csl-citation.json"}</w:instrText>
      </w:r>
      <w:r w:rsidRPr="00AC1B06">
        <w:rPr>
          <w:rFonts w:cs="Calibri"/>
        </w:rPr>
        <w:fldChar w:fldCharType="separate"/>
      </w:r>
      <w:r w:rsidRPr="00AC1B06">
        <w:rPr>
          <w:rFonts w:cs="Calibri"/>
          <w:noProof/>
        </w:rPr>
        <w:t>(Cardinale, 2018; Bruton, Ahlstrom, &amp; Li, 2010; Suddaby, 2010; Greenwood et al., 2008; Dacin, Goodstein, &amp; Scott, 2002)</w:t>
      </w:r>
      <w:r w:rsidRPr="00AC1B06">
        <w:rPr>
          <w:rFonts w:cs="Calibri"/>
        </w:rPr>
        <w:fldChar w:fldCharType="end"/>
      </w:r>
      <w:r w:rsidRPr="00AC1B06">
        <w:rPr>
          <w:rFonts w:cs="Calibri"/>
        </w:rPr>
        <w:t>.</w:t>
      </w:r>
    </w:p>
    <w:p w14:paraId="5AFF529D" w14:textId="77777777" w:rsidR="00787F73" w:rsidRPr="00AC1B06" w:rsidRDefault="00787F73" w:rsidP="00866155">
      <w:pPr>
        <w:rPr>
          <w:rFonts w:cs="Calibri"/>
        </w:rPr>
      </w:pPr>
    </w:p>
    <w:p w14:paraId="10112C00" w14:textId="7DE98DE1" w:rsidR="00787F73" w:rsidRPr="00AC1B06" w:rsidRDefault="00742FB7" w:rsidP="00866155">
      <w:pPr>
        <w:rPr>
          <w:rFonts w:cs="Calibri"/>
        </w:rPr>
      </w:pPr>
      <w:r w:rsidRPr="00AC1B06">
        <w:rPr>
          <w:rFonts w:cs="Calibri"/>
        </w:rPr>
        <w:t xml:space="preserve">This thesis used two different theories to examine and explore the empirical data. The institutional theory provided a lens with which to examine </w:t>
      </w:r>
      <w:r w:rsidRPr="00AC1B06">
        <w:rPr>
          <w:rFonts w:cs="Calibri"/>
          <w:i/>
          <w:iCs/>
        </w:rPr>
        <w:t>why</w:t>
      </w:r>
      <w:r w:rsidRPr="00AC1B06">
        <w:rPr>
          <w:rFonts w:cs="Calibri"/>
        </w:rPr>
        <w:t xml:space="preserve"> SYFR communicate and operate in the way that they do, and the communication theory was then used to examine </w:t>
      </w:r>
      <w:r w:rsidRPr="00AC1B06">
        <w:rPr>
          <w:rFonts w:cs="Calibri"/>
          <w:i/>
          <w:iCs/>
        </w:rPr>
        <w:t>how</w:t>
      </w:r>
      <w:r w:rsidRPr="00AC1B06">
        <w:rPr>
          <w:rFonts w:cs="Calibri"/>
        </w:rPr>
        <w:t xml:space="preserve"> they communicate. The communication theory section (2.2) provided a definition of communication, and focused on risk communication, which refers to the communication prior to an event or disaster, and is therefore of importance to developing community </w:t>
      </w:r>
      <w:r w:rsidRPr="00AC1B06">
        <w:rPr>
          <w:rFonts w:cs="Calibri"/>
        </w:rPr>
        <w:lastRenderedPageBreak/>
        <w:t xml:space="preserve">resilience </w:t>
      </w:r>
      <w:r w:rsidRPr="00AC1B06">
        <w:rPr>
          <w:rFonts w:cs="Calibri"/>
        </w:rPr>
        <w:fldChar w:fldCharType="begin" w:fldLock="1"/>
      </w:r>
      <w:r w:rsidR="00974B75" w:rsidRPr="00AC1B06">
        <w:rPr>
          <w:rFonts w:cs="Calibri"/>
        </w:rPr>
        <w:instrText>ADDIN CSL_CITATION {"citationItems":[{"id":"ITEM-1","itemData":{"DOI":"10.1016/j.ijdrr.2017.04.015","ISSN":"22124209","abstract":"The medium of film is well established for education and communication about hazardous phenomena as it provides engaging ways to directly view hazards and their impacts. Empirical analysis can help to understand films’ effectiveness in informing populations at risk and catalysing action to reduce risk. Using volcanic eruptions as a focus, an evidence-based methodology was devised to create, use, and track the outcomes of digital film tools designed to raise hazard and risk awareness, and develop preparedness efforts. Experiences from two contrasting eruptions were documented, with the secondary purpose of fostering social and cultural memories of eruptions, developed in response to demand from at-risk communities during field-based research. The films were created as a partnership with local volcano monitoring scientists and at-risk populations who, consequently, became the leading focus of the films, thus offering a substantial contrast to other types of hazard communication. The films were analysed by sharing them with at-risk communities and evaluating the immediate influence on learning and affect. Results indicated that the use of local content and actors to share experiences and teach valuable lessons were inspirational. Recognizable faces and spaces helped to convey disaster risk reduction messages. They also motivated audiences to consider ownership of risk and potential actions to reduce risk and strengthen resilience. This study demonstrated the effectiveness of co-production in the design and execution of intervention strategies for volcanic risk reduction. Co-production of films with local agencies resulted in products that were contextually appropriate, meaningful for audiences, and useful risk communication tools.","author":[{"dropping-particle":"","family":"Hicks","given":"Anna","non-dropping-particle":"","parse-names":false,"suffix":""},{"dropping-particle":"","family":"Armijos","given":"Maria Teresa","non-dropping-particle":"","parse-names":false,"suffix":""},{"dropping-particle":"","family":"Barclay","given":"Jenni","non-dropping-particle":"","parse-names":false,"suffix":""},{"dropping-particle":"","family":"Stone","given":"Jonathan","non-dropping-particle":"","parse-names":false,"suffix":""},{"dropping-particle":"","family":"Robertson","given":"Richard","non-dropping-particle":"","parse-names":false,"suffix":""},{"dropping-particle":"","family":"Cortés","given":"Gloria Patricia","non-dropping-particle":"","parse-names":false,"suffix":""}],"container-title":"International Journal of Disaster Risk Reduction","id":"ITEM-1","issued":{"date-parts":[["2017"]]},"page":"138-151","publisher":"Elsevier Ltd","title":"Risk communication films: Process, product and potential for improving preparedness and behaviour change","type":"article-journal","volume":"23"},"uris":["http://www.mendeley.com/documents/?uuid=0f5f1ccc-9589-4eed-a1d9-c3f921c1cc41"]},{"id":"ITEM-2","itemData":{"DOI":"10.1016/j.proeng.2018.01.032","ISSN":"18777058","abstract":"The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Engineering","id":"ITEM-2","issued":{"date-parts":[["2018"]]},"page":"246-253","publisher":"Elsevier B.V.","title":"Conceptual Framework for Motivating Actions towards Disaster Preparedness Through Risk Communication","type":"article-journal","volume":"212"},"uris":["http://www.mendeley.com/documents/?uuid=01e245d0-867b-47cd-8164-80d2bc1d7862"]},{"id":"ITEM-3","itemData":{"DOI":"10.1016/j.jhydrol.2018.11.007","ISSN":"00221694","abstract":"Flood risk management is gradually shifting from a risk-based approach to an integrated one that, among other elements, considers risk communication (RC) as a means of boosting resilience. Regardless of the above, few scientists have tackled up to now the integration of RC into flood risk management. In this connection, this particular study seeks to check out the potential of a risk dialogue approach (based on an ad hoc RC strategy) to change attitudes and behaviours in relation to flash flood risk. Via a pre-post survey design, we evaluated risk perception and awareness regarding a Civil Protection Plan (CPP) implemented locally (i.e., in the municipality of Navaluenga, central Spain). For this particular objective, a questionnaire survey was created, and 201 adults (representing more than 10% of the population census) were interviewed twice in a one-year period. Before the second survey, an RC strategy was created. The RC strategy comprised briefings, quiz answers, storytelling, a contest of videos and photographs about past floods, and an intergenerational workshop. A t-test for paired sample analyses and a general linear model (GLM) repeated measures ANOVA were applied to identify changes in risk perception and awareness. Our results indicate that the RC strategy did increase flood risk perception in Navaluenga in the long term (lifetime). Also, it increased the level of awareness of the various features that comprise the CPP, enabling people to be more competent in facing a flash flood. Some cognitive biases detected in the perceptual process of human beings may shed some light on the results obtained. The implementation of well-thought-out RC strategies can play a role in improving resilience, particularly in geographic areas such as the Iberian Peninsula, in which climate change scenarios indicate a likely increase in the severity and frequency of flooding.","author":[{"dropping-particle":"","family":"Bodoque","given":"J. M.","non-dropping-particle":"","parse-names":false,"suffix":""},{"dropping-particle":"","family":"Díez-Herrero","given":"A.","non-dropping-particle":"","parse-names":false,"suffix":""},{"dropping-particle":"","family":"Amerigo","given":"M.","non-dropping-particle":"","parse-names":false,"suffix":""},{"dropping-particle":"","family":"García","given":"J. A.","non-dropping-particle":"","parse-names":false,"suffix":""},{"dropping-particle":"","family":"Olcina","given":"J.","non-dropping-particle":"","parse-names":false,"suffix":""}],"container-title":"Journal of Hydrology","id":"ITEM-3","issued":{"date-parts":[["2019"]]},"page":"769-779","publisher":"Elsevier","title":"Enhancing flash flood risk perception and awareness of mitigation actions through risk communication: A pre-post survey design","type":"article-journal","volume":"568"},"uris":["http://www.mendeley.com/documents/?uuid=035f4ef7-201a-47c7-8e7a-0cc5c28eb0f7"]},{"id":"ITEM-4","itemData":{"DOI":"10.1016/j.ijdrr.2022.102808","ISSN":"22124209","abstract":"The main objective of this study is to examine the role of risk communication during the COVID-19 crisis, which is often neglected in studies investigating the outbreak of the pandemic. The study is based on survey data from a group of international (non-Japanese) students in Japan and the theoretical foundation of fear appeal theory. The results, which are based on the panel data structure, show that individually, (1) the act of seeking out others to discuss risks in depth in the current pandemic context or (2) the observed adoption of advocated precautionary health behaviours is not necessarily a good indicator of mental management, but (3) the combined effect of (1) and (2) unexpectedly suggests a conciliatory effect on the fear of disasters. Moreover, this evidence-based finding (3) suggests that a reciprocal relationship exists between threat and efficacy in terms of mediating fear under the framework and theory of fear appeals, indirectly challenging the fear control response proposition of the extended parallel process model. Our empirical findings emphasize the role of risk discourse and information sharing combined with preventive health behaviours adopted within a community in the context of global health crises.","author":[{"dropping-particle":"","family":"Dao","given":"Minh Tuan","non-dropping-particle":"","parse-names":false,"suffix":""},{"dropping-particle":"","family":"Lim","given":"Seunghoo","non-dropping-particle":"","parse-names":false,"suffix":""}],"container-title":"International Journal of Disaster Risk Reduction","id":"ITEM-4","issued":{"date-parts":[["2022"]]},"page":"1 - 12","title":"Fear of disasters within the risk communication network of foreign students in Japan amid the COVID-19 pandemic crisis: A cohort design","type":"article-journal","volume":"71"},"uris":["http://www.mendeley.com/documents/?uuid=4e8897e0-d91f-4155-89aa-75260c35275c"]},{"id":"ITEM-5","itemData":{"DOI":"10.1016/j.ijdrr.2022.102903","ISSN":"22124209","abstract":"In today's information age, both excess and lack of information can cause a disaster. COVID-19 pandemic not only highlighted the significance of risk communication but also pointed out several unintended and distressing consequences due to information gaps and miscommunications. Despite facing a common threat, the local communities suffered differential impacts during the pandemic. This paper classifies the nature of risk communications experienced across different countries into three categories, namely: inadequate, ideal, and infodemic risk communication that influenced the local perceptions and responses. It further argues that inadequately planned risk communications tend to create new risks and compromise the efforts towards managing a disaster. As global risks are responded locally, there is a need for more inclusive and engaging risk communication that involves communities as responsible stakeholders who understand, plan, and respond to risks to increase their propensity for resilience during disasters and crisis situations.","author":[{"dropping-particle":"","family":"Khan","given":"Shabana","non-dropping-particle":"","parse-names":false,"suffix":""},{"dropping-particle":"","family":"Mishra","given":"Jyoti","non-dropping-particle":"","parse-names":false,"suffix":""},{"dropping-particle":"","family":"Ahmed","given":"Nova","non-dropping-particle":"","parse-names":false,"suffix":""},{"dropping-particle":"","family":"Onyige","given":"Chioma Daisy","non-dropping-particle":"","parse-names":false,"suffix":""},{"dropping-particle":"","family":"Lin","given":"Kuanhui Elaine","non-dropping-particle":"","parse-names":false,"suffix":""},{"dropping-particle":"","family":"Siew","given":"Renard","non-dropping-particle":"","parse-names":false,"suffix":""},{"dropping-particle":"","family":"Lim","given":"Boon Han","non-dropping-particle":"","parse-names":false,"suffix":""}],"container-title":"International Journal of Disaster Risk Reduction","id":"ITEM-5","issued":{"date-parts":[["2022"]]},"page":"1-13","title":"Risk communication and community engagement during COVID-19","type":"article-journal","volume":"74"},"uris":["http://www.mendeley.com/documents/?uuid=849f61bc-f758-47e1-97be-298ae2c6fa66"]},{"id":"ITEM-6","itemData":{"DOI":"10.1111/risa.13828","ISSN":"15396924","PMID":"34569091","abstract":"During public health emergencies, government practitioners must rapidly make sense of the risk to human health and the emergency risk communication (ERC) options available. These practitioners determine what, how, and when information is communicated to the public. Recurring criticism of ERC indicates that the communication is not meeting the needs of the community. To improve ERC practice, it is therefore critical to understand practitioners’ sensemaking in these complex and time-critical settings. This article unpacks the realities and complexities of sensemaking, the process by which practitioners create meaning from the information they receive about an emergency as it unfolds. Qualitative interviews gathered practitioners’ lived experiences of public health emergencies, namely, smoke events (e.g., wildfires and industrial facility fires), and thematic analysis drew on sensemaking literature. The evidence shows that sensemaking is challenging, as practitioners experience pressure from the emergency context and organizational, political, and social expectations. Sensemaking for ERC comes with an underlying imperative to accurately make sense of the situation, in a timely manner and in a way that leads to the best health outcomes. Practitioners must balance creating plausible meaning (sensemaking) with the accuracy expected by stakeholders. The analysis also highlights how sensemaking scope is delimited by professional expert identities and roles within the emergency management system; that is, practitioners’ understanding of their expertise and role, and that of other practitioners. Past lived experiences are viewed as key facilitators of both individual and collective sensemaking, and the history of similar public health events shapes sensemaking in this context.","author":[{"dropping-particle":"","family":"Thomas","given":"Madeleine","non-dropping-particle":"","parse-names":false,"suffix":""},{"dropping-particle":"","family":"Klemm","given":"Celine","non-dropping-particle":"","parse-names":false,"suffix":""},{"dropping-particle":"","family":"Hutchins","given":"Brett","non-dropping-particle":"","parse-names":false,"suffix":""},{"dropping-particle":"","family":"Kaufman","given":"Stefan","non-dropping-particle":"","parse-names":false,"suffix":""}],"container-title":"Risk Analysis","id":"ITEM-6","issue":"11","issued":{"date-parts":[["2022"]]},"page":"2536-2549","title":"Unpacking the Realities and Complexities of Sensemaking: Government Practitioners’ Experiences of Emergency Risk Communication","type":"article-journal","volume":"42"},"uris":["http://www.mendeley.com/documents/?uuid=727bc174-52fa-41c4-9eb1-898bb6178901"]},{"id":"ITEM-7","itemData":{"DOI":"10.1017/dmp.2020.347","ISSN":"1938744X","PMID":"32907685","abstract":"ObjectiveThe purpose of this study was to demonstrate the use of social network analysis to understand public discourse on Twitter around the novel coronavirus pandemic (COVID-19). We examined different network properties that might affect the successful dissemination by and adoption of public health messages from public health officials and health agencies.MethodsWe focused on conversations on Twitter during three key communication events from late January to early June of 2020. We used Netlytic, a free web-based software that collects publicly available data from social media sites such as Twitter.ResultsWe found that the network of conversations around COVID-19 is highly decentralized, fragmented, and loosely connected; these characteristics can hinder the successful dissemination of public health messages in a network. Competing conversations and misinformation can hamper risk communication efforts in a way that imperil public health.ConclusionLooking at basic metrics might create a misleading picture of the effectiveness of risk communication efforts on social media if not analyzed within the context of the larger network. Social network analysis of conversations on social media should be an integral part of how public health officials and agencies plan, monitor, and evaluate risk communication efforts.","author":[{"dropping-particle":"","family":"Pascual-Ferrá","given":"Paola","non-dropping-particle":"","parse-names":false,"suffix":""},{"dropping-particle":"","family":"Alperstein","given":"Neil","non-dropping-particle":"","parse-names":false,"suffix":""},{"dropping-particle":"","family":"Barnett","given":"Daniel J.","non-dropping-particle":"","parse-names":false,"suffix":""}],"container-title":"Disaster Medicine and Public Health Preparedness","id":"ITEM-7","issue":"2","issued":{"date-parts":[["2022"]]},"page":"561-569","title":"Social Network Analysis of COVID-19 Public Discourse on Twitter: Implications for Risk Communication","type":"article-journal","volume":"16"},"uris":["http://www.mendeley.com/documents/?uuid=158b85ff-955e-4d7f-bfb1-e3b2dc838613"]},{"id":"ITEM-8","itemData":{"DOI":"10.1108/ITP-05-2021-0363","ISSN":"09593845","abstract":"Purpose: Despite the huge potential of social media, its functionality and impact for enhanced risk communication remain unclear. Drawing on dialogic theory by integrating both “speak from power” and “speak to power” measurements, the article aims to propose a systematic framework to address this issue. Design/methodology/approach: The impact of social media on risk communication is measured by the correlation between “speak from power” and “speak to power” levels, where the former primarily spoke to two facets of the risk communication process – rapidness and attentiveness, and the latter was benchmarked against popularity and commitment. The framework was empirically validated with data relating to coronavirus disease (COVID-19) risk communication in 25,024 selected posts on 17 official provincial Weibo accounts in China. Findings: The analysis results suggest the relationship between the “speak from power” and “speak to power” is mixed rather than causality, which confirms that neither the outcome-centric nor the process-centric method alone can render a full picture of government–public interconnectivity. Besides, the proposed interconnectivity matrix reveals that two provinces have evidenced the formation of government–public mutuality, which provides empirical evidence that dialogic relationships could exist in social media during risk communication. Originality/value: The authors' study proposed a prototype framework that underlines the need that the impact of social media on risk communication should and must be assessed through a combination of process and outcome or interconnectivity. The authors further divide the impact of social media on risk communication into dialogue enabler, “speak from power” booster, “speak to power” channel and mass media alternative.","author":[{"dropping-particle":"","family":"Zhu","given":"Ruilin","non-dropping-particle":"","parse-names":false,"suffix":""},{"dropping-particle":"","family":"Song","given":"Yanqing","non-dropping-particle":"","parse-names":false,"suffix":""},{"dropping-particle":"","family":"He","given":"Shuang","non-dropping-particle":"","parse-names":false,"suffix":""},{"dropping-particle":"","family":"Hu","given":"Xuan","non-dropping-particle":"","parse-names":false,"suffix":""},{"dropping-particle":"","family":"Hu","given":"Wangsu","non-dropping-particle":"","parse-names":false,"suffix":""},{"dropping-particle":"","family":"Liu","given":"Bingsheng","non-dropping-particle":"","parse-names":false,"suffix":""}],"container-title":"Information Technology and People","id":"ITEM-8","issue":"7","issued":{"date-parts":[["2022"]]},"page":"2518-2540","title":"Toward dialogue through a holistic measuring framework – the impact of social media on risk communication in the COVID-19","type":"article-journal","volume":"35"},"uris":["http://www.mendeley.com/documents/?uuid=0a67c08d-e86f-4697-a72d-997e6e8a75ba"]}],"mendeley":{"formattedCitation":"(Dao &amp; Lim, 2022; Khan et al., 2022; Pascual-Ferrá, Alperstein, &amp; Barnett, 2022; Thomas et al., 2022; Zhu et al., 2022; Bodoque et al., 2019; Abunyewah, Gajendran, &amp; Maund, 2018; Hicks et al., 2017)","plainTextFormattedCitation":"(Dao &amp; Lim, 2022; Khan et al., 2022; Pascual-Ferrá, Alperstein, &amp; Barnett, 2022; Thomas et al., 2022; Zhu et al., 2022; Bodoque et al., 2019; Abunyewah, Gajendran, &amp; Maund, 2018; Hicks et al., 2017)","previouslyFormattedCitation":"(Dao &amp; Lim, 2022; Khan et al., 2022; Pascual-Ferrá, Alperstein, &amp; Barnett, 2022; Thomas et al., 2022; Zhu et al., 2022; Bodoque et al., 2019; Abunyewah, Gajendran, &amp; Maund, 2018; Hicks et al., 2017)"},"properties":{"noteIndex":0},"schema":"https://github.com/citation-style-language/schema/raw/master/csl-citation.json"}</w:instrText>
      </w:r>
      <w:r w:rsidRPr="00AC1B06">
        <w:rPr>
          <w:rFonts w:cs="Calibri"/>
        </w:rPr>
        <w:fldChar w:fldCharType="separate"/>
      </w:r>
      <w:r w:rsidRPr="00AC1B06">
        <w:rPr>
          <w:rFonts w:cs="Calibri"/>
          <w:noProof/>
        </w:rPr>
        <w:t>(Dao &amp; Lim, 2022; Khan et al., 2022; Pascual-Ferrá, Alperstein, &amp; Barnett, 2022; Thomas et al., 2022; Zhu et al., 2022; Bodoque et al., 2019; Abunyewah, Gajendran, &amp; Maund, 2018; Hicks et al., 2017)</w:t>
      </w:r>
      <w:r w:rsidRPr="00AC1B06">
        <w:rPr>
          <w:rFonts w:cs="Calibri"/>
        </w:rPr>
        <w:fldChar w:fldCharType="end"/>
      </w:r>
      <w:r w:rsidRPr="00AC1B06">
        <w:rPr>
          <w:rFonts w:cs="Calibri"/>
        </w:rPr>
        <w:t xml:space="preserve">. Section 2.2.2 explored risk communication, highlighting themes of temporality and the focus within the disaster literature examining crisis communication. This section examined communication models to help conceptualise the flow of information and ideas between SYFR and their surrounding community. These models were used in the research questions to examine how SYFR design and develop their risk communication, with a focus on the role of the </w:t>
      </w:r>
      <w:r w:rsidR="00912954">
        <w:rPr>
          <w:rFonts w:cs="Calibri"/>
        </w:rPr>
        <w:t>D</w:t>
      </w:r>
      <w:r w:rsidR="004F7B90" w:rsidRPr="00AC1B06">
        <w:rPr>
          <w:rFonts w:cs="Calibri"/>
        </w:rPr>
        <w:t xml:space="preserve">eficit </w:t>
      </w:r>
      <w:r w:rsidR="00912954">
        <w:rPr>
          <w:rFonts w:cs="Calibri"/>
        </w:rPr>
        <w:t>M</w:t>
      </w:r>
      <w:r w:rsidR="004F7B90" w:rsidRPr="00AC1B06">
        <w:rPr>
          <w:rFonts w:cs="Calibri"/>
        </w:rPr>
        <w:t xml:space="preserve">odel </w:t>
      </w:r>
      <w:r w:rsidRPr="00AC1B06">
        <w:rPr>
          <w:rFonts w:cs="Calibri"/>
        </w:rPr>
        <w:t xml:space="preserve">and how </w:t>
      </w:r>
      <w:r w:rsidR="00912954">
        <w:rPr>
          <w:rFonts w:cs="Calibri"/>
        </w:rPr>
        <w:t>Protection Motivation Theory</w:t>
      </w:r>
      <w:r w:rsidR="00912954" w:rsidRPr="00AC1B06" w:rsidDel="00921B36">
        <w:rPr>
          <w:rFonts w:cs="Calibri"/>
        </w:rPr>
        <w:t xml:space="preserve"> </w:t>
      </w:r>
      <w:r w:rsidRPr="00AC1B06">
        <w:rPr>
          <w:rFonts w:cs="Calibri"/>
        </w:rPr>
        <w:t xml:space="preserve">(PMT) can help conceptualise how individuals use information to inform and shape behaviour change </w:t>
      </w:r>
      <w:r w:rsidRPr="00AC1B06">
        <w:rPr>
          <w:rFonts w:cs="Calibri"/>
        </w:rPr>
        <w:fldChar w:fldCharType="begin" w:fldLock="1"/>
      </w:r>
      <w:r w:rsidR="00974B75" w:rsidRPr="00AC1B06">
        <w:rPr>
          <w:rFonts w:cs="Calibri"/>
        </w:rPr>
        <w:instrText>ADDIN CSL_CITATION {"citationItems":[{"id":"ITEM-1","itemData":{"DOI":"10.1007/s11069-017-3111-0","ISSN":"15730840","abstract":"Communicating risk information is crucial in policy making regarding hazardous events. The influencing mechanism of risk information in generating behavioral reactions is considered in the context of fire risk. We investigate homeowners’ responses to risk information and how their cognitive processes influence their risk reduction behaviors by using data from three typical old Chinese building complexes. Risk information (including content, density, and observation), cognitive processes (including threat and coping appraisals), subjective knowledge, and risk reduction behaviors are considered in the research model. The cognitive processes and subjective knowledge, which mediate the risk information–risk reduction behavior relationship, are examined in this study. Using a path analytic framework, our results indicate that the effects of risk information on risk reduction behaviors are mediated by subjective knowledge and coping appraisal. Both the information content (the content of information received) and observed information (observing risk reduction behaviors that others have taken) play key roles in motivating risk reduction behaviors.","author":[{"dropping-particle":"","family":"Liu","given":"Tianzhuo","non-dropping-particle":"","parse-names":false,"suffix":""},{"dropping-particle":"","family":"Jiao","given":"Huifang","non-dropping-particle":"","parse-names":false,"suffix":""}],"container-title":"Natural Hazards","id":"ITEM-1","issued":{"date-parts":[["2018"]]},"page":"1461-1483","title":"How does information affect fire risk reduction behaviors? Mediating effects of cognitive processes and subjective knowledge","type":"article-journal","volume":"90"},"uris":["http://www.mendeley.com/documents/?uuid=b253cc58-5f59-4b2e-9c77-76be2b2788b4"]},{"id":"ITEM-2","itemData":{"DOI":"10.1061/(asce)nh.1527-6996.0000294","ISBN":"0000000167","ISSN":"1527-6988","abstract":"© 2018 American Society of Civil Engineers. Flooding is one of the most devastating and deadly natural disasters. Every year, millions of people are affected by flooding worldwide, with massive economic losses that average around $50 billion annually. Over the years, the frequency of floods and resulting economic losses have increased considerably around the world. This trend is projected to continue in the coming years due to factors such as population growth, increasing urbanization, infrastructure decay, and the potential impact of climate change. In recent years, there have been attempts by researchers to incorporate these factors in flood risk modeling. However, several challenges still exist. This paper aims to review current approaches to modeling the potential impact of climate change, population growth, increasing urbanization, and infrastructure decay on flood risk with the goal of identifying future research needs. We also examine the current approach to flood risk communication and public risk perception with the aim of identifying the challenges to effective risk communication. Issues identified for future research include uncertainty propagation, decoupling changes in flood patterns caused by climate change and those caused by other factors such as population and economic growth, consideration of infrastructure decay in future flood risk modeling, and consideration of the intangible benefits of risk mitigation.","author":[{"dropping-particle":"","family":"Salman","given":"Abdullahi M.","non-dropping-particle":"","parse-names":false,"suffix":""},{"dropping-particle":"","family":"Li","given":"Yue","non-dropping-particle":"","parse-names":false,"suffix":""}],"container-title":"Natural Hazards Review","id":"ITEM-2","issue":"3","issued":{"date-parts":[["2018"]]},"page":"1 - 21","title":"Flood Risk Assessment, Future Trend Modeling, and Risk Communication: A Review of Ongoing Research","type":"article-journal","volume":"19"},"uris":["http://www.mendeley.com/documents/?uuid=72f77961-1216-4228-ab43-b36cf7f2e2d4"]},{"id":"ITEM-3","itemData":{"DOI":"10.1007/s11069-018-3273-4","ISSN":"1573-0840","author":[{"dropping-particle":"","family":"Rollason","given":"E","non-dropping-particle":"","parse-names":false,"suffix":""},{"dropping-particle":"","family":"Bracken","given":"L.J.","non-dropping-particle":"","parse-names":false,"suffix":""},{"dropping-particle":"","family":"Hardy","given":"R.J.","non-dropping-particle":"","parse-names":false,"suffix":""},{"dropping-particle":"","family":"Large","given":"A.R.G.","non-dropping-particle":"","parse-names":false,"suffix":""}],"container-title":"Natural Hazards","id":"ITEM-3","issued":{"date-parts":[["2018"]]},"page":"1665-1686","publisher":"Springer Netherlands","title":"Rethinking flood risk communication","type":"article-journal","volume":"92"},"uris":["http://www.mendeley.com/documents/?uuid=a75b9d7a-46e6-41f1-a446-75375a9342c5"]},{"id":"ITEM-4","itemData":{"DOI":"10.1080/19371918.2021.2018082","ISSN":"1937190X","PMID":"34962187","abstract":"COVID-19 has been a global threat since November 2019 due to its high transmission rates and the issue of unwillingness to vaccinate. Effective risk management requires accurate health communication and public compliance with reccomended preventive behaviors. Therefore, we investigated predictors of COVID-19 preventive behavior intention based on Protection Motivation Theory (PMT) in addition to frequency of public’s use of and trust in a group of COVID-19 related information sources. This cross-sectional study was conducted on 458 adults in Turkey with online survey. Results showed that all PMT components (except perceived susceptibility) accounted for 49% of the variance in protection motivation and there was relationship between information sources and protection motivation. Overall, our study findings suggested that being more informed and having confidence in the feasibility (self-efficacy) and effectiveness (response efficacy) of preventive behaviors may particularly help slow the disease spread.","author":[{"dropping-particle":"","family":"Acar","given":"Didem","non-dropping-particle":"","parse-names":false,"suffix":""},{"dropping-particle":"","family":"Kıcali","given":"Ünzile Özge","non-dropping-particle":"","parse-names":false,"suffix":""}],"container-title":"Social Work in Public Health","id":"ITEM-4","issue":"5","issued":{"date-parts":[["2022"]]},"page":"419-434","title":"An Integrated Approach to COVID-19 Preventive Behaviour Intentions: Protection Motivation Theory, Information Acquisition, and Trust","type":"article-journal","volume":"37"},"uris":["http://www.mendeley.com/documents/?uuid=8abd72eb-8ae4-4af7-9da1-be357bf94394"]},{"id":"ITEM-5","itemData":{"DOI":"10.1016/j.ijdrr.2021.102759","ISSN":"22124209","abstract":"The response efficacy measures can be utilized to assess a person's beliefs as to whether the recommended action step will actually minimize the impact of a natural disaster such as a typhoon. This study examines the response efficacy of Filipinos under Typhoon Conson 2021 (Jolina) using the Extended Protection Motivation Theory (PMT) approach. To accurately measure the factors and their relationships to response efficacy, an online questionnaire was developed and distributed using a convenience sampling method to 388 Filipinos a few days before the typhoon hit the Philippines. Several latent variables in PMT such as understanding of typhoon, perceived severity, response cost, self-efficacy, and response efficacy together with some additional latent variables such as typhoon experience, geographical perspective, and perceived susceptibility were analyzed simultaneously. Structural Equation Modeling (SEM) showed that perceived severity of the typhoon and self-efficacy were the key factors affecting the response efficacy of Filipinos in preparing for typhoon Jolina. Moreover, it was also found that understanding typhoons, self-efficacy, perceived susceptibility, and past typhoon experience indirectly affected response efficacy. The results of this study could be utilized by future researchers and planners of natural disasters to find ways of enhancing the response efficacy in preparing for typhoons. Finally, the findings of this study can also be utilized as a theoretical framework for government worldwide in designing and implementing strategies and policies for natural disaster risk protection.","author":[{"dropping-particle":"","family":"Gumasing","given":"Ma Janice J.","non-dropping-particle":"","parse-names":false,"suffix":""},{"dropping-particle":"","family":"Prasetyo","given":"Yogi Tri","non-dropping-particle":"","parse-names":false,"suffix":""},{"dropping-particle":"","family":"Ong","given":"Ardvin Kester S.","non-dropping-particle":"","parse-names":false,"suffix":""},{"dropping-particle":"","family":"Nadlifatin","given":"Reny","non-dropping-particle":"","parse-names":false,"suffix":""}],"container-title":"International Journal of Disaster Risk Reduction","id":"ITEM-5","issued":{"date-parts":[["2022"]]},"page":"1 - 16","title":"Determination of factors affecting the response efficacy of Filipinos under Typhoon Conson 2021 (Jolina): An extended protection motivation theory approach","type":"article-journal","volume":"70"},"uris":["http://www.mendeley.com/documents/?uuid=df8c524a-2262-493d-9e98-6620d59903d4"]}],"mendeley":{"formattedCitation":"(Acar &amp; Kıcali, 2022; Gumasing et al., 2022; Liu &amp; Jiao, 2018; Rollason et al., 2018; Salman &amp; Li, 2018)","plainTextFormattedCitation":"(Acar &amp; Kıcali, 2022; Gumasing et al., 2022; Liu &amp; Jiao, 2018; Rollason et al., 2018; Salman &amp; Li, 2018)","previouslyFormattedCitation":"(Acar &amp; Kıcali, 2022; Gumasing et al., 2022; Liu &amp; Jiao, 2018; Rollason et al., 2018; Salman &amp; Li, 2018)"},"properties":{"noteIndex":0},"schema":"https://github.com/citation-style-language/schema/raw/master/csl-citation.json"}</w:instrText>
      </w:r>
      <w:r w:rsidRPr="00AC1B06">
        <w:rPr>
          <w:rFonts w:cs="Calibri"/>
        </w:rPr>
        <w:fldChar w:fldCharType="separate"/>
      </w:r>
      <w:r w:rsidRPr="00AC1B06">
        <w:rPr>
          <w:rFonts w:cs="Calibri"/>
          <w:noProof/>
        </w:rPr>
        <w:t>(Acar &amp; Kıcali, 2022; Gumasing et al., 2022; Liu &amp; Jiao, 2018; Rollason et al., 2018; Salman &amp; Li, 2018)</w:t>
      </w:r>
      <w:r w:rsidRPr="00AC1B06">
        <w:rPr>
          <w:rFonts w:cs="Calibri"/>
        </w:rPr>
        <w:fldChar w:fldCharType="end"/>
      </w:r>
      <w:r w:rsidRPr="00AC1B06">
        <w:rPr>
          <w:rFonts w:cs="Calibri"/>
        </w:rPr>
        <w:t>. This section continued to discuss risk communication, focusing on how it is done, with sections on understanding the audience and how risk communication is conducted on social media. The final section provided a grounding to Public Information Campaigns (PICs), including the scale and effectiveness of them, focusing on the temporality and measurement of effectiveness.</w:t>
      </w:r>
    </w:p>
    <w:p w14:paraId="7DD1C31A" w14:textId="77777777" w:rsidR="00787F73" w:rsidRPr="00AC1B06" w:rsidRDefault="00787F73" w:rsidP="00866155">
      <w:pPr>
        <w:rPr>
          <w:rFonts w:cs="Calibri"/>
        </w:rPr>
      </w:pPr>
    </w:p>
    <w:p w14:paraId="7336CB1B" w14:textId="6872AC5C" w:rsidR="00787F73" w:rsidRPr="00AC1B06" w:rsidRDefault="00742FB7" w:rsidP="00866155">
      <w:pPr>
        <w:rPr>
          <w:rFonts w:cs="Calibri"/>
        </w:rPr>
      </w:pPr>
      <w:r w:rsidRPr="00AC1B06">
        <w:rPr>
          <w:rFonts w:cs="Calibri"/>
        </w:rPr>
        <w:t xml:space="preserve">After the theoretical elements had been explored, the literature review progressed to discuss the contextual elements of the project. First, the literature review examined disasters (2.3) and provided a definition of disasters and some of the main themes, such as temporality as viewed in the </w:t>
      </w:r>
      <w:r w:rsidR="0038275C">
        <w:rPr>
          <w:rFonts w:cs="Calibri"/>
        </w:rPr>
        <w:t>Disaster Management Cycle</w:t>
      </w:r>
      <w:r w:rsidRPr="00AC1B06">
        <w:rPr>
          <w:rFonts w:cs="Calibri"/>
        </w:rPr>
        <w:t xml:space="preserve">, the need to understand the community with a focus on vulnerability, and changing institutional logics associated with the different phases of the </w:t>
      </w:r>
      <w:r w:rsidR="0038275C">
        <w:rPr>
          <w:rFonts w:cs="Calibri"/>
        </w:rPr>
        <w:t>Disaster Management Cycle</w:t>
      </w:r>
      <w:r w:rsidRPr="00AC1B06">
        <w:rPr>
          <w:rFonts w:cs="Calibri"/>
        </w:rPr>
        <w:t xml:space="preserve">. </w:t>
      </w:r>
    </w:p>
    <w:p w14:paraId="181AC505" w14:textId="77777777" w:rsidR="00787F73" w:rsidRPr="00AC1B06" w:rsidRDefault="00787F73" w:rsidP="00866155">
      <w:pPr>
        <w:rPr>
          <w:rFonts w:cs="Calibri"/>
        </w:rPr>
      </w:pPr>
    </w:p>
    <w:p w14:paraId="56050E2F" w14:textId="77777777" w:rsidR="00787F73" w:rsidRPr="00AC1B06" w:rsidRDefault="00742FB7" w:rsidP="00866155">
      <w:pPr>
        <w:rPr>
          <w:rFonts w:cs="Calibri"/>
        </w:rPr>
      </w:pPr>
      <w:r w:rsidRPr="00AC1B06">
        <w:rPr>
          <w:rFonts w:cs="Calibri"/>
        </w:rPr>
        <w:t xml:space="preserve">This led to the main conceptual topic of this research: community resilience (2.4). This section provided definitions for community and resilience, which are both contested terms. This led to a discussion of community resilience, with the literature noting that there are 9 main elements and 19 sub-elements associated with community resilience </w:t>
      </w:r>
      <w:r w:rsidRPr="00AC1B06">
        <w:rPr>
          <w:rFonts w:cs="Calibri"/>
        </w:rPr>
        <w:fldChar w:fldCharType="begin" w:fldLock="1"/>
      </w:r>
      <w:r w:rsidR="00974B75" w:rsidRPr="00AC1B06">
        <w:rPr>
          <w:rFonts w:cs="Calibri"/>
        </w:rPr>
        <w:instrText>ADDIN CSL_CITATION {"citationItems":[{"id":"ITEM-1","itemData":{"DOI":"10.1371/currents.dis.db775aff25efc5ac4f0660ad9c9f7db2","ISSN":"2157-3999","abstract":"Background: Government, industry and charitable organisations have an increasing focus on programs intended to support community resilience to disasters. But has consensus been reached as to what defines 'community resilience' and what its core characteristics are? Methods: We undertook a systematic literature review of definitions of community resilience related to disasters. We conducted an inductive thematic analysis of the definitions and descriptions that we identified, in order to determine the proposed characteristics of community resilience prior to, during and after a disaster. Results: We identified 80 relevant papers. There was no evidence of a common, agreed definition of community resilience. In spite of this, evidence was found of nine core elements of community resilience that were common among the definitions. The core elements were: local knowledge, community networks and relationships, communication, health, governance and leadership, resources, economic investment, preparedness, and mental outlook. Within these core elements, we identified 19 sub-elements linked to community resilience. Conclusion: Our findings show that community resilience remains an amorphous concept that is understood and applied differently by different research groups. Yet in spite of the differences in conception and application, there are well-understood elements that are widely proposed as important for a resilient community. A focus on these individual elements may be more productive than attempting to define and study community resilience as a distinct concept. Tweet Patel SS, Rogers MB, Amlôt R, Rubin GJ. What Do We Mean by 'Community Resilience'? A","author":[{"dropping-particle":"","family":"Patel","given":"Sonny S","non-dropping-particle":"","parse-names":false,"suffix":""},{"dropping-particle":"","family":"Rogers","given":"M Brooke","non-dropping-particle":"","parse-names":false,"suffix":""},{"dropping-particle":"","family":"Amlôt","given":"Richard","non-dropping-particle":"","parse-names":false,"suffix":""},{"dropping-particle":"","family":"Rubin","given":"G James","non-dropping-particle":"","parse-names":false,"suffix":""}],"container-title":"PLoS currents","id":"ITEM-1","issued":{"date-parts":[["2017"]]},"page":"1-22","title":"What Do We Mean by 'Community Resilience'? A Systematic Literature Review of How It Is Defined in the Literature","type":"article-journal","volume":"9"},"uris":["http://www.mendeley.com/documents/?uuid=8b7e845a-0cc5-4c23-b38e-826bdf09e29d"]}],"mendeley":{"formattedCitation":"(Patel et al., 2017)","plainTextFormattedCitation":"(Patel et al., 2017)","previouslyFormattedCitation":"(Patel et al., 2017)"},"properties":{"noteIndex":0},"schema":"https://github.com/citation-style-language/schema/raw/master/csl-citation.json"}</w:instrText>
      </w:r>
      <w:r w:rsidRPr="00AC1B06">
        <w:rPr>
          <w:rFonts w:cs="Calibri"/>
        </w:rPr>
        <w:fldChar w:fldCharType="separate"/>
      </w:r>
      <w:r w:rsidRPr="00AC1B06">
        <w:rPr>
          <w:rFonts w:cs="Calibri"/>
          <w:noProof/>
        </w:rPr>
        <w:t>(Patel et al., 2017)</w:t>
      </w:r>
      <w:r w:rsidRPr="00AC1B06">
        <w:rPr>
          <w:rFonts w:cs="Calibri"/>
        </w:rPr>
        <w:fldChar w:fldCharType="end"/>
      </w:r>
      <w:r w:rsidRPr="00AC1B06">
        <w:rPr>
          <w:rFonts w:cs="Calibri"/>
        </w:rPr>
        <w:t xml:space="preserve">, highlighting the multi-faceted nature of the topic, and indicating the challenge to organisations who work within this arena, such as SYFR. This section discussed the literature surrounding organisations and their role within community resilience by discussing social capital and the need to develop linking social capital prior to an event in order to best serve and support the community through a disaster event </w:t>
      </w:r>
      <w:r w:rsidRPr="00AC1B06">
        <w:rPr>
          <w:rFonts w:cs="Calibri"/>
        </w:rPr>
        <w:fldChar w:fldCharType="begin" w:fldLock="1"/>
      </w:r>
      <w:r w:rsidRPr="00AC1B06">
        <w:rPr>
          <w:rFonts w:cs="Calibri"/>
        </w:rPr>
        <w:instrText>ADDIN CSL_CITATION {"citationItems":[{"id":"ITEM-1","itemData":{"author":[{"dropping-particle":"","family":"Ludin","given":"Salizar M.","non-dropping-particle":"","parse-names":false,"suffix":""},{"dropping-particle":"","family":"Rohaizat","given":"Munirah","non-dropping-particle":"","parse-names":false,"suffix":""},{"dropping-particle":"","family":"Arbon","given":"Paul","non-dropping-particle":"","parse-names":false,"suffix":""}],"container-title":"Health and Social Care in the Community","id":"ITEM-1","issue":"3","issued":{"date-parts":[["2019"]]},"page":"621 - 631","title":"The association between social cohesion and community disaster resilience: A cross‐sectional study","type":"article-journal","volume":"27"},"uris":["http://www.mendeley.com/documents/?uuid=818d7348-40a6-4380-acb5-bd2c514990f2"]},{"id":"ITEM-2","itemData":{"DOI":"10.1007/s13280-021-01678-9","ISBN":"1328002101","ISSN":"16547209","PMID":"35015248","abstract":"Social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-2","issue":"6","issued":{"date-parts":[["2022"]]},"page":"1371-1387","title":"Building community resilience in a context of climate change: The role of social capital","type":"article-journal","volume":"51"},"uris":["http://www.mendeley.com/documents/?uuid=811839c2-2eda-4cbc-80b5-6bfc7c4a8392"]},{"id":"ITEM-3","itemData":{"author":[{"dropping-particle":"","family":"Sanyal","given":"Saswata","non-dropping-particle":"","parse-names":false,"suffix":""},{"dropping-particle":"","family":"Routray","given":"Jayant K.","non-dropping-particle":"","parse-names":false,"suffix":""}],"container-title":"International Journal of Disaster Risk Reduction","id":"ITEM-3","issued":{"date-parts":[["2016"]]},"page":"101-111","title":"Social capital for disaster risk reduction and management with empirical evidences from Sundarbans of India","type":"article-journal","volume":"19"},"uris":["http://www.mendeley.com/documents/?uuid=d8bcf27c-1efc-4c15-8204-cd8b37719dd2"]}],"mendeley":{"formattedCitation":"(Carmen et al., 2022; Ludin, Rohaizat, &amp; Arbon, 2019; Sanyal &amp; Routray, 2016)","plainTextFormattedCitation":"(Carmen et al., 2022; Ludin, Rohaizat, &amp; Arbon, 2019; Sanyal &amp; Routray, 2016)","previouslyFormattedCitation":"(Carmen et al., 2022; Ludin, Rohaizat, &amp; Arbon, 2019; Sanyal &amp; Routray, 2016)"},"properties":{"noteIndex":0},"schema":"https://github.com/citation-style-language/schema/raw/master/csl-citation.json"}</w:instrText>
      </w:r>
      <w:r w:rsidRPr="00AC1B06">
        <w:rPr>
          <w:rFonts w:cs="Calibri"/>
        </w:rPr>
        <w:fldChar w:fldCharType="separate"/>
      </w:r>
      <w:r w:rsidRPr="00AC1B06">
        <w:rPr>
          <w:rFonts w:cs="Calibri"/>
          <w:noProof/>
        </w:rPr>
        <w:t xml:space="preserve">(Carmen et al., 2022; Ludin, Rohaizat, </w:t>
      </w:r>
      <w:r w:rsidRPr="00AC1B06">
        <w:rPr>
          <w:rFonts w:cs="Calibri"/>
          <w:noProof/>
        </w:rPr>
        <w:lastRenderedPageBreak/>
        <w:t>&amp; Arbon, 2019; Sanyal &amp; Routray, 2016)</w:t>
      </w:r>
      <w:r w:rsidRPr="00AC1B06">
        <w:rPr>
          <w:rFonts w:cs="Calibri"/>
        </w:rPr>
        <w:fldChar w:fldCharType="end"/>
      </w:r>
      <w:r w:rsidRPr="00AC1B06">
        <w:rPr>
          <w:rFonts w:cs="Calibri"/>
        </w:rPr>
        <w:t xml:space="preserve">. This section touched on the wider political neoliberal agenda, and the growing role of disaster capitalism within the UK </w:t>
      </w:r>
      <w:r w:rsidRPr="00AC1B06">
        <w:rPr>
          <w:rFonts w:cs="Calibri"/>
        </w:rPr>
        <w:fldChar w:fldCharType="begin" w:fldLock="1"/>
      </w:r>
      <w:r w:rsidR="00974B75" w:rsidRPr="00AC1B06">
        <w:rPr>
          <w:rFonts w:cs="Calibri"/>
        </w:rPr>
        <w:instrText>ADDIN CSL_CITATION {"citationItems":[{"id":"ITEM-1","itemData":{"DOI":"10.1108/DPM-02-2018-0064","ISSN":"09653562","abstract":"Purpose The purpose of this paper is to analyze the relationships between neoliberal institutional management of the 2009 L?Aquila earthquake and the local dwelling practices, which consequently originated in the new urban layout. Design/methodology/approach It presents itself as a post-catastrophe ethnography carried out from a specific approach, that is, the street ethnography that consists of collecting the practices and discourses of inhabitants, administrators, experts and commercial operators, which take place on or around the street. Findings Illustrating the stages from the declaration of the state of emergency to the expertise-proposed reconstruction models, it shows the differences between resilient strategies and policies of urban management and resistant dwelling practices that are analyzed progressively focusing on a particular social group: the teenagers of the alleys. Research limitations/implications Descending in the alleys means to take a micro-sight that ables to identify present living paths. Practical implications Based on a long fieldwork, it bridges the gap between ?theories? and practices, and it highlights those fields of action that despite being dominated by wide-ranging disaster management and urban planning logics bring out the work of social life in reweaving its threads in contexts of crisis. Social implications Paying attention to a social portion that often escapes from ethnographic investigation, this study has the merit of dealing with teenagers in this kind of situation. Originality/value Indeed, this part of society and its creative ?culture? receive the focus of a few studies, especially in case of catastrophes.","author":[{"dropping-particle":"","family":"Ciccaglione","given":"Rita","non-dropping-particle":"","parse-names":false,"suffix":""}],"container-title":"Disaster Prevention and Management","id":"ITEM-1","issue":"4","issued":{"date-parts":[["2019"]]},"page":"501-512","title":"Resilience and resisting resilience: ethnographies in neoliberal L’Aquila post-earthquake","type":"article-journal","volume":"28"},"uris":["http://www.mendeley.com/documents/?uuid=44fe24b5-bbae-47f4-ae36-3cef41ca7025"]}],"mendeley":{"formattedCitation":"(Ciccaglione, 2019)","plainTextFormattedCitation":"(Ciccaglione, 2019)","previouslyFormattedCitation":"(Ciccaglione, 2019)"},"properties":{"noteIndex":0},"schema":"https://github.com/citation-style-language/schema/raw/master/csl-citation.json"}</w:instrText>
      </w:r>
      <w:r w:rsidRPr="00AC1B06">
        <w:rPr>
          <w:rFonts w:cs="Calibri"/>
        </w:rPr>
        <w:fldChar w:fldCharType="separate"/>
      </w:r>
      <w:r w:rsidRPr="00AC1B06">
        <w:rPr>
          <w:rFonts w:cs="Calibri"/>
          <w:noProof/>
        </w:rPr>
        <w:t>(Ciccaglione, 2019)</w:t>
      </w:r>
      <w:r w:rsidRPr="00AC1B06">
        <w:rPr>
          <w:rFonts w:cs="Calibri"/>
        </w:rPr>
        <w:fldChar w:fldCharType="end"/>
      </w:r>
      <w:r w:rsidRPr="00AC1B06">
        <w:rPr>
          <w:rFonts w:cs="Calibri"/>
        </w:rPr>
        <w:t>.</w:t>
      </w:r>
    </w:p>
    <w:p w14:paraId="1AFDF1D9" w14:textId="77777777" w:rsidR="00787F73" w:rsidRPr="00AC1B06" w:rsidRDefault="00787F73" w:rsidP="00866155">
      <w:pPr>
        <w:rPr>
          <w:rFonts w:cs="Calibri"/>
        </w:rPr>
      </w:pPr>
    </w:p>
    <w:p w14:paraId="1B33E455" w14:textId="77777777" w:rsidR="00787F73" w:rsidRPr="00AC1B06" w:rsidRDefault="00742FB7" w:rsidP="00866155">
      <w:pPr>
        <w:rPr>
          <w:rFonts w:cs="Calibri"/>
        </w:rPr>
      </w:pPr>
      <w:r w:rsidRPr="00AC1B06">
        <w:rPr>
          <w:rFonts w:cs="Calibri"/>
        </w:rPr>
        <w:t xml:space="preserve">Section 2.5 examined social media and provided the key definitions as well as a discussion of the digital divide, discussing some of the challenges associated with not being able to access or engage online. This section also explored the literature surrounding individual and community uses of social media, highlighting some of the negative aspects of social media. The final social media section examined the role of social media in disasters, and the previous focus in the literature on its use in the response and recovery phases of a disaster. </w:t>
      </w:r>
    </w:p>
    <w:p w14:paraId="30CB43D5" w14:textId="77777777" w:rsidR="00787F73" w:rsidRPr="00AC1B06" w:rsidRDefault="00787F73" w:rsidP="00866155">
      <w:pPr>
        <w:rPr>
          <w:rFonts w:cs="Calibri"/>
        </w:rPr>
      </w:pPr>
    </w:p>
    <w:p w14:paraId="00F609A4" w14:textId="77777777" w:rsidR="00787F73" w:rsidRPr="00AC1B06" w:rsidRDefault="00742FB7" w:rsidP="00866155">
      <w:pPr>
        <w:rPr>
          <w:rFonts w:cs="Calibri"/>
        </w:rPr>
      </w:pPr>
      <w:r w:rsidRPr="00AC1B06">
        <w:rPr>
          <w:rFonts w:cs="Calibri"/>
        </w:rPr>
        <w:t xml:space="preserve">The sixth and final section in the literature review examined the Fire and Rescue service, examining the key institutional drivers which influence their policies and practices, such as the Bain Review (2002), the Fire and Rescue Service Act (2004), and the Civil Contingencies Act (2004). This section presented associations with a wider theme of neoliberalism within UK politics and the growing influence of New Public Management (NPM) on the public sector. This section examined themes of responsibility, collaboration, and the signs of a diverse and shifting institutional landscape. The contextual grounding from the literature review highlighted some themes across all the topics, such as temporality, the role of scale, responsibility, and agency. </w:t>
      </w:r>
    </w:p>
    <w:p w14:paraId="79DC8216" w14:textId="77777777" w:rsidR="00787F73" w:rsidRPr="00AC1B06" w:rsidRDefault="00787F73" w:rsidP="00866155">
      <w:pPr>
        <w:rPr>
          <w:rFonts w:cs="Calibri"/>
        </w:rPr>
      </w:pPr>
    </w:p>
    <w:p w14:paraId="1B7777F6" w14:textId="77777777" w:rsidR="00787F73" w:rsidRDefault="00742FB7" w:rsidP="00866155">
      <w:pPr>
        <w:rPr>
          <w:rFonts w:cs="Calibri"/>
        </w:rPr>
      </w:pPr>
      <w:r w:rsidRPr="00AC1B06">
        <w:rPr>
          <w:rFonts w:cs="Calibri"/>
        </w:rPr>
        <w:t xml:space="preserve">Chapter 3 focused on methodology and provided a guide of how and why the research was conducted. This chapter began by describing the philosophical standpoint of the project and researcher, focusing on interpretivism and how this influenced how the topics were analysed and examined </w:t>
      </w:r>
      <w:r w:rsidRPr="00AC1B06">
        <w:rPr>
          <w:rFonts w:cs="Calibri"/>
        </w:rPr>
        <w:fldChar w:fldCharType="begin" w:fldLock="1"/>
      </w:r>
      <w:r w:rsidR="00974B75" w:rsidRPr="00AC1B06">
        <w:rPr>
          <w:rFonts w:cs="Calibri"/>
        </w:rPr>
        <w:instrText>ADDIN CSL_CITATION {"citationItems":[{"id":"ITEM-1","itemData":{"author":[{"dropping-particle":"","family":"Bechara","given":"John P","non-dropping-particle":"","parse-names":false,"suffix":""},{"dropping-particle":"","family":"Ven","given":"Andrew H","non-dropping-particle":"Van De","parse-names":false,"suffix":""}],"chapter-number":"2","container-title":"Engaged Scholarship: A Guide for Organizational and Social Research","editor":[{"dropping-particle":"","family":"Ven","given":"Andrew H","non-dropping-particle":"Van De","parse-names":false,"suffix":""}],"id":"ITEM-1","issued":{"date-parts":[["2007"]]},"page":"36-70","publisher":"Oxford University Press","publisher-place":"Oxford","title":"Philosophy of Science Underlying Engaged Scholarship*","type":"chapter"},"uris":["http://www.mendeley.com/documents/?uuid=67dec568-d096-43b0-85a7-08cf93a8eac0"]},{"id":"ITEM-2","itemData":{"ISBN":"0199689458","abstract":"Fifth edition. \"This best-selling introduction to research methods provides students and researchers with unrivalled coverage of both quantitative and qualitative methods, making it invaluable for anyone embarking on social research. Bridging the gap between theory and practice, Social Research Methods is packed full of engaging examples and practical tips to equip students with the tools and knowledge needed for them to complete their own research projects. In addition to providing practical advice, Bryman deftly explores the nature of social research and the wider issues impinging on it.\" -- Provided by publisher. The research process -- Quantitative research -- Qualitative research -- Mixed methods research and writing up.","author":[{"dropping-particle":"","family":"Bryman","given":"Alan.","non-dropping-particle":"","parse-names":false,"suffix":""}],"edition":"5th","id":"ITEM-2","issued":{"date-parts":[["2016"]]},"publisher":"Oxford University Press","publisher-place":"Oxford","title":"Social research methods","type":"book"},"uris":["http://www.mendeley.com/documents/?uuid=95b0a038-2e81-3fd8-bae3-09bc0ecf7a2c"]},{"id":"ITEM-3","itemData":{"DOI":"10.1111/cobi.12326","ISSN":"08888892","abstract":"Abstract: Natural scientists are increasingly interested in social research because they recognize that conservation problems are commonly social problems. Interpreting social research, however, requires at least a basic understanding of the philosophical principles and theoretical assumptions of the discipline, which are embedded in the design of social research. Natural scientists who engage in social science but are unfamiliar with these principles and assumptions can misinterpret their results. We developed a guide to assist natural scientists in understanding the philosophical basis of social science to support the meaningful interpretation of social research outcomes. The 3 fundamental elements of research are ontology, what exists in the human world that researchers can acquire knowledge about; epistemology, how knowledge is created; and philosophical perspective, the philosophical orientation of the researcher that guides her or his action. Many elements of the guide also apply to the natural sciences. Natural scientists can use the guide to assist them in interpreting social science research to determine how the ontological position of the researcher can influence the nature of the research; how the epistemological position can be used to support the legitimacy of different types of knowledge; and how philosophical perspective can shape the researcher’s choice of methods and affect interpretation, communication, and application of results. The use of this guide can also support and promote the effective integration of the natural and social sciences to generate more insightful and relevant conservation research outcomes.","author":[{"dropping-particle":"","family":"Moon","given":"Katie","non-dropping-particle":"","parse-names":false,"suffix":""},{"dropping-particle":"","family":"Blackman","given":"Deborah","non-dropping-particle":"","parse-names":false,"suffix":""}],"container-title":"Conservation Biology","id":"ITEM-3","issue":"5","issued":{"date-parts":[["2014","10","1"]]},"page":"1167-1177","title":"A Guide to Understanding Social Science Research for Natural Scientists","type":"article-journal","volume":"28"},"uris":["http://www.mendeley.com/documents/?uuid=6b40e2b1-1646-3904-ac30-5c410eb30472"]},{"id":"ITEM-4","itemData":{"DOI":"10.1080/09523367.2012.743996","ISBN":"9780273716860","ISSN":"09523367","abstract":"A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leader.The book is written for students on undergraduate and postgraduate degree programmes in business, or business-related disciplines.The following online resources support the text:For Students: self-assessment questions, glossary, revision “flashcards”, tutorials for SPSS and NVivo, plus Smarter Online Searching Guide 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hapter-number":"4","container-title":"Research methods for business students","edition":"Eighth","id":"ITEM-4","issued":{"date-parts":[["2019"]]},"page":"128 - 170","publisher":"Pearson Eduction Limited","publisher-place":"Harlow","title":"Understanding research philosophy and approaches to theory development","type":"chapter"},"uris":["http://www.mendeley.com/documents/?uuid=33ddb5a7-9d6f-4773-8236-6d048f22a52e"]}],"mendeley":{"formattedCitation":"(Saunders, Lewis, &amp; Thornhill, 2019; Bryman, 2016; Moon &amp; Blackman, 2014; Bechara &amp; Van De Ven, 2007)","plainTextFormattedCitation":"(Saunders, Lewis, &amp; Thornhill, 2019; Bryman, 2016; Moon &amp; Blackman, 2014; Bechara &amp; Van De Ven, 2007)","previouslyFormattedCitation":"(Saunders, Lewis, &amp; Thornhill, 2019; Bryman, 2016; Moon &amp; Blackman, 2014; Bechara &amp; Van De Ven, 2007)"},"properties":{"noteIndex":0},"schema":"https://github.com/citation-style-language/schema/raw/master/csl-citation.json"}</w:instrText>
      </w:r>
      <w:r w:rsidRPr="00AC1B06">
        <w:rPr>
          <w:rFonts w:cs="Calibri"/>
        </w:rPr>
        <w:fldChar w:fldCharType="separate"/>
      </w:r>
      <w:r w:rsidRPr="00AC1B06">
        <w:rPr>
          <w:rFonts w:cs="Calibri"/>
          <w:iCs/>
          <w:noProof/>
        </w:rPr>
        <w:t>(Saunders, Lewis, &amp; Thornhill, 2019; Bryman, 2016; Moon &amp; Blackman, 2014; Bechara &amp; Van De Ven, 2007)</w:t>
      </w:r>
      <w:r w:rsidRPr="00AC1B06">
        <w:rPr>
          <w:rFonts w:cs="Calibri"/>
        </w:rPr>
        <w:fldChar w:fldCharType="end"/>
      </w:r>
      <w:r w:rsidRPr="00AC1B06">
        <w:rPr>
          <w:rFonts w:cs="Calibri"/>
        </w:rPr>
        <w:t xml:space="preserve">. This led into a discussion of the research strategy which focused on engaged scholarship </w:t>
      </w:r>
      <w:r w:rsidRPr="00AC1B06">
        <w:rPr>
          <w:rFonts w:cs="Calibri"/>
        </w:rPr>
        <w:fldChar w:fldCharType="begin" w:fldLock="1"/>
      </w:r>
      <w:r w:rsidRPr="00AC1B06">
        <w:rPr>
          <w:rFonts w:cs="Calibri"/>
        </w:rPr>
        <w:instrText>ADDIN CSL_CITATION {"citationItems":[{"id":"ITEM-1","itemData":{"DOI":"10.1086/706266","ISSN":"1948822X","abstract":"The concept of engaged scholarship has garnered significant attention across numerous scientific disciplines. Engaged scholarship can be conceptualized as both a method centered on cocreating and applying new knowledge and a movement focused on prioritizing community identification of needs and social problem-solving strategies. In an effort to position social work researchers for engaged scholarship to promote public impact, we provide an overview of the following engaged-scholarship mechanisms: (a) community-based participatory research, (b) participatory action research, (c) practice-based research networks, (d) translational research, (e) transdisciplinary scientific collaborations, (f) systemic evaluation, and (g) developmental evaluation. We address the contextual factors that may influence the extent to which social work researchers can successfully pursue engaged scholarship and conclude by explicating a plausible relationship between engaged scholarship and public impact scholarship. Specifically, we apply the diffusion of innovations model and community dissonance theory to conceptually position engaged scholarship as a vehicle for promoting and optimizing public impact scholarship.","author":[{"dropping-particle":"","family":"Jensen","given":"Todd M.","non-dropping-particle":"","parse-names":false,"suffix":""},{"dropping-particle":"","family":"Kainz","given":"Kirsten","non-dropping-particle":"","parse-names":false,"suffix":""}],"container-title":"Journal of the Society for Social Work and Research","id":"ITEM-1","issue":"4","issued":{"date-parts":[["2019"]]},"page":"591-609","title":"Positioning social work researchers for engaged scholarship to promote public impact","type":"article-journal","volume":"10"},"uris":["http://www.mendeley.com/documents/?uuid=07b385ce-112d-4c2f-8976-5c04d4f2c6a1"]}],"mendeley":{"formattedCitation":"(Jensen &amp; Kainz, 2019)","plainTextFormattedCitation":"(Jensen &amp; Kainz, 2019)","previouslyFormattedCitation":"(Jensen &amp; Kainz, 2019)"},"properties":{"noteIndex":0},"schema":"https://github.com/citation-style-language/schema/raw/master/csl-citation.json"}</w:instrText>
      </w:r>
      <w:r w:rsidRPr="00AC1B06">
        <w:rPr>
          <w:rFonts w:cs="Calibri"/>
        </w:rPr>
        <w:fldChar w:fldCharType="separate"/>
      </w:r>
      <w:r w:rsidRPr="00AC1B06">
        <w:rPr>
          <w:rFonts w:cs="Calibri"/>
          <w:noProof/>
        </w:rPr>
        <w:t>(Jensen &amp; Kainz, 2019)</w:t>
      </w:r>
      <w:r w:rsidRPr="00AC1B06">
        <w:rPr>
          <w:rFonts w:cs="Calibri"/>
        </w:rPr>
        <w:fldChar w:fldCharType="end"/>
      </w:r>
      <w:r w:rsidRPr="00AC1B06">
        <w:rPr>
          <w:rFonts w:cs="Calibri"/>
        </w:rPr>
        <w:t xml:space="preserve"> and a transdisciplinary approach. The transdisciplinary approach was possible due to the collaboration with SYFR, combining both academic and practitioner practices and understanding </w:t>
      </w:r>
      <w:r w:rsidRPr="00AC1B06">
        <w:rPr>
          <w:rFonts w:cs="Calibri"/>
        </w:rPr>
        <w:fldChar w:fldCharType="begin" w:fldLock="1"/>
      </w:r>
      <w:r w:rsidRPr="00AC1B06">
        <w:rPr>
          <w:rFonts w:cs="Calibri"/>
        </w:rPr>
        <w:instrText>ADDIN CSL_CITATION {"citationItems":[{"id":"ITEM-1","itemData":{"DOI":"10.1002/sd.2281","author":[{"dropping-particle":"","family":"Kruijf","given":"Joanne Vinke-de","non-dropping-particle":"","parse-names":false,"suffix":""},{"dropping-particle":"","family":"Verbrugge","given":"Laura","non-dropping-particle":"","parse-names":false,"suffix":""},{"dropping-particle":"","family":"Schröter","given":"Barbara","non-dropping-particle":"","parse-names":false,"suffix":""},{"dropping-particle":"","family":"Fliervoet","given":"Jan","non-dropping-particle":"","parse-names":false,"suffix":""},{"dropping-particle":"","family":"Henze","given":"Jennifer","non-dropping-particle":"","parse-names":false,"suffix":""},{"dropping-particle":"","family":"Albert","given":"Christian","non-dropping-particle":"","parse-names":false,"suffix":""}],"container-title":"Sustainable Development","id":"ITEM-1","issue":"2","issued":{"date-parts":[["2022"]]},"page":"393-405","title":"Knowledge co-production and researcher roles in transdisciplinary environmental management projects","type":"article-journal","volume":"30"},"uris":["http://www.mendeley.com/documents/?uuid=1176cab8-7afa-49d2-b49e-808c2ad5ad43"]}],"mendeley":{"formattedCitation":"(Kruijf et al., 2022)","plainTextFormattedCitation":"(Kruijf et al., 2022)","previouslyFormattedCitation":"(Kruijf et al., 2022)"},"properties":{"noteIndex":0},"schema":"https://github.com/citation-style-language/schema/raw/master/csl-citation.json"}</w:instrText>
      </w:r>
      <w:r w:rsidRPr="00AC1B06">
        <w:rPr>
          <w:rFonts w:cs="Calibri"/>
        </w:rPr>
        <w:fldChar w:fldCharType="separate"/>
      </w:r>
      <w:r w:rsidRPr="00AC1B06">
        <w:rPr>
          <w:rFonts w:cs="Calibri"/>
          <w:noProof/>
        </w:rPr>
        <w:t>(Kruijf et al., 2022)</w:t>
      </w:r>
      <w:r w:rsidRPr="00AC1B06">
        <w:rPr>
          <w:rFonts w:cs="Calibri"/>
        </w:rPr>
        <w:fldChar w:fldCharType="end"/>
      </w:r>
      <w:r w:rsidRPr="00AC1B06">
        <w:rPr>
          <w:rFonts w:cs="Calibri"/>
        </w:rPr>
        <w:t xml:space="preserve">, and is viewed as a way to conduct research which works towards society’s grand challenges </w:t>
      </w:r>
      <w:r w:rsidRPr="00AC1B06">
        <w:rPr>
          <w:rFonts w:cs="Calibri"/>
        </w:rPr>
        <w:fldChar w:fldCharType="begin" w:fldLock="1"/>
      </w:r>
      <w:r w:rsidR="00974B75" w:rsidRPr="00AC1B06">
        <w:rPr>
          <w:rFonts w:cs="Calibri"/>
        </w:rPr>
        <w:instrText>ADDIN CSL_CITATION {"citationItems":[{"id":"ITEM-1","itemData":{"author":[{"dropping-particle":"","family":"Cunliffe","given":"Ann L.","non-dropping-particle":"","parse-names":false,"suffix":""},{"dropping-particle":"","family":"Pavlovich","given":"Kathryn","non-dropping-particle":"","parse-names":false,"suffix":""}],"container-title":"Academy of Management Perspectives","id":"ITEM-1","issue":"3","issued":{"date-parts":[["2022"]]},"page":"879-895","title":"Making Our Work Matter: From Spectator To and Management Studies","type":"article-journal","volume":"36"},"uris":["http://www.mendeley.com/documents/?uuid=76313b30-475b-48ee-a88e-69614d719385"]},{"id":"ITEM-2","itemData":{"DOI":"10.5465/amp.2020.0159","ISSN":"15589080","abstract":"There is growing interest among management scholars, policy-makers, and practitioners in understanding and addressing deep-seated societal problems, often termed “wicked problems,” “grand challenges,” or “messes.” An expansive body of research and practice-based literature has appeared, with little evidence to date of synthesis across research streams, tools, and practices. We also note a bifurcation between management scholarship and practice in this area that hinders cumulative learning and cross-fertilization to inform practice and policy questions. In this paper, we introduce the RAFFT framework, composed of five interrelated themes that underpin messiness (rules, agency, feedback, frames and tensions) and are grounded in knowledge triangulated across thought worlds from research and practice. Supported by illustrative examples from research and practice, we present this heuristic framework as both a diagnostic tool and an intervention repertoire. We hope that this framework can serve as a starting point for further development by researchers and practitioners working more closely together to build cumulative knowledge.","author":[{"dropping-particle":"","family":"Klag","given":"Malvina","non-dropping-particle":"","parse-names":false,"suffix":""},{"dropping-particle":"","family":"Langley","given":"Ann","non-dropping-particle":"","parse-names":false,"suffix":""}],"container-title":"Academy of Management Perspectives","id":"ITEM-2","issue":"1","issued":{"date-parts":[["2023"]]},"page":"37-54","title":"When Everything Interacts With Everything Else: Intervening in Messes","type":"article-journal","volume":"37"},"uris":["http://www.mendeley.com/documents/?uuid=fd7248dd-6f65-4f22-8100-85710d4e6dfc"]},{"id":"ITEM-3","itemData":{"author":[{"dropping-particle":"","family":"Lawrence","given":"Mark G","non-dropping-particle":"","parse-names":false,"suffix":""},{"dropping-particle":"","family":"Williams","given":"Stephen","non-dropping-particle":"","parse-names":false,"suffix":""},{"dropping-particle":"","family":"Nanz","given":"Patrizia","non-dropping-particle":"","parse-names":false,"suffix":""},{"dropping-particle":"","family":"Renn","given":"Ortwin","non-dropping-particle":"","parse-names":false,"suffix":""}],"container-title":"One Earth","id":"ITEM-3","issue":"1","issued":{"date-parts":[["2022"]]},"page":"44-61.","title":"Characteristics, potentials, and challenges of transdisciplinary research","type":"article-journal","volume":"5"},"uris":["http://www.mendeley.com/documents/?uuid=cfeb06b1-c46b-48d6-88eb-c2bb4aefa648"]}],"mendeley":{"formattedCitation":"(Klag &amp; Langley, 2023; Cunliffe &amp; Pavlovich, 2022; Lawrence et al., 2022)","plainTextFormattedCitation":"(Klag &amp; Langley, 2023; Cunliffe &amp; Pavlovich, 2022; Lawrence et al., 2022)","previouslyFormattedCitation":"(Klag &amp; Langley, 2023; Cunliffe &amp; Pavlovich, 2022; Lawrence et al., 2022)"},"properties":{"noteIndex":0},"schema":"https://github.com/citation-style-language/schema/raw/master/csl-citation.json"}</w:instrText>
      </w:r>
      <w:r w:rsidRPr="00AC1B06">
        <w:rPr>
          <w:rFonts w:cs="Calibri"/>
        </w:rPr>
        <w:fldChar w:fldCharType="separate"/>
      </w:r>
      <w:r w:rsidRPr="00AC1B06">
        <w:rPr>
          <w:rFonts w:cs="Calibri"/>
          <w:noProof/>
        </w:rPr>
        <w:t>(Klag &amp; Langley, 2023; Cunliffe &amp; Pavlovich, 2022; Lawrence et al., 2022)</w:t>
      </w:r>
      <w:r w:rsidRPr="00AC1B06">
        <w:rPr>
          <w:rFonts w:cs="Calibri"/>
        </w:rPr>
        <w:fldChar w:fldCharType="end"/>
      </w:r>
      <w:r w:rsidRPr="00AC1B06">
        <w:rPr>
          <w:rFonts w:cs="Calibri"/>
        </w:rPr>
        <w:t xml:space="preserve">. </w:t>
      </w:r>
    </w:p>
    <w:p w14:paraId="5141E205" w14:textId="77777777" w:rsidR="00787F73" w:rsidRPr="00AC1B06" w:rsidRDefault="00742FB7" w:rsidP="00866155">
      <w:pPr>
        <w:rPr>
          <w:rFonts w:cs="Calibri"/>
        </w:rPr>
      </w:pPr>
      <w:r w:rsidRPr="00AC1B06">
        <w:rPr>
          <w:rFonts w:cs="Calibri"/>
        </w:rPr>
        <w:lastRenderedPageBreak/>
        <w:t xml:space="preserve">Chapter 3 was divided into two sections: the first, focusing on the research conducted with SYFR (3.3.2), and the second focusing on the research conducted with the community (3.3.3). Due to the use of institutional theory to examine the empirical data, this project conducted an institutional ethnography focusing on the standpoint of the SYFR Communications team thereby enabling the research to examine the role of the institution on the everyday lives of the SYFR Communications team </w:t>
      </w:r>
      <w:r w:rsidRPr="00AC1B06">
        <w:rPr>
          <w:rFonts w:cs="Calibri"/>
        </w:rPr>
        <w:fldChar w:fldCharType="begin" w:fldLock="1"/>
      </w:r>
      <w:r w:rsidRPr="00AC1B06">
        <w:rPr>
          <w:rFonts w:cs="Calibri"/>
        </w:rPr>
        <w:instrText>ADDIN CSL_CITATION {"citationItems":[{"id":"ITEM-1","itemData":{"DOI":"10.1080/09654313.2022.2057186","author":[{"dropping-particle":"","family":"Mosseray","given":"Jeanne","non-dropping-particle":"","parse-names":false,"suffix":""},{"dropping-particle":"","family":"Aernouts","given":"Nele","non-dropping-particle":"","parse-names":false,"suffix":""},{"dropping-particle":"","family":"Ryckewaert","given":"Michael","non-dropping-particle":"","parse-names":false,"suffix":""}],"container-title":"European Planning Studies","id":"ITEM-1","issue":"2","issued":{"date-parts":[["2023"]]},"page":"392 - 408","title":"Institutional ethnography: a transformative mode of inquiry in the renovation of a Brussels high-rise housing estate","type":"article-journal","volume":"31"},"uris":["http://www.mendeley.com/documents/?uuid=b93076c3-fc74-4cb3-bfb0-b3195b8d1cf4"]},{"id":"ITEM-2","itemData":{"DOI":"10.1080/14427591.2013.813429","ISSN":"21581576","abstract":"Institutional ethnographers and occupational scientists share a common interest in studying what people do in their daily lives. Institutional ethnographers start inquiry at the standpoint of people as they are situated in the actualities of everyday life and then turn their gaze from the individual to the social. We aim to outline in this paper some key tenets of institutional ethnography to argue its relevance for studying human occupation. More specifically, we posit that institutional ethnography provides a promising social theory and method to further understandings of the situated nature of human occupation.","author":[{"dropping-particle":"","family":"Prodinger","given":"Birgit","non-dropping-particle":"","parse-names":false,"suffix":""},{"dropping-particle":"","family":"Rudman","given":"Debbie Laliberte","non-dropping-particle":"","parse-names":false,"suffix":""},{"dropping-particle":"","family":"Shaw","given":"Lynn","non-dropping-particle":"","parse-names":false,"suffix":""}],"container-title":"Journal of Occupational Science","id":"ITEM-2","issue":"1","issued":{"date-parts":[["2015"]]},"page":"71-81","title":"Institutional ethnography: Studying the situated nature of human occupation","type":"article-journal","volume":"22"},"uris":["http://www.mendeley.com/documents/?uuid=4a2e25d1-86b8-4e2f-ac63-5b712ec2fb6b"]},{"id":"ITEM-3","itemData":{"DOI":"10.1177/1609406917734472","ISSN":"16094069","abstract":"Institutional ethnography (IE) is being taken up by researchers across diverse disciplines, many who do not have a background in sociology and the antecedents and influences that underpin Dorothy Smith's distinctive IE method. Novice IEers, who often work with advisors who have not studied or conducted an IE, are at risk of straying from IE's core epistemology and ontology. This second of a two-volume set provides a broad overview to approaching analysis once the IE design and fieldwork are well under way. The purpose of two-volume series is to offer practical guidance and cautions that have been generated from my experiences of supervising graduate students and my involvement in reviewing and examining IE work that has gone \" off track. \" With a particular focus on the practicalities of conducting analysis, the paper includes examples of the application of IE's theoretical framework with techniques for approaching and managing data: mapping, indexing, and building preliminary accounts/ \" analytic chunks. \" I suggest these techniques are useful tactics to work with data and to refine the formulation of the research problematic(s) to be explicated.","author":[{"dropping-particle":"","family":"Rankin","given":"Janet","non-dropping-particle":"","parse-names":false,"suffix":""}],"container-title":"International Journal of Qualitative Methods","id":"ITEM-3","issue":"1","issued":{"date-parts":[["2017"]]},"page":"1-11","title":"Conducting Analysis in Institutional Ethnography: Guidance and Cautions","type":"article-journal","volume":"16"},"uris":["http://www.mendeley.com/documents/?uuid=1f512de7-2804-4501-b9d4-819790d77516"]},{"id":"ITEM-4","itemData":{"DOI":"10.1177/0309132515572269","ISBN":"0309-1325","ISSN":"03091325","PMID":"26312005","abstract":"In this paper we unpack how geographers have studied institutions, focusing specifically on institutional ethnography, often called IE'. Sociologist Dorothy Smith is widely credited with developing institutional ethnography as an embodied' feminist approach. Smith studies the experiences of women in daily life, and the complex social relations in which these are embedded. Institutional ethnography offers the possibility to study up to understand the differential effects of institutions within and beyond institutional spaces and associated productions of subjectivities and material inequalities. We suggest that geographical scholarship on institutions can be enhanced and, in turn, has much to contribute to the broader interdisciplinary field on institutional ethnography, such as understandings of institutions that account for spatial differentiation. We argue that IE holds potential to enrich geographical research not only about a multitude of kinds of institutions, but about the many structures, effects, and identities working through institutions as territorial forces. In spite of recent interest by geographers, the broader literature on institutional ethnography remains under-engaged and under-cited by human geographers. Critical of this lack of engagement, we suggest that it has left a gap in geographical research on institutions. Our aim is to analyze and advance existing scholarship and offer this article as a tool for geographers thinking about employing IE. We develop a typology, categorized by methodological approach, to highlight ethnographic approaches to institutions undertaken by geographers.","author":[{"dropping-particle":"","family":"Billo","given":"Emily","non-dropping-particle":"","parse-names":false,"suffix":""},{"dropping-particle":"","family":"Mountz","given":"Alison","non-dropping-particle":"","parse-names":false,"suffix":""}],"container-title":"Progress in Human Geography","id":"ITEM-4","issue":"2","issued":{"date-parts":[["2016"]]},"page":"199-220","title":"For institutional ethnography: Geographical approaches to institutions and the everyday","type":"article-journal","volume":"40"},"uris":["http://www.mendeley.com/documents/?uuid=60ffdc4c-a09c-44ce-bf6a-1abd25f9f7e8"]},{"id":"ITEM-5","itemData":{"DOI":"10.1177/1049732315619893","ISSN":"15527557","abstract":"Person-centered care is heavily dependent on effective information exchange among health care team members. We explored the organizational systems that influence resident care attendants' (RCAs) access to care information in long-term care (LTC) settings. We conducted an institutional ethnography in three LTC facilities. Investigative methods included naturalistic observations, in-depth interviews, and textual analysis. Practical access to texts containing individualized care-related information (e.g., care plans) was dependent on job classification. Regulated health care professionals accessed these texts daily. RCAs lacked practical access to these texts and primarily received and shared information orally. Microsystems of care, based on information exchange formats, emerged. Organizational systems mandated written exchange of information and did not formally support an oral exchange. Thus, oral information exchanges were largely dependent on the quality of workplace relationships. Formal systems are needed to support structured oral information exchange within and between the microsystems of care found in LTC.","author":[{"dropping-particle":"","family":"Caspar","given":"Sienna","non-dropping-particle":"","parse-names":false,"suffix":""},{"dropping-particle":"","family":"Ratner","given":"Pamela A.","non-dropping-particle":"","parse-names":false,"suffix":""},{"dropping-particle":"","family":"Phinney","given":"Alison","non-dropping-particle":"","parse-names":false,"suffix":""},{"dropping-particle":"","family":"MacKinnon","given":"Karen","non-dropping-particle":"","parse-names":false,"suffix":""}],"container-title":"Qualitative Health Research","id":"ITEM-5","issue":"7","issued":{"date-parts":[["2016"]]},"page":"951-965","title":"The Influence of Organizational Systems on Information Exchange in Long-Term Care Facilities: An Institutional Ethnography","type":"article-journal","volume":"26"},"uris":["http://www.mendeley.com/documents/?uuid=e586a46e-53ba-43a4-97c2-5ec73a39937f"]},{"id":"ITEM-6","itemData":{"DOI":"10.5204/ijcjsd.v8i1.1051.This","abstract":"Institutional ethnography (IE) is a method of inquiry created by Canadian feminist sociologist Dorothy E. Smith to examine how sequences of texts coordinate forms of organisation. Here we explain how to use IE, and why scholars in criminal justice and socio-legal studies should use it in their research. We focus on IE’s analysis of texts and intertextual hierarchy, as well as Smith’s understanding of mapping as a methodological technique; the latter entails explaining how IE’s approach to mapping differs from other social science approaches. We also argue that IE’s terms and techniques can help examine the textual work undertaken in criminal justice and legal organisations, and reveal how people are governed and ruled by these organisational processes. In the discussion, we summarise how IE can productively contribute to criminal justice and socio-legal studies in the twenty-first century.","author":[{"dropping-particle":"","family":"Doll","given":"Agnieszka","non-dropping-particle":"","parse-names":false,"suffix":""},{"dropping-particle":"","family":"Walby","given":"Kevin","non-dropping-particle":"","parse-names":false,"suffix":""}],"container-title":"International Journal for Crime, Justice and Social Democracy","id":"ITEM-6","issue":"1","issued":{"date-parts":[["2019"]]},"page":"147-160","title":"Institutional Ethnography as a Method of Inquiry for Criminal Justice and Socio-Legal Studies","type":"article-journal","volume":"8"},"uris":["http://www.mendeley.com/documents/?uuid=eea21ff2-ea4d-4e5b-9072-2b82fd697a75"]},{"id":"ITEM-7","itemData":{"DOI":"10.1080/13645579.2020.1839162","author":[{"dropping-particle":"","family":"Murray","given":"Órla Meadhbh","non-dropping-particle":"","parse-names":false,"suffix":""}],"container-title":"International Journal of Social Research Methodology","id":"ITEM-7","issue":"1","issued":{"date-parts":[["2022"]]},"page":"45 - 57","title":"Text, process, discourse: doing feminist text analysis in institutional ethnography","type":"article-journal","volume":"25"},"uris":["http://www.mendeley.com/documents/?uuid=237c6aa9-7110-4155-9e46-c2cd04276908"]}],"mendeley":{"formattedCitation":"(Mosseray, Aernouts, &amp; Ryckewaert, 2023; Murray, 2022; Doll &amp; Walby, 2019; Rankin, 2017; Billo &amp; Mountz, 2016; Caspar et al., 2016; Prodinger, Rudman, &amp; Shaw, 2015)","plainTextFormattedCitation":"(Mosseray, Aernouts, &amp; Ryckewaert, 2023; Murray, 2022; Doll &amp; Walby, 2019; Rankin, 2017; Billo &amp; Mountz, 2016; Caspar et al., 2016; Prodinger, Rudman, &amp; Shaw, 2015)","previouslyFormattedCitation":"(Mosseray, Aernouts, &amp; Ryckewaert, 2023; Murray, 2022; Doll &amp; Walby, 2019; Rankin, 2017; Billo &amp; Mountz, 2016; Caspar et al., 2016; Prodinger, Rudman, &amp; Shaw, 2015)"},"properties":{"noteIndex":0},"schema":"https://github.com/citation-style-language/schema/raw/master/csl-citation.json"}</w:instrText>
      </w:r>
      <w:r w:rsidRPr="00AC1B06">
        <w:rPr>
          <w:rFonts w:cs="Calibri"/>
        </w:rPr>
        <w:fldChar w:fldCharType="separate"/>
      </w:r>
      <w:r w:rsidRPr="00AC1B06">
        <w:rPr>
          <w:rFonts w:cs="Calibri"/>
          <w:noProof/>
        </w:rPr>
        <w:t>(Mosseray, Aernouts, &amp; Ryckewaert, 2023; Murray, 2022; Doll &amp; Walby, 2019; Rankin, 2017; Billo &amp; Mountz, 2016; Caspar et al., 2016; Prodinger, Rudman, &amp; Shaw, 2015)</w:t>
      </w:r>
      <w:r w:rsidRPr="00AC1B06">
        <w:rPr>
          <w:rFonts w:cs="Calibri"/>
        </w:rPr>
        <w:fldChar w:fldCharType="end"/>
      </w:r>
      <w:r w:rsidRPr="00AC1B06">
        <w:rPr>
          <w:rFonts w:cs="Calibri"/>
        </w:rPr>
        <w:t xml:space="preserve">. This approach employed three different methods: observations; semi-structured interviews; and texts. These sections examined the reasoning behind each method and some of the challenges associated with them, such as the need to conduct interviews remotely due to COVID-19. The use of IE with an FRS and utilising remote methods is a contribution to the literature as these methods have not been used before in this context. The SYFR data collection also included social media data, discussed here with a focus on SYFR Twitter data, their followers, and their self-declared locations. </w:t>
      </w:r>
    </w:p>
    <w:p w14:paraId="6788C8DC" w14:textId="77777777" w:rsidR="00787F73" w:rsidRPr="00AC1B06" w:rsidRDefault="00787F73" w:rsidP="00866155">
      <w:pPr>
        <w:rPr>
          <w:rFonts w:cs="Calibri"/>
        </w:rPr>
      </w:pPr>
    </w:p>
    <w:p w14:paraId="058E811C" w14:textId="77777777" w:rsidR="00787F73" w:rsidRPr="00AC1B06" w:rsidRDefault="00742FB7" w:rsidP="00866155">
      <w:pPr>
        <w:rPr>
          <w:rFonts w:cs="Calibri"/>
        </w:rPr>
      </w:pPr>
      <w:r w:rsidRPr="00AC1B06">
        <w:rPr>
          <w:rFonts w:cs="Calibri"/>
        </w:rPr>
        <w:t>The community data section (3.3.3) described the selection of the community groups using SYFR’s assessment of low and high risk. This section of the data collection was greatly impacted by COVID-19 where the initial plan was to conduct interactive, in-person community workshops to bring together community stakeholders. However, due to social distancing requirements this had to be reduced to online focus groups, and there were only two participants per focus group due to challenges associated with recruitment, including the small nature of the community groups I was recruiting from, time constraints from the PhD, and personal circumstances.</w:t>
      </w:r>
    </w:p>
    <w:p w14:paraId="46FBB2D6" w14:textId="77777777" w:rsidR="00787F73" w:rsidRPr="00AC1B06" w:rsidRDefault="00787F73" w:rsidP="00866155">
      <w:pPr>
        <w:spacing w:after="160"/>
        <w:rPr>
          <w:rFonts w:cs="Calibri"/>
        </w:rPr>
      </w:pPr>
    </w:p>
    <w:p w14:paraId="4108A744" w14:textId="77777777" w:rsidR="00787F73" w:rsidRPr="00AC1B06" w:rsidRDefault="00742FB7" w:rsidP="00866155">
      <w:pPr>
        <w:rPr>
          <w:rFonts w:cs="Calibri"/>
        </w:rPr>
      </w:pPr>
      <w:r w:rsidRPr="00AC1B06">
        <w:rPr>
          <w:rFonts w:cs="Calibri"/>
        </w:rPr>
        <w:t xml:space="preserve">Chapter 3, section 3.4, discussed the approach to data analysis, using a thematic analysis and the benefit of combining this approach within an interpretivist project </w:t>
      </w:r>
      <w:r w:rsidRPr="00AC1B06">
        <w:rPr>
          <w:rFonts w:cs="Calibri"/>
        </w:rPr>
        <w:fldChar w:fldCharType="begin" w:fldLock="1"/>
      </w:r>
      <w:r w:rsidRPr="00AC1B06">
        <w:rPr>
          <w:rFonts w:cs="Calibri"/>
        </w:rPr>
        <w:instrText>ADDIN CSL_CITATION {"citationItems":[{"id":"ITEM-1","itemData":{"DOI":"10.5430/jnep.v6n5p100","author":[{"dropping-particle":"","family":"Vaismoradi","given":"Mojtaba","non-dropping-particle":"","parse-names":false,"suffix":""},{"dropping-particle":"","family":"Jones","given":"Jacqueline","non-dropping-particle":"","parse-names":false,"suffix":""},{"dropping-particle":"","family":"Turunen","given":"Hannele","non-dropping-particle":"","parse-names":false,"suffix":""},{"dropping-particle":"","family":"Snelgrove","given":"Sherrill","non-dropping-particle":"","parse-names":false,"suffix":""}],"container-title":"Journal of Nursing Education and Practice","id":"ITEM-1","issue":"5","issued":{"date-parts":[["2016"]]},"page":"100 - 110","title":"Theme development in qualitative content analysis and thematic analysis","type":"article-journal","volume":"6"},"uris":["http://www.mendeley.com/documents/?uuid=63405386-94d0-4355-8efa-a93355f85b98"]},{"id":"ITEM-2","itemData":{"DOI":"10.1080/26895269.2022.2129597","author":[{"dropping-particle":"","family":"Braun","given":"Virginia","non-dropping-particle":"","parse-names":false,"suffix":""},{"dropping-particle":"","family":"Clarke","given":"Victoria","non-dropping-particle":"","parse-names":false,"suffix":""}],"container-title":"International Journal of Transgender Health","id":"ITEM-2","issue":"1","issued":{"date-parts":[["2023"]]},"page":"1-6","title":"Toward good practice in thematic analysis: Avoiding common problems and be(com)ing a knowing researcher","type":"article-journal","volume":"24"},"uris":["http://www.mendeley.com/documents/?uuid=d0e76ad6-ec60-48a8-ac5d-112ef6747ff7"]}],"mendeley":{"formattedCitation":"(Braun &amp; Clarke, 2023; Vaismoradi et al., 2016)","plainTextFormattedCitation":"(Braun &amp; Clarke, 2023; Vaismoradi et al., 2016)","previouslyFormattedCitation":"(Braun &amp; Clarke, 2023; Vaismoradi et al., 2016)"},"properties":{"noteIndex":0},"schema":"https://github.com/citation-style-language/schema/raw/master/csl-citation.json"}</w:instrText>
      </w:r>
      <w:r w:rsidRPr="00AC1B06">
        <w:rPr>
          <w:rFonts w:cs="Calibri"/>
        </w:rPr>
        <w:fldChar w:fldCharType="separate"/>
      </w:r>
      <w:r w:rsidRPr="00AC1B06">
        <w:rPr>
          <w:rFonts w:cs="Calibri"/>
          <w:noProof/>
        </w:rPr>
        <w:t>(Braun &amp; Clarke, 2023; Vaismoradi et al., 2016)</w:t>
      </w:r>
      <w:r w:rsidRPr="00AC1B06">
        <w:rPr>
          <w:rFonts w:cs="Calibri"/>
        </w:rPr>
        <w:fldChar w:fldCharType="end"/>
      </w:r>
      <w:r w:rsidRPr="00AC1B06">
        <w:rPr>
          <w:rFonts w:cs="Calibri"/>
        </w:rPr>
        <w:t xml:space="preserve">. The final section of chapter three (3.5) provided a discussion of ethics, for both qualitative and quantitative data, and explored </w:t>
      </w:r>
      <w:r w:rsidR="00A761F7">
        <w:rPr>
          <w:rFonts w:cs="Calibri"/>
        </w:rPr>
        <w:t>my</w:t>
      </w:r>
      <w:r w:rsidRPr="00AC1B06">
        <w:rPr>
          <w:rFonts w:cs="Calibri"/>
        </w:rPr>
        <w:t xml:space="preserve"> reflections and positionality with a discussion of the challenges associated with the COVID-19 pandemic. </w:t>
      </w:r>
    </w:p>
    <w:p w14:paraId="0405A849" w14:textId="77777777" w:rsidR="00787F73" w:rsidRPr="00AC1B06" w:rsidRDefault="00742FB7" w:rsidP="00866155">
      <w:pPr>
        <w:rPr>
          <w:rFonts w:cs="Calibri"/>
        </w:rPr>
      </w:pPr>
      <w:bookmarkStart w:id="1115" w:name="_Toc153488332"/>
      <w:bookmarkStart w:id="1116" w:name="_Toc156227659"/>
      <w:r w:rsidRPr="00AC1B06">
        <w:rPr>
          <w:rFonts w:cs="Calibri"/>
        </w:rPr>
        <w:lastRenderedPageBreak/>
        <w:t>Chapter 4</w:t>
      </w:r>
      <w:bookmarkEnd w:id="1115"/>
      <w:r w:rsidRPr="00AC1B06">
        <w:rPr>
          <w:rFonts w:cs="Calibri"/>
        </w:rPr>
        <w:t xml:space="preserve"> sought to respond to the first research question: </w:t>
      </w:r>
      <w:r w:rsidRPr="00AC1B06">
        <w:rPr>
          <w:rFonts w:cs="Calibri"/>
          <w:i/>
          <w:iCs/>
        </w:rPr>
        <w:t>What is SYFR’s communication strategy for building community disaster resilience?</w:t>
      </w:r>
      <w:bookmarkEnd w:id="1116"/>
      <w:r w:rsidRPr="00AC1B06">
        <w:rPr>
          <w:rFonts w:cs="Calibri"/>
          <w:i/>
          <w:iCs/>
        </w:rPr>
        <w:t xml:space="preserve"> </w:t>
      </w:r>
      <w:r w:rsidRPr="00AC1B06">
        <w:rPr>
          <w:rFonts w:cs="Calibri"/>
        </w:rPr>
        <w:t xml:space="preserve">This question was answered using data collected using Institutional Ethnography, including semi-structured interviews, observations, and texts. This chapter examined how SYFR plan to communicate with their surrounding communities and citizens. Focusing on the </w:t>
      </w:r>
      <w:r w:rsidRPr="00AC1B06">
        <w:rPr>
          <w:rFonts w:cs="Calibri"/>
          <w:i/>
          <w:iCs/>
        </w:rPr>
        <w:t>how</w:t>
      </w:r>
      <w:r w:rsidRPr="00AC1B06">
        <w:rPr>
          <w:rFonts w:cs="Calibri"/>
        </w:rPr>
        <w:t xml:space="preserve"> provided the empirical grounding to the project, as the PIC literature notes the importance of testing the effectiveness and efficiency of campaigns against the aims and intentions of the creators. This initial grounding of the empirical findings enabled further research questions to delve deeper into </w:t>
      </w:r>
      <w:r w:rsidRPr="00AC1B06">
        <w:rPr>
          <w:rFonts w:cs="Calibri"/>
          <w:i/>
          <w:iCs/>
        </w:rPr>
        <w:t xml:space="preserve">why </w:t>
      </w:r>
      <w:r w:rsidRPr="00AC1B06">
        <w:rPr>
          <w:rFonts w:cs="Calibri"/>
        </w:rPr>
        <w:t>SYFR communicate in this manner (chapter 5) and whether this approach can develop community disaster resilience (chapter 6).</w:t>
      </w:r>
    </w:p>
    <w:p w14:paraId="68159E0E" w14:textId="77777777" w:rsidR="00787F73" w:rsidRPr="00AC1B06" w:rsidRDefault="00787F73" w:rsidP="00866155">
      <w:pPr>
        <w:rPr>
          <w:rFonts w:cs="Calibri"/>
        </w:rPr>
      </w:pPr>
    </w:p>
    <w:p w14:paraId="205D7F5E" w14:textId="77777777" w:rsidR="00787F73" w:rsidRPr="00AC1B06" w:rsidRDefault="00742FB7" w:rsidP="00866155">
      <w:pPr>
        <w:rPr>
          <w:rFonts w:cs="Calibri"/>
        </w:rPr>
      </w:pPr>
      <w:r w:rsidRPr="00AC1B06">
        <w:rPr>
          <w:rFonts w:cs="Calibri"/>
        </w:rPr>
        <w:t>To ascertain how SYFR communicate with the followers about community disaster resilience, there needed to be an understanding of their definition of community resilience. Section 4.2 examined SYFR’s definition for community resilience and then looked at the organisation’s strategies for community resilience and engagement. This section then examined SYFR’s risk communication PICs, examining their campaigns plans and evaluations to ascertain their aims for their communication.</w:t>
      </w:r>
    </w:p>
    <w:p w14:paraId="3DEBEB6D" w14:textId="77777777" w:rsidR="00787F73" w:rsidRPr="00AC1B06" w:rsidRDefault="00787F73" w:rsidP="00866155">
      <w:pPr>
        <w:rPr>
          <w:rFonts w:cs="Calibri"/>
        </w:rPr>
      </w:pPr>
    </w:p>
    <w:p w14:paraId="1EB389DE" w14:textId="77777777" w:rsidR="00787F73" w:rsidRPr="00AC1B06" w:rsidRDefault="00742FB7" w:rsidP="00866155">
      <w:pPr>
        <w:rPr>
          <w:rFonts w:cs="Calibri"/>
        </w:rPr>
      </w:pPr>
      <w:r w:rsidRPr="00AC1B06">
        <w:rPr>
          <w:rFonts w:cs="Calibri"/>
        </w:rPr>
        <w:t>The results indicate that SYFR were not explicitly defining or working towards community resilience, but they hoped community resilience would be an outcome of their prevention work and wider fire risk communication. This was interpreted as an institutional logic from the state, specifically the FRSA (2004). Within the FRSA (2004)</w:t>
      </w:r>
      <w:r w:rsidR="00B66A79">
        <w:rPr>
          <w:rFonts w:cs="Calibri"/>
        </w:rPr>
        <w:t>,</w:t>
      </w:r>
      <w:r w:rsidRPr="00AC1B06">
        <w:rPr>
          <w:rFonts w:cs="Calibri"/>
        </w:rPr>
        <w:t xml:space="preserve"> it states that FRS must communicate fire risk to their surrounding communities, which created a regulative institutional driver and a focus on communicating </w:t>
      </w:r>
      <w:r w:rsidRPr="00AC1B06">
        <w:rPr>
          <w:rFonts w:cs="Calibri"/>
          <w:i/>
          <w:iCs/>
        </w:rPr>
        <w:t>prevention</w:t>
      </w:r>
      <w:r w:rsidRPr="00AC1B06">
        <w:rPr>
          <w:rFonts w:cs="Calibri"/>
        </w:rPr>
        <w:t xml:space="preserve"> and wider fire risk communication. This finding is a contribution to the institutional logics and FRS literature, and it highlights the role of the state institution on the functioning of SYFR and the logic of </w:t>
      </w:r>
      <w:r w:rsidRPr="00AC1B06">
        <w:rPr>
          <w:rFonts w:cs="Calibri"/>
          <w:i/>
          <w:iCs/>
        </w:rPr>
        <w:t>prevention</w:t>
      </w:r>
      <w:r w:rsidRPr="00AC1B06">
        <w:rPr>
          <w:rFonts w:cs="Calibri"/>
        </w:rPr>
        <w:t>.</w:t>
      </w:r>
    </w:p>
    <w:p w14:paraId="68BCD83F" w14:textId="77777777" w:rsidR="00787F73" w:rsidRPr="00AC1B06" w:rsidRDefault="00787F73" w:rsidP="00866155">
      <w:pPr>
        <w:rPr>
          <w:rFonts w:cs="Calibri"/>
        </w:rPr>
      </w:pPr>
    </w:p>
    <w:p w14:paraId="2FC0D77B" w14:textId="124B34C5" w:rsidR="00787F73" w:rsidRPr="00AC1B06" w:rsidRDefault="00742FB7" w:rsidP="00866155">
      <w:pPr>
        <w:rPr>
          <w:rFonts w:cs="Calibri"/>
        </w:rPr>
      </w:pPr>
      <w:r w:rsidRPr="00AC1B06">
        <w:rPr>
          <w:rFonts w:cs="Calibri"/>
        </w:rPr>
        <w:t xml:space="preserve">Risk communications are described in the literature as communication which creates awareness, alerts the communities to risk, exchanges information and opinions, contains actionable information, and is timely </w:t>
      </w:r>
      <w:r w:rsidRPr="00AC1B06">
        <w:rPr>
          <w:rFonts w:cs="Calibri"/>
        </w:rPr>
        <w:fldChar w:fldCharType="begin" w:fldLock="1"/>
      </w:r>
      <w:r w:rsidR="00974B75" w:rsidRPr="00AC1B06">
        <w:rPr>
          <w:rFonts w:cs="Calibri"/>
        </w:rPr>
        <w:instrText>ADDIN CSL_CITATION {"citationItems":[{"id":"ITEM-1","itemData":{"DOI":"10.1016/j.proeng.2018.01.032","ISSN":"18777058","abstract":"The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Engineering","id":"ITEM-1","issued":{"date-parts":[["2018"]]},"page":"246-253","publisher":"Elsevier B.V.","title":"Conceptual Framework for Motivating Actions towards Disaster Preparedness Through Risk Communication","type":"article-journal","volume":"212"},"uris":["http://www.mendeley.com/documents/?uuid=01e245d0-867b-47cd-8164-80d2bc1d7862"]},{"id":"ITEM-2","itemData":{"DOI":"10.1016/j.jhydrol.2018.11.007","ISSN":"00221694","abstract":"Flood risk management is gradually shifting from a risk-based approach to an integrated one that, among other elements, considers risk communication (RC) as a means of boosting resilience. Regardless of the above, few scientists have tackled up to now the integration of RC into flood risk management. In this connection, this particular study seeks to check out the potential of a risk dialogue approach (based on an ad hoc RC strategy) to change attitudes and behaviours in relation to flash flood risk. Via a pre-post survey design, we evaluated risk perception and awareness regarding a Civil Protection Plan (CPP) implemented locally (i.e., in the municipality of Navaluenga, central Spain). For this particular objective, a questionnaire survey was created, and 201 adults (representing more than 10% of the population census) were interviewed twice in a one-year period. Before the second survey, an RC strategy was created. The RC strategy comprised briefings, quiz answers, storytelling, a contest of videos and photographs about past floods, and an intergenerational workshop. A t-test for paired sample analyses and a general linear model (GLM) repeated measures ANOVA were applied to identify changes in risk perception and awareness. Our results indicate that the RC strategy did increase flood risk perception in Navaluenga in the long term (lifetime). Also, it increased the level of awareness of the various features that comprise the CPP, enabling people to be more competent in facing a flash flood. Some cognitive biases detected in the perceptual process of human beings may shed some light on the results obtained. The implementation of well-thought-out RC strategies can play a role in improving resilience, particularly in geographic areas such as the Iberian Peninsula, in which climate change scenarios indicate a likely increase in the severity and frequency of flooding.","author":[{"dropping-particle":"","family":"Bodoque","given":"J. M.","non-dropping-particle":"","parse-names":false,"suffix":""},{"dropping-particle":"","family":"Díez-Herrero","given":"A.","non-dropping-particle":"","parse-names":false,"suffix":""},{"dropping-particle":"","family":"Amerigo","given":"M.","non-dropping-particle":"","parse-names":false,"suffix":""},{"dropping-particle":"","family":"García","given":"J. A.","non-dropping-particle":"","parse-names":false,"suffix":""},{"dropping-particle":"","family":"Olcina","given":"J.","non-dropping-particle":"","parse-names":false,"suffix":""}],"container-title":"Journal of Hydrology","id":"ITEM-2","issued":{"date-parts":[["2019"]]},"page":"769-779","publisher":"Elsevier","title":"Enhancing flash flood risk perception and awareness of mitigation actions through risk communication: A pre-post survey design","type":"article-journal","volume":"568"},"uris":["http://www.mendeley.com/documents/?uuid=035f4ef7-201a-47c7-8e7a-0cc5c28eb0f7"]},{"id":"ITEM-3","itemData":{"DOI":"10.1016/j.ijdrr.2022.102808","ISSN":"22124209","abstract":"The main objective of this study is to examine the role of risk communication during the COVID-19 crisis, which is often neglected in studies investigating the outbreak of the pandemic. The study is based on survey data from a group of international (non-Japanese) students in Japan and the theoretical foundation of fear appeal theory. The results, which are based on the panel data structure, show that individually, (1) the act of seeking out others to discuss risks in depth in the current pandemic context or (2) the observed adoption of advocated precautionary health behaviours is not necessarily a good indicator of mental management, but (3) the combined effect of (1) and (2) unexpectedly suggests a conciliatory effect on the fear of disasters. Moreover, this evidence-based finding (3) suggests that a reciprocal relationship exists between threat and efficacy in terms of mediating fear under the framework and theory of fear appeals, indirectly challenging the fear control response proposition of the extended parallel process model. Our empirical findings emphasize the role of risk discourse and information sharing combined with preventive health behaviours adopted within a community in the context of global health crises.","author":[{"dropping-particle":"","family":"Dao","given":"Minh Tuan","non-dropping-particle":"","parse-names":false,"suffix":""},{"dropping-particle":"","family":"Lim","given":"Seunghoo","non-dropping-particle":"","parse-names":false,"suffix":""}],"container-title":"International Journal of Disaster Risk Reduction","id":"ITEM-3","issued":{"date-parts":[["2022"]]},"page":"1 - 12","title":"Fear of disasters within the risk communication network of foreign students in Japan amid the COVID-19 pandemic crisis: A cohort design","type":"article-journal","volume":"71"},"uris":["http://www.mendeley.com/documents/?uuid=4e8897e0-d91f-4155-89aa-75260c35275c"]},{"id":"ITEM-4","itemData":{"DOI":"10.1016/j.ijdrr.2017.04.015","ISSN":"22124209","abstract":"The medium of film is well established for education and communication about hazardous phenomena as it provides engaging ways to directly view hazards and their impacts. Empirical analysis can help to understand films’ effectiveness in informing populations at risk and catalysing action to reduce risk. Using volcanic eruptions as a focus, an evidence-based methodology was devised to create, use, and track the outcomes of digital film tools designed to raise hazard and risk awareness, and develop preparedness efforts. Experiences from two contrasting eruptions were documented, with the secondary purpose of fostering social and cultural memories of eruptions, developed in response to demand from at-risk communities during field-based research. The films were created as a partnership with local volcano monitoring scientists and at-risk populations who, consequently, became the leading focus of the films, thus offering a substantial contrast to other types of hazard communication. The films were analysed by sharing them with at-risk communities and evaluating the immediate influence on learning and affect. Results indicated that the use of local content and actors to share experiences and teach valuable lessons were inspirational. Recognizable faces and spaces helped to convey disaster risk reduction messages. They also motivated audiences to consider ownership of risk and potential actions to reduce risk and strengthen resilience. This study demonstrated the effectiveness of co-production in the design and execution of intervention strategies for volcanic risk reduction. Co-production of films with local agencies resulted in products that were contextually appropriate, meaningful for audiences, and useful risk communication tools.","author":[{"dropping-particle":"","family":"Hicks","given":"Anna","non-dropping-particle":"","parse-names":false,"suffix":""},{"dropping-particle":"","family":"Armijos","given":"Maria Teresa","non-dropping-particle":"","parse-names":false,"suffix":""},{"dropping-particle":"","family":"Barclay","given":"Jenni","non-dropping-particle":"","parse-names":false,"suffix":""},{"dropping-particle":"","family":"Stone","given":"Jonathan","non-dropping-particle":"","parse-names":false,"suffix":""},{"dropping-particle":"","family":"Robertson","given":"Richard","non-dropping-particle":"","parse-names":false,"suffix":""},{"dropping-particle":"","family":"Cortés","given":"Gloria Patricia","non-dropping-particle":"","parse-names":false,"suffix":""}],"container-title":"International Journal of Disaster Risk Reduction","id":"ITEM-4","issued":{"date-parts":[["2017"]]},"page":"138-151","publisher":"Elsevier Ltd","title":"Risk communication films: Process, product and potential for improving preparedness and behaviour change","type":"article-journal","volume":"23"},"uris":["http://www.mendeley.com/documents/?uuid=0f5f1ccc-9589-4eed-a1d9-c3f921c1cc41"]},{"id":"ITEM-5","itemData":{"DOI":"10.1016/j.ijdrr.2022.102903","ISSN":"22124209","abstract":"In today's information age, both excess and lack of information can cause a disaster. COVID-19 pandemic not only highlighted the significance of risk communication but also pointed out several unintended and distressing consequences due to information gaps and miscommunications. Despite facing a common threat, the local communities suffered differential impacts during the pandemic. This paper classifies the nature of risk communications experienced across different countries into three categories, namely: inadequate, ideal, and infodemic risk communication that influenced the local perceptions and responses. It further argues that inadequately planned risk communications tend to create new risks and compromise the efforts towards managing a disaster. As global risks are responded locally, there is a need for more inclusive and engaging risk communication that involves communities as responsible stakeholders who understand, plan, and respond to risks to increase their propensity for resilience during disasters and crisis situations.","author":[{"dropping-particle":"","family":"Khan","given":"Shabana","non-dropping-particle":"","parse-names":false,"suffix":""},{"dropping-particle":"","family":"Mishra","given":"Jyoti","non-dropping-particle":"","parse-names":false,"suffix":""},{"dropping-particle":"","family":"Ahmed","given":"Nova","non-dropping-particle":"","parse-names":false,"suffix":""},{"dropping-particle":"","family":"Onyige","given":"Chioma Daisy","non-dropping-particle":"","parse-names":false,"suffix":""},{"dropping-particle":"","family":"Lin","given":"Kuanhui Elaine","non-dropping-particle":"","parse-names":false,"suffix":""},{"dropping-particle":"","family":"Siew","given":"Renard","non-dropping-particle":"","parse-names":false,"suffix":""},{"dropping-particle":"","family":"Lim","given":"Boon Han","non-dropping-particle":"","parse-names":false,"suffix":""}],"container-title":"International Journal of Disaster Risk Reduction","id":"ITEM-5","issued":{"date-parts":[["2022"]]},"page":"1-13","title":"Risk communication and community engagement during COVID-19","type":"article-journal","volume":"74"},"uris":["http://www.mendeley.com/documents/?uuid=849f61bc-f758-47e1-97be-298ae2c6fa66"]},{"id":"ITEM-6","itemData":{"DOI":"10.1017/dmp.2020.347","ISSN":"1938744X","PMID":"32907685","abstract":"ObjectiveThe purpose of this study was to demonstrate the use of social network analysis to understand public discourse on Twitter around the novel coronavirus pandemic (COVID-19). We examined different network properties that might affect the successful dissemination by and adoption of public health messages from public health officials and health agencies.MethodsWe focused on conversations on Twitter during three key communication events from late January to early June of 2020. We used Netlytic, a free web-based software that collects publicly available data from social media sites such as Twitter.ResultsWe found that the network of conversations around COVID-19 is highly decentralized, fragmented, and loosely connected; these characteristics can hinder the successful dissemination of public health messages in a network. Competing conversations and misinformation can hamper risk communication efforts in a way that imperil public health.ConclusionLooking at basic metrics might create a misleading picture of the effectiveness of risk communication efforts on social media if not analyzed within the context of the larger network. Social network analysis of conversations on social media should be an integral part of how public health officials and agencies plan, monitor, and evaluate risk communication efforts.","author":[{"dropping-particle":"","family":"Pascual-Ferrá","given":"Paola","non-dropping-particle":"","parse-names":false,"suffix":""},{"dropping-particle":"","family":"Alperstein","given":"Neil","non-dropping-particle":"","parse-names":false,"suffix":""},{"dropping-particle":"","family":"Barnett","given":"Daniel J.","non-dropping-particle":"","parse-names":false,"suffix":""}],"container-title":"Disaster Medicine and Public Health Preparedness","id":"ITEM-6","issue":"2","issued":{"date-parts":[["2022"]]},"page":"561-569","title":"Social Network Analysis of COVID-19 Public Discourse on Twitter: Implications for Risk Communication","type":"article-journal","volume":"16"},"uris":["http://www.mendeley.com/documents/?uuid=158b85ff-955e-4d7f-bfb1-e3b2dc838613"]},{"id":"ITEM-7","itemData":{"DOI":"10.1111/risa.13828","ISSN":"15396924","PMID":"34569091","abstract":"During public health emergencies, government practitioners must rapidly make sense of the risk to human health and the emergency risk communication (ERC) options available. These practitioners determine what, how, and when information is communicated to the public. Recurring criticism of ERC indicates that the communication is not meeting the needs of the community. To improve ERC practice, it is therefore critical to understand practitioners’ sensemaking in these complex and time-critical settings. This article unpacks the realities and complexities of sensemaking, the process by which practitioners create meaning from the information they receive about an emergency as it unfolds. Qualitative interviews gathered practitioners’ lived experiences of public health emergencies, namely, smoke events (e.g., wildfires and industrial facility fires), and thematic analysis drew on sensemaking literature. The evidence shows that sensemaking is challenging, as practitioners experience pressure from the emergency context and organizational, political, and social expectations. Sensemaking for ERC comes with an underlying imperative to accurately make sense of the situation, in a timely manner and in a way that leads to the best health outcomes. Practitioners must balance creating plausible meaning (sensemaking) with the accuracy expected by stakeholders. The analysis also highlights how sensemaking scope is delimited by professional expert identities and roles within the emergency management system; that is, practitioners’ understanding of their expertise and role, and that of other practitioners. Past lived experiences are viewed as key facilitators of both individual and collective sensemaking, and the history of similar public health events shapes sensemaking in this context.","author":[{"dropping-particle":"","family":"Thomas","given":"Madeleine","non-dropping-particle":"","parse-names":false,"suffix":""},{"dropping-particle":"","family":"Klemm","given":"Celine","non-dropping-particle":"","parse-names":false,"suffix":""},{"dropping-particle":"","family":"Hutchins","given":"Brett","non-dropping-particle":"","parse-names":false,"suffix":""},{"dropping-particle":"","family":"Kaufman","given":"Stefan","non-dropping-particle":"","parse-names":false,"suffix":""}],"container-title":"Risk Analysis","id":"ITEM-7","issue":"11","issued":{"date-parts":[["2022"]]},"page":"2536-2549","title":"Unpacking the Realities and Complexities of Sensemaking: Government Practitioners’ Experiences of Emergency Risk Communication","type":"article-journal","volume":"42"},"uris":["http://www.mendeley.com/documents/?uuid=727bc174-52fa-41c4-9eb1-898bb6178901"]},{"id":"ITEM-8","itemData":{"DOI":"10.1108/ITP-05-2021-0363","ISSN":"09593845","abstract":"Purpose: Despite the huge potential of social media, its functionality and impact for enhanced risk communication remain unclear. Drawing on dialogic theory by integrating both “speak from power” and “speak to power” measurements, the article aims to propose a systematic framework to address this issue. Design/methodology/approach: The impact of social media on risk communication is measured by the correlation between “speak from power” and “speak to power” levels, where the former primarily spoke to two facets of the risk communication process – rapidness and attentiveness, and the latter was benchmarked against popularity and commitment. The framework was empirically validated with data relating to coronavirus disease (COVID-19) risk communication in 25,024 selected posts on 17 official provincial Weibo accounts in China. Findings: The analysis results suggest the relationship between the “speak from power” and “speak to power” is mixed rather than causality, which confirms that neither the outcome-centric nor the process-centric method alone can render a full picture of government–public interconnectivity. Besides, the proposed interconnectivity matrix reveals that two provinces have evidenced the formation of government–public mutuality, which provides empirical evidence that dialogic relationships could exist in social media during risk communication. Originality/value: The authors' study proposed a prototype framework that underlines the need that the impact of social media on risk communication should and must be assessed through a combination of process and outcome or interconnectivity. The authors further divide the impact of social media on risk communication into dialogue enabler, “speak from power” booster, “speak to power” channel and mass media alternative.","author":[{"dropping-particle":"","family":"Zhu","given":"Ruilin","non-dropping-particle":"","parse-names":false,"suffix":""},{"dropping-particle":"","family":"Song","given":"Yanqing","non-dropping-particle":"","parse-names":false,"suffix":""},{"dropping-particle":"","family":"He","given":"Shuang","non-dropping-particle":"","parse-names":false,"suffix":""},{"dropping-particle":"","family":"Hu","given":"Xuan","non-dropping-particle":"","parse-names":false,"suffix":""},{"dropping-particle":"","family":"Hu","given":"Wangsu","non-dropping-particle":"","parse-names":false,"suffix":""},{"dropping-particle":"","family":"Liu","given":"Bingsheng","non-dropping-particle":"","parse-names":false,"suffix":""}],"container-title":"Information Technology and People","id":"ITEM-8","issue":"7","issued":{"date-parts":[["2022"]]},"page":"2518-2540","title":"Toward dialogue through a holistic measuring framework – the impact of social media on risk communication in the COVID-19","type":"article-journal","volume":"35"},"uris":["http://www.mendeley.com/documents/?uuid=0a67c08d-e86f-4697-a72d-997e6e8a75ba"]}],"mendeley":{"formattedCitation":"(Dao &amp; Lim, 2022; Khan et al., 2022; Pascual-Ferrá, Alperstein, &amp; Barnett, 2022; Thomas et al., 2022; Zhu et al., 2022; Bodoque et al., 2019; Abunyewah, Gajendran, &amp; Maund, 2018; Hicks et al., 2017)","plainTextFormattedCitation":"(Dao &amp; Lim, 2022; Khan et al., 2022; Pascual-Ferrá, Alperstein, &amp; Barnett, 2022; Thomas et al., 2022; Zhu et al., 2022; Bodoque et al., 2019; Abunyewah, Gajendran, &amp; Maund, 2018; Hicks et al., 2017)","previouslyFormattedCitation":"(Dao &amp; Lim, 2022; Khan et al., 2022; Pascual-Ferrá, Alperstein, &amp; Barnett, 2022; Thomas et al., 2022; Zhu et al., 2022; Bodoque et al., 2019; Abunyewah, Gajendran, &amp; Maund, 2018; Hicks et al., 2017)"},"properties":{"noteIndex":0},"schema":"https://github.com/citation-style-language/schema/raw/master/csl-citation.json"}</w:instrText>
      </w:r>
      <w:r w:rsidRPr="00AC1B06">
        <w:rPr>
          <w:rFonts w:cs="Calibri"/>
        </w:rPr>
        <w:fldChar w:fldCharType="separate"/>
      </w:r>
      <w:r w:rsidRPr="00AC1B06">
        <w:rPr>
          <w:rFonts w:cs="Calibri"/>
          <w:noProof/>
        </w:rPr>
        <w:t xml:space="preserve">(Dao &amp; Lim, 2022; Khan et al., 2022; Pascual-Ferrá, Alperstein, &amp; Barnett, 2022; Thomas et al., 2022; Zhu et al., 2022; Bodoque et al., 2019; </w:t>
      </w:r>
      <w:r w:rsidRPr="00AC1B06">
        <w:rPr>
          <w:rFonts w:cs="Calibri"/>
          <w:noProof/>
        </w:rPr>
        <w:lastRenderedPageBreak/>
        <w:t>Abunyewah, Gajendran, &amp; Maund, 2018; Hicks et al., 2017)</w:t>
      </w:r>
      <w:r w:rsidRPr="00AC1B06">
        <w:rPr>
          <w:rFonts w:cs="Calibri"/>
        </w:rPr>
        <w:fldChar w:fldCharType="end"/>
      </w:r>
      <w:r w:rsidRPr="00AC1B06">
        <w:rPr>
          <w:rFonts w:cs="Calibri"/>
        </w:rPr>
        <w:t xml:space="preserve">. This can be viewed as working towards community resilience through providing actionable information to support the communities to take mitigating actions towards a risk. Therefore, </w:t>
      </w:r>
      <w:r w:rsidR="00C84401">
        <w:rPr>
          <w:rFonts w:cs="Calibri"/>
        </w:rPr>
        <w:t>while</w:t>
      </w:r>
      <w:r w:rsidR="00C84401" w:rsidRPr="00AC1B06">
        <w:rPr>
          <w:rFonts w:cs="Calibri"/>
        </w:rPr>
        <w:t xml:space="preserve"> </w:t>
      </w:r>
      <w:r w:rsidRPr="00AC1B06">
        <w:rPr>
          <w:rFonts w:cs="Calibri"/>
        </w:rPr>
        <w:t xml:space="preserve">their strategy did not explicitly mention community resilience, they were working towards building resilience via their PICs. The data suggested that due to a lack of consensus on a definition of community resilience, from the wider FRS or State institutions, that there is a potential for SYFR to utilise institutional agency to create and maintain </w:t>
      </w:r>
      <w:r w:rsidRPr="00AC1B06">
        <w:rPr>
          <w:rFonts w:cs="Calibri"/>
        </w:rPr>
        <w:fldChar w:fldCharType="begin" w:fldLock="1"/>
      </w:r>
      <w:r w:rsidR="00974B75" w:rsidRPr="00AC1B06">
        <w:rPr>
          <w:rFonts w:cs="Calibri"/>
        </w:rPr>
        <w:instrText>ADDIN CSL_CITATION {"citationItems":[{"id":"ITEM-1","itemData":{"DOI":"10.5465/amr.2015.0020","ISBN":"354068297X","ISSN":"03029743","PMID":"127021146","abstract":"In this article I argue that the quest to establish microfoundations for institutional theory is hindered by two assumptions on which it currently rests: that structure simply con-strains and enables action and that agency is mostly associated with reflexivity. I un-pack these two assumptions and propose alternative microfoundations on which (1) structure not only constrains and enables action but also actively orients it toward some possibilities over others, and (2) the pre-reflective dimension of agency is explicitly theorized. It thus becomes possible to bridge long-standing divides within institutional theory, opening up avenues for further developing its microfoundations.","author":[{"dropping-particle":"","family":"Cardinale","given":"Ivano","non-dropping-particle":"","parse-names":false,"suffix":""}],"container-title":"Academy of Management Review","id":"ITEM-1","issue":"1","issued":{"date-parts":[["2018"]]},"page":"132-155","title":"Beyond Constraining and Enabling: Toward New Microfoundations for Institutional Theory","type":"article-journal","volume":"43"},"uris":["http://www.mendeley.com/documents/?uuid=d9c484f7-3075-4731-8304-8986df5d71a1"]},{"id":"ITEM-2","itemData":{"ISBN":"1526415054","author":[{"dropping-particle":"","family":"Greenwood","given":"Royston","non-dropping-particle":"","parse-names":false,"suffix":""},{"dropping-particle":"","family":"Oliver","given":"Christine","non-dropping-particle":"","parse-names":false,"suffix":""},{"dropping-particle":"","family":"Sahlin","given":"Kerstin","non-dropping-particle":"","parse-names":false,"suffix":""},{"dropping-particle":"","family":"Suddaby","given":"Roy","non-dropping-particle":"","parse-names":false,"suffix":""}],"chapter-number":"1","container-title":"The Sage handbook of Organizational Institutionalism","editor":[{"dropping-particle":"","family":"Greenwood","given":"Royston","non-dropping-particle":"","parse-names":false,"suffix":""},{"dropping-particle":"","family":"Oliver","given":"Christine","non-dropping-particle":"","parse-names":false,"suffix":""},{"dropping-particle":"","family":"Lawrence","given":"Thomas B","non-dropping-particle":"","parse-names":false,"suffix":""},{"dropping-particle":"","family":"Meyer","given":"Renate E","non-dropping-particle":"","parse-names":false,"suffix":""}],"id":"ITEM-2","issued":{"date-parts":[["2008"]]},"page":"1 -34","publisher":"Sage","publisher-place":"London","title":"Introduction","type":"chapter"},"uris":["http://www.mendeley.com/documents/?uuid=3fed7a46-7a1f-43ad-aae4-af5880dadba6"]},{"id":"ITEM-3","itemData":{"DOI":"10.1177/1056492609347564","ISSN":"10564926","abstract":"This essay offers a critical summation of the use of neo-institutionalism to study organizations. While institutionalism has succeeded in becoming the dominant theory to study macro-organizational phenomena, there is a danger that the theory has been stretched far beyond its core purpose-to understand how organizational structures and processes acquire meaning and continuity beyond their technical goals. I discuss some possible reasons for this displacement and identify four nascent threads of research that hold strong potential for bringing institutional theory back to its core assumptions and objectives; categories, language, work, and aesthetics. © The Author(s) 2010.","author":[{"dropping-particle":"","family":"Suddaby","given":"Roy","non-dropping-particle":"","parse-names":false,"suffix":""}],"container-title":"Journal of Management Inquiry","id":"ITEM-3","issue":"1","issued":{"date-parts":[["2010"]]},"page":"14-20","title":"Challenges for institutional theory","type":"article-journal","volume":"19"},"uris":["http://www.mendeley.com/documents/?uuid=48d38a20-6474-4586-8ab9-0cdc9bff1589"]},{"id":"ITEM-4","itemData":{"DOI":"10.1111/j.1467-9299.2012.02105.x","ISBN":"00014273","ISSN":"0170-8406","PMID":"18837629","abstract":"Over recent decades, a number of managerial reform initiatives in continental Europe have aimed at moving away from the traditional Weberian model of public administration. Such shifting bases of legitimacy are brought about by changes in the institutional logics in place, which not only provide frames of reference but also social identities and vocabularies of motive for the actors in the field. In this article, we approach the expanding research on public service motivation (PSM) by employing an institutional prism. Based on an executive survey in a continental European context, we examine the assumption that high PSM is associated with the traditional ethos and social identity in the public sector. What we find is that a Weberian legalistic-bureaucratic logic supports neither a high attraction to policy-making nor a high level of compassion. A managerial orientation, on the other hand, entails significantly higher scores on these two dimensions, as well as on overall PSM.","author":[{"dropping-particle":"","family":"Dacin","given":"M Tina","non-dropping-particle":"","parse-names":false,"suffix":""},{"dropping-particle":"","family":"Goodstein","given":"Jerry","non-dropping-particle":"","parse-names":false,"suffix":""},{"dropping-particle":"","family":"Scott","given":"W Richard","non-dropping-particle":"","parse-names":false,"suffix":""}],"container-title":"The Academy of Management Journal","id":"ITEM-4","issue":"1","issued":{"date-parts":[["2002"]]},"page":"45-56","title":"Institutional Theory and Institutional Change: Introduction to the Special Research Forum","type":"article-journal","volume":"45"},"uris":["http://www.mendeley.com/documents/?uuid=ce784237-38a8-4089-a19f-9157aeaf33bb"]},{"id":"ITEM-5","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Practice","id":"ITEM-5","issue":"3","issued":{"date-parts":[["2010"]]},"page":"421-440","title":"Institutional theory and entrepreneurship: Where are we now and where do we need to move in the future?","type":"article-journal","volume":"34"},"uris":["http://www.mendeley.com/documents/?uuid=e36ff41e-f87e-4ac2-ad15-cf1983b501ae"]}],"mendeley":{"formattedCitation":"(Cardinale, 2018; Bruton, Ahlstrom, &amp; Li, 2010; Suddaby, 2010; Greenwood et al., 2008; Dacin, Goodstein, &amp; Scott, 2002)","plainTextFormattedCitation":"(Cardinale, 2018; Bruton, Ahlstrom, &amp; Li, 2010; Suddaby, 2010; Greenwood et al., 2008; Dacin, Goodstein, &amp; Scott, 2002)","previouslyFormattedCitation":"(Cardinale, 2018; Bruton, Ahlstrom, &amp; Li, 2010; Suddaby, 2010; Greenwood et al., 2008; Dacin, Goodstein, &amp; Scott, 2002)"},"properties":{"noteIndex":0},"schema":"https://github.com/citation-style-language/schema/raw/master/csl-citation.json"}</w:instrText>
      </w:r>
      <w:r w:rsidRPr="00AC1B06">
        <w:rPr>
          <w:rFonts w:cs="Calibri"/>
        </w:rPr>
        <w:fldChar w:fldCharType="separate"/>
      </w:r>
      <w:r w:rsidRPr="00AC1B06">
        <w:rPr>
          <w:rFonts w:cs="Calibri"/>
          <w:noProof/>
        </w:rPr>
        <w:t>(Cardinale, 2018; Bruton, Ahlstrom, &amp; Li, 2010; Suddaby, 2010; Greenwood et al., 2008; Dacin, Goodstein, &amp; Scott, 2002)</w:t>
      </w:r>
      <w:r w:rsidRPr="00AC1B06">
        <w:rPr>
          <w:rFonts w:cs="Calibri"/>
        </w:rPr>
        <w:fldChar w:fldCharType="end"/>
      </w:r>
      <w:r w:rsidRPr="00AC1B06">
        <w:rPr>
          <w:rFonts w:cs="Calibri"/>
        </w:rPr>
        <w:t xml:space="preserve"> a new element of the FRS institution, incorporating community resilience, however</w:t>
      </w:r>
      <w:r w:rsidR="00A1788D">
        <w:rPr>
          <w:rFonts w:cs="Calibri"/>
        </w:rPr>
        <w:t>,</w:t>
      </w:r>
      <w:r w:rsidRPr="00AC1B06">
        <w:rPr>
          <w:rFonts w:cs="Calibri"/>
        </w:rPr>
        <w:t xml:space="preserve"> due to a growing neoliberal agenda, there is a lack of funds with which to develop this approach</w:t>
      </w:r>
    </w:p>
    <w:p w14:paraId="1417676C" w14:textId="77777777" w:rsidR="00787F73" w:rsidRPr="00AC1B06" w:rsidRDefault="00787F73" w:rsidP="00866155">
      <w:pPr>
        <w:rPr>
          <w:rFonts w:cs="Calibri"/>
        </w:rPr>
      </w:pPr>
    </w:p>
    <w:p w14:paraId="60E756A0" w14:textId="096E3C61" w:rsidR="00787F73" w:rsidRPr="00AC1B06" w:rsidRDefault="00742FB7" w:rsidP="00866155">
      <w:pPr>
        <w:rPr>
          <w:rFonts w:cs="Calibri"/>
        </w:rPr>
      </w:pPr>
      <w:r w:rsidRPr="00AC1B06">
        <w:rPr>
          <w:rFonts w:cs="Calibri"/>
        </w:rPr>
        <w:t xml:space="preserve">To examine whether SYFR’s PICs have been successful, it required an analysis of the aims that SYFR had when creating the materials </w:t>
      </w:r>
      <w:r w:rsidRPr="00AC1B06">
        <w:rPr>
          <w:rFonts w:cs="Calibri"/>
        </w:rPr>
        <w:fldChar w:fldCharType="begin" w:fldLock="1"/>
      </w:r>
      <w:r w:rsidR="00974B75" w:rsidRPr="00AC1B06">
        <w:rPr>
          <w:rFonts w:cs="Calibri"/>
        </w:rPr>
        <w:instrText>ADDIN CSL_CITATION {"citationItems":[{"id":"ITEM-1","itemData":{"ISBN":"9781412987707","author":[{"dropping-particle":"","family":"Salmon","given":"Charles T.","non-dropping-particle":"","parse-names":false,"suffix":""},{"dropping-particle":"","family":"Murray-Johnson","given":"Lisa","non-dropping-particle":"","parse-names":false,"suffix":""}],"chapter-number":"7","container-title":"Public Communication Campaigns","edition":"Fourth","editor":[{"dropping-particle":"","family":"Rice","given":"Ronald E","non-dropping-particle":"","parse-names":false,"suffix":""},{"dropping-particle":"","family":"Atkin","given":"Charles K","non-dropping-particle":"","parse-names":false,"suffix":""}],"id":"ITEM-1","issued":{"date-parts":[["2013"]]},"page":"184 - 208","publisher":"SAGE","publisher-place":"Thousand Oaks","title":"Communication Campaign Effectiveness and Effects: Some Critical Distinctions","type":"chapter"},"uris":["http://www.mendeley.com/documents/?uuid=404fba21-913d-4d80-bea4-684fb90c3a69"]}],"mendeley":{"formattedCitation":"(Salmon &amp; Murray-Johnson, 2013)","plainTextFormattedCitation":"(Salmon &amp; Murray-Johnson, 2013)","previouslyFormattedCitation":"(Salmon &amp; Murray-Johnson, 2013)"},"properties":{"noteIndex":0},"schema":"https://github.com/citation-style-language/schema/raw/master/csl-citation.json"}</w:instrText>
      </w:r>
      <w:r w:rsidRPr="00AC1B06">
        <w:rPr>
          <w:rFonts w:cs="Calibri"/>
        </w:rPr>
        <w:fldChar w:fldCharType="separate"/>
      </w:r>
      <w:r w:rsidRPr="00AC1B06">
        <w:rPr>
          <w:rFonts w:cs="Calibri"/>
          <w:noProof/>
        </w:rPr>
        <w:t>(Salmon &amp; Murray-Johnson, 2013)</w:t>
      </w:r>
      <w:r w:rsidRPr="00AC1B06">
        <w:rPr>
          <w:rFonts w:cs="Calibri"/>
        </w:rPr>
        <w:fldChar w:fldCharType="end"/>
      </w:r>
      <w:r w:rsidRPr="00AC1B06">
        <w:rPr>
          <w:rFonts w:cs="Calibri"/>
        </w:rPr>
        <w:t xml:space="preserve">. The literature states that the benefits and effectiveness of PICs are often short-lived and not sustainable </w:t>
      </w:r>
      <w:r w:rsidRPr="00AC1B06">
        <w:rPr>
          <w:rFonts w:cs="Calibri"/>
        </w:rPr>
        <w:fldChar w:fldCharType="begin" w:fldLock="1"/>
      </w:r>
      <w:r w:rsidRPr="00AC1B06">
        <w:rPr>
          <w:rFonts w:cs="Calibri"/>
        </w:rPr>
        <w:instrText>ADDIN CSL_CITATION {"citationItems":[{"id":"ITEM-1","itemData":{"DOI":"10.1017/S1474747215000098","ISBN":"1474747215000","ISSN":"14753022","abstract":"Government authorities use resources on information campaigns in order to inform citizens about relevant policy changes. The motivation is usually that individuals sometimes are ill-informed about the public policies relevant for their choices. In a survey experiment where the treatment group was provided with public information material on the social security system, we assess the short- and medium-term knowledge effects. We show that the short run effects of the information on knowledge disappear completely within 4 months. The findings illustrate the limits of public information campaigns to improve knowledge about relevant policy reforms.","author":[{"dropping-particle":"","family":"Finseraas","given":"Henning","non-dropping-particle":"","parse-names":false,"suffix":""},{"dropping-particle":"","family":"Jakobsson","given":"Niklas","non-dropping-particle":"","parse-names":false,"suffix":""},{"dropping-particle":"","family":"Svensson","given":"Mikael","non-dropping-particle":"","parse-names":false,"suffix":""}],"container-title":"Journal of Pension Economics and Finance","id":"ITEM-1","issue":"1","issued":{"date-parts":[["2017"]]},"page":"108-117","title":"Do knowledge gains from public information campaigns persist over time? Results from a survey experiment on the Norwegian pension reform","type":"article-journal","volume":"16"},"uris":["http://www.mendeley.com/documents/?uuid=d9dbed88-c694-49dd-a174-2531c9ca6d3f"]},{"id":"ITEM-2","itemData":{"DOI":"10.1080/13504851.2014.922660","ISSN":"14664291","abstract":"We present the results of a survey experiment where the respondents were randomly assigned the opportunity to read an information brochure regarding recently implemented changes in the Norwegian pension system. We find that those given the opportunity to read the information material are more likely to believe that the reform has made the pension system easier to understand.","author":[{"dropping-particle":"","family":"Finseraas","given":"Henning","non-dropping-particle":"","parse-names":false,"suffix":""},{"dropping-particle":"","family":"Jakobsson","given":"Niklas","non-dropping-particle":"","parse-names":false,"suffix":""}],"container-title":"Applied Economics Letters","id":"ITEM-2","issue":"18","issued":{"date-parts":[["2014"]]},"page":"1266-1268","publisher":"Routledge","title":"Does a simple information intervention change the perception of a reform?","type":"article-journal","volume":"21"},"uris":["http://www.mendeley.com/documents/?uuid=f3c6caf6-44ba-40be-b402-a47314735193"]},{"id":"ITEM-3","itemData":{"DOI":"10.1017/S1474747213000310","ISBN":"1474747213","ISSN":"14753022","abstract":"We present the results of a survey experiment where the treatment group was provided with an information brochure regarding recently implemented changes in the Norwegian pension system, whereas a control group was not. We find that those who received the information are more likely to respond correctly to questions regarding the new pension system. The information effect is larger for those with high education, but only for the most complex aspect of the reform. Despite greater knowledge of the reform in the treatment group, we find no differences between the treatment and control group in their preferences regarding when to retire or whether to combine work and pension uptake. © Cambridge University Press 2013.","author":[{"dropping-particle":"","family":"Finseraas","given":"Henning","non-dropping-particle":"","parse-names":false,"suffix":""},{"dropping-particle":"","family":"Jakobsson","given":"Niklas","non-dropping-particle":"","parse-names":false,"suffix":""}],"container-title":"Journal of Pension Economics and Finance","id":"ITEM-3","issue":"3","issued":{"date-parts":[["2014"]]},"page":"250-271","title":"Does information about the pension system affect knowledge and retirement plans? Evidence from a survey experiment","type":"article-journal","volume":"13"},"uris":["http://www.mendeley.com/documents/?uuid=b09c03fd-4d72-4808-86d5-4cc79adaa5aa"]},{"id":"ITEM-4","itemData":{"DOI":"10.1371/journal.pone.0266242","ISBN":"1111111111","ISSN":"19326203","PMID":"35381026","abstract":"From an out-of-province/state and international post-secondary student perspective, this article (a) explores mass email risk communication facilitation during the COVID-19-triggered campus-wide evictions in Canada and the United States; and (b) develops relative recommendations to improve mass email risk communication strategies for future emergency response. Investigating mass email risk communication-related impacts on students in a tertiary educational context has revealed a significant deficit in emergency response research, practice, and policymaking. Mandatory temporary university and college closures during the COVID-19 first wave provided an opportunity to address this research and practice deficit, as most Canadian and American universities/colleges administered their eviction communication via daily mass email chains. Through a phenomenological lens, this study interviewed twenty out-of-province/state and international students, ten from each country respectively, to examine student eviction experiences associated with intensive mass email risk communication. This research identified four factors linked to mass email risk communication: email chain characteristics, student interpretation, interdepartmental cooperation, and frontline voices. Synthesizing these findings, four evidence-based recommendations were developed: to efficiently convey risk information to students, to understand student perceptions and to inform their behaviors, to enhance interdepartmental cooperation, and to enable mutual dialogue in decision making. These recommendations could assist post-secondary institutions, and other organizations, in strengthening their mass email risk communication strategies and advancing organizational emergency response plans for future extreme events.","author":[{"dropping-particle":"","family":"Wu","given":"Haorui","non-dropping-particle":"","parse-names":false,"suffix":""}],"container-title":"PLoS ONE","id":"ITEM-4","issue":"4","issued":{"date-parts":[["2022"]]},"page":"1-22","title":"Mass email risk communication: Lessons learned from COVID-19-triggered campus-wide evictions in Canada and the United States","type":"article-journal","volume":"17"},"uris":["http://www.mendeley.com/documents/?uuid=6c5c54fa-9dc3-4ba9-a878-bff9adc0ffde"]}],"mendeley":{"formattedCitation":"(Wu, 2022; Finseraas, Jakobsson, &amp; Svensson, 2017; Finseraas &amp; Jakobsson, 2014b, 2014a)","plainTextFormattedCitation":"(Wu, 2022; Finseraas, Jakobsson, &amp; Svensson, 2017; Finseraas &amp; Jakobsson, 2014b, 2014a)","previouslyFormattedCitation":"(Wu, 2022; Finseraas, Jakobsson, &amp; Svensson, 2017; Finseraas &amp; Jakobsson, 2014b, 2014a)"},"properties":{"noteIndex":0},"schema":"https://github.com/citation-style-language/schema/raw/master/csl-citation.json"}</w:instrText>
      </w:r>
      <w:r w:rsidRPr="00AC1B06">
        <w:rPr>
          <w:rFonts w:cs="Calibri"/>
        </w:rPr>
        <w:fldChar w:fldCharType="separate"/>
      </w:r>
      <w:r w:rsidRPr="00AC1B06">
        <w:rPr>
          <w:rFonts w:cs="Calibri"/>
          <w:noProof/>
        </w:rPr>
        <w:t>(Wu, 2022; Finseraas, Jakobsson, &amp; Svensson, 2017; Finseraas &amp; Jakobsson, 2014b, 2014a)</w:t>
      </w:r>
      <w:r w:rsidRPr="00AC1B06">
        <w:rPr>
          <w:rFonts w:cs="Calibri"/>
        </w:rPr>
        <w:fldChar w:fldCharType="end"/>
      </w:r>
      <w:r w:rsidRPr="00AC1B06">
        <w:rPr>
          <w:rFonts w:cs="Calibri"/>
        </w:rPr>
        <w:t xml:space="preserve">, and </w:t>
      </w:r>
      <w:r w:rsidR="00C84401">
        <w:rPr>
          <w:rFonts w:cs="Calibri"/>
        </w:rPr>
        <w:t>while</w:t>
      </w:r>
      <w:r w:rsidR="00C84401" w:rsidRPr="00AC1B06">
        <w:rPr>
          <w:rFonts w:cs="Calibri"/>
        </w:rPr>
        <w:t xml:space="preserve"> </w:t>
      </w:r>
      <w:r w:rsidRPr="00AC1B06">
        <w:rPr>
          <w:rFonts w:cs="Calibri"/>
        </w:rPr>
        <w:t xml:space="preserve">this may be the case, an examination of SYFR’s campaign calendars over the year shows that they recreate the same campaigns and run broadly the same messages each year, such as electrical fires and cooking fires. This suggests that </w:t>
      </w:r>
      <w:r w:rsidR="00C84401">
        <w:rPr>
          <w:rFonts w:cs="Calibri"/>
        </w:rPr>
        <w:t>while</w:t>
      </w:r>
      <w:r w:rsidR="00C84401" w:rsidRPr="00AC1B06">
        <w:rPr>
          <w:rFonts w:cs="Calibri"/>
        </w:rPr>
        <w:t xml:space="preserve"> </w:t>
      </w:r>
      <w:r w:rsidRPr="00AC1B06">
        <w:rPr>
          <w:rFonts w:cs="Calibri"/>
        </w:rPr>
        <w:t xml:space="preserve">the method is not broadly effective, their approach may help to educate people who have not seen it previously or provide a gentle reminder to those who have. However, using PICs which are sharing risk messages can be viewed as broadcasting and part of the widely criticised </w:t>
      </w:r>
      <w:r w:rsidR="00912954">
        <w:rPr>
          <w:rFonts w:cs="Calibri"/>
        </w:rPr>
        <w:t>D</w:t>
      </w:r>
      <w:r w:rsidR="004F7B90" w:rsidRPr="00AC1B06">
        <w:rPr>
          <w:rFonts w:cs="Calibri"/>
        </w:rPr>
        <w:t xml:space="preserve">eficit </w:t>
      </w:r>
      <w:r w:rsidR="00912954">
        <w:rPr>
          <w:rFonts w:cs="Calibri"/>
        </w:rPr>
        <w:t>M</w:t>
      </w:r>
      <w:r w:rsidR="004F7B90" w:rsidRPr="00AC1B06">
        <w:rPr>
          <w:rFonts w:cs="Calibri"/>
        </w:rPr>
        <w:t>odel</w:t>
      </w:r>
      <w:r w:rsidRPr="00AC1B06">
        <w:rPr>
          <w:rFonts w:cs="Calibri"/>
        </w:rPr>
        <w:t xml:space="preserve">, as they are providing the information to the audience, and expecting them to act on it </w:t>
      </w:r>
      <w:r w:rsidRPr="00AC1B06">
        <w:rPr>
          <w:rFonts w:cs="Calibri"/>
        </w:rPr>
        <w:fldChar w:fldCharType="begin" w:fldLock="1"/>
      </w:r>
      <w:r w:rsidR="00974B75" w:rsidRPr="00AC1B06">
        <w:rPr>
          <w:rFonts w:cs="Calibri"/>
        </w:rPr>
        <w:instrText>ADDIN CSL_CITATION {"citationItems":[{"id":"ITEM-1","itemData":{"DOI":"10.1016/j.proeng.2018.01.032","ISSN":"18777058","abstract":"The potential of risk communication as tool for reducing the devastating impacts posited by disaster hazards on human lives and property has been discussed extensively in literature. Most risk communication studies and strategies focus on awareness creation and education on disaster hazards. However, awareness creation and education on disaster hazards do not necessary translate into preparatory attitude and behaviour towards disaster hazards. Frantic efforts are required to persuade and motivate people at risk to convert hazard awareness and education into preparation towards disaster hazards. Against this backdrop, this paper develops a conceptual model through literature review to facilitate and enhance disaster preparedness through risk communication.","author":[{"dropping-particle":"","family":"Abunyewah","given":"Matthew","non-dropping-particle":"","parse-names":false,"suffix":""},{"dropping-particle":"","family":"Gajendran","given":"Thayaparan","non-dropping-particle":"","parse-names":false,"suffix":""},{"dropping-particle":"","family":"Maund","given":"Kim","non-dropping-particle":"","parse-names":false,"suffix":""}],"container-title":"Procedia Engineering","id":"ITEM-1","issued":{"date-parts":[["2018"]]},"page":"246-253","publisher":"Elsevier B.V.","title":"Conceptual Framework for Motivating Actions towards Disaster Preparedness Through Risk Communication","type":"article-journal","volume":"212"},"uris":["http://www.mendeley.com/documents/?uuid=01e245d0-867b-47cd-8164-80d2bc1d7862"]},{"id":"ITEM-2","itemData":{"DOI":"10.1016/j.gloenvcha.2019.03.001","ISSN":"09593780","abstract":"'Participation with publics' has been embraced in both government and academic literatures as a necessary but currently unrealized means of governing socio-environmental challenges. This near-universal embrace carries global significance. Long-standing efforts in the context of disaster risk reduction (DRR) provide an opportunity to consider how experts have positioned participation such that it can only fail to empower publics. Using interviews with risk managers, we demonstrate that they impose boundaries on participation via application of a deficit model (DM). Despite continuous calls to make governance more participatory, we explore how the boundaries imposed on participation persist because of how experts are expected to do risk management, and how experts understand their occupations. As a result, meaningful publics-experts interactions are bounded into impossibility. Following demonstration of the DM as the essence of how experts conceive experts-publics interactions, using experts' own suggestions for improving risk reduction, we suggest relationship building as a way of reinvigorating participation. We explore how disaster risk reduction grounded in relationships could overcome existing boundaries, offering an easily-applied reconceptualization for differentiating meaningful from superficial participation, as well as a viable alternative to prevailing participatory methods. Given the intransigence of countless socio-environmental challenges and the need for improved interactions amongst experts-publics, the findings offer a novel pathway that may open an avenue to realizing the promise of participation.","author":[{"dropping-particle":"","family":"Cook","given":"Brian R.","non-dropping-particle":"","parse-names":false,"suffix":""},{"dropping-particle":"","family":"Melo Zurita","given":"Maria de Lourdes","non-dropping-particle":"","parse-names":false,"suffix":""}],"container-title":"Global Environmental Change","id":"ITEM-2","issue":"May","issued":{"date-parts":[["2019"]]},"page":"56-65","publisher":"Elsevier Ltd","title":"Fulfilling the promise of participation by not resuscitating the deficit model","type":"article-journal","volume":"56"},"uris":["http://www.mendeley.com/documents/?uuid=de577b06-4442-4293-9291-43a20bc460b6"]},{"id":"ITEM-3","itemData":{"DOI":"10.1080/13669877.2020.1756385","ISSN":"14664461","abstract":"The emergence of the 2019 novel coronavirus has led to more than a pandemic—indeed, COVID-19 is spawning myriad other concerns as it rapidly marches around the globe. One of these concerns is a surge of misinformation, which we argue should be viewed as a risk in its own right, and to which insights from decades of risk communication research must be applied. Further, when the subject of misinformation is itself a risk, as in the case of COVID-19, we argue for the utility of viewing the problem as a multi-layered risk communication problem. In such circumstances, misinformation functions as a meta-risk that interacts with and complicates publics’ perceptions of the original risk. Therefore, as the COVID-19 “misinfodemic” intensifies, risk communication research should inform the efforts of key risk communicators. To this end, we discuss the implications of risk research for efforts to fact-check COVID-19 misinformation and offer practical recommendations.","author":[{"dropping-particle":"","family":"Krause","given":"Nicole M.","non-dropping-particle":"","parse-names":false,"suffix":""},{"dropping-particle":"","family":"Freiling","given":"Isabelle","non-dropping-particle":"","parse-names":false,"suffix":""},{"dropping-particle":"","family":"Beets","given":"Becca","non-dropping-particle":"","parse-names":false,"suffix":""},{"dropping-particle":"","family":"Brossard","given":"Dominique","non-dropping-particle":"","parse-names":false,"suffix":""}],"container-title":"Journal of Risk Research","id":"ITEM-3","issue":"7-8","issued":{"date-parts":[["2020"]]},"page":"1052-1059","publisher":"Routledge","title":"Fact-checking as risk communication: the multi-layered risk of misinformation in times of COVID-19","type":"article-journal","volume":"23"},"uris":["http://www.mendeley.com/documents/?uuid=26d3c928-b5da-4496-be25-28ce98d4ef48"]}],"mendeley":{"formattedCitation":"(Krause et al., 2020; Cook &amp; Melo Zurita, 2019; Abunyewah, Gajendran, &amp; Maund, 2018)","plainTextFormattedCitation":"(Krause et al., 2020; Cook &amp; Melo Zurita, 2019; Abunyewah, Gajendran, &amp; Maund, 2018)","previouslyFormattedCitation":"(Krause et al., 2020; Cook &amp; Melo Zurita, 2019; Abunyewah, Gajendran, &amp; Maund, 2018)"},"properties":{"noteIndex":0},"schema":"https://github.com/citation-style-language/schema/raw/master/csl-citation.json"}</w:instrText>
      </w:r>
      <w:r w:rsidRPr="00AC1B06">
        <w:rPr>
          <w:rFonts w:cs="Calibri"/>
        </w:rPr>
        <w:fldChar w:fldCharType="separate"/>
      </w:r>
      <w:r w:rsidRPr="00AC1B06">
        <w:rPr>
          <w:rFonts w:cs="Calibri"/>
          <w:noProof/>
        </w:rPr>
        <w:t>(Krause et al., 2020; Cook &amp; Melo Zurita, 2019; Abunyewah, Gajendran, &amp; Maund, 2018)</w:t>
      </w:r>
      <w:r w:rsidRPr="00AC1B06">
        <w:rPr>
          <w:rFonts w:cs="Calibri"/>
        </w:rPr>
        <w:fldChar w:fldCharType="end"/>
      </w:r>
      <w:r w:rsidRPr="00AC1B06">
        <w:rPr>
          <w:rFonts w:cs="Calibri"/>
        </w:rPr>
        <w:t>.</w:t>
      </w:r>
    </w:p>
    <w:p w14:paraId="25F32167" w14:textId="77777777" w:rsidR="00787F73" w:rsidRPr="00AC1B06" w:rsidRDefault="00787F73" w:rsidP="00866155">
      <w:pPr>
        <w:rPr>
          <w:rFonts w:cs="Calibri"/>
        </w:rPr>
      </w:pPr>
    </w:p>
    <w:p w14:paraId="7B5527C2" w14:textId="2707BD1D" w:rsidR="00787F73" w:rsidRPr="00AC1B06" w:rsidRDefault="00742FB7" w:rsidP="00866155">
      <w:pPr>
        <w:rPr>
          <w:rFonts w:cs="Calibri"/>
        </w:rPr>
      </w:pPr>
      <w:r w:rsidRPr="00AC1B06">
        <w:rPr>
          <w:rFonts w:cs="Calibri"/>
        </w:rPr>
        <w:t xml:space="preserve">The use of the </w:t>
      </w:r>
      <w:r w:rsidR="00912954">
        <w:rPr>
          <w:rFonts w:cs="Calibri"/>
        </w:rPr>
        <w:t>D</w:t>
      </w:r>
      <w:r w:rsidR="004F7B90" w:rsidRPr="00AC1B06">
        <w:rPr>
          <w:rFonts w:cs="Calibri"/>
        </w:rPr>
        <w:t xml:space="preserve">eficit </w:t>
      </w:r>
      <w:r w:rsidR="00912954">
        <w:rPr>
          <w:rFonts w:cs="Calibri"/>
        </w:rPr>
        <w:t>M</w:t>
      </w:r>
      <w:r w:rsidR="004F7B90" w:rsidRPr="00AC1B06">
        <w:rPr>
          <w:rFonts w:cs="Calibri"/>
        </w:rPr>
        <w:t xml:space="preserve">odel </w:t>
      </w:r>
      <w:r w:rsidRPr="00AC1B06">
        <w:rPr>
          <w:rFonts w:cs="Calibri"/>
        </w:rPr>
        <w:t xml:space="preserve">in their communication highlights some of the challenges facing SYFR and other public sector organisations. As discussed in the literature review, the FRS sector has been subject to funding cuts and pressures related to NPM and wider neoliberal political agendas. NPM encourages public sector organisations to develop new management styles to increase their operational efficiency and effectiveness, creating value for money and flexibility </w:t>
      </w:r>
      <w:r w:rsidRPr="00AC1B06">
        <w:rPr>
          <w:rFonts w:cs="Calibri"/>
        </w:rPr>
        <w:fldChar w:fldCharType="begin" w:fldLock="1"/>
      </w:r>
      <w:r w:rsidR="00974B75" w:rsidRPr="00AC1B06">
        <w:rPr>
          <w:rFonts w:cs="Calibri"/>
        </w:rPr>
        <w:instrText>ADDIN CSL_CITATION {"citationItems":[{"id":"ITEM-1","itemData":{"DOI":"10.1111/faam.12372","ISSN":"14680408","abstract":"Performance management in the public sector is both multifaceted and convoluted. This is particularly pertinent in hospitals, which are complex institutional organizations. Our paper explores the key drivers compelling Irish public acute-care hospitals to monitor their performance. The context of our study is located against the unique historical backdrop of the Irish health service, whose evolution over time reflects religious control, underfunding by the State and reliance on a decentralized structure up until the early 2000s. This study was conducted during 2009–2010, in the aftermath of the financial crisis of 2008–2009. Interviews were conducted with members of the hospital executive management team, comprising clinical and nonclinical senior managers, using the framework of Kelly et al. (2015) to explore and analyze respondent perspectives. We propose that a combination of key forces, emanating from new public management, the institutional environment, and its constituent elements spurs hospitals to monitor their performance. The confluence of these forces reveals a perceived change in the institutional logic underpinning hospital performance management. This change involved the substitution of autonomous clinical decision-making for a more team-based managerial logic whereby clinicians engaged as part of a multidisciplinary executive unit and accepted responsibility for hospital performance. This paper contributes to the literature on performance management in public services and, more specifically, builds on and addresses the paucity of research on Irish acute-care hospitals.","author":[{"dropping-particle":"","family":"Kelly","given":"Rosemarie","non-dropping-particle":"","parse-names":false,"suffix":""},{"dropping-particle":"","family":"O'Donohoe","given":"Sheila","non-dropping-particle":"","parse-names":false,"suffix":""},{"dropping-particle":"","family":"Doyle","given":"Gerardine","non-dropping-particle":"","parse-names":false,"suffix":""}],"container-title":"Financial Accountability and Management","id":"ITEM-1","issue":"3","issued":{"date-parts":[["2023"]]},"page":"616-635","title":"Key forces compelling the monitoring of hospital performance: An exploratory study","type":"article-journal","volume":"39"},"uris":["http://www.mendeley.com/documents/?uuid=d556bee7-b05d-424d-aa6f-2efc32db61d4"]},{"id":"ITEM-2","itemData":{"DOI":"10.1080/01559982.2022.2133339","ISSN":"14676303","abstract":"This paper explores the United Kingdom’s (UK) attempt to reconcile fiscal reporting logics through its Clear Line of Sight Alignment Project (CLOS). Drawing on archival data, together with semi-structured interviews with representatives involved in the implementation of CLOS, the findings indicate that what started as a means of resolving the tensions between logics, CLOS has exacerbated some existing ones and exposed others. This is largely due to the influence of the professional logic, primarily the UK’s adherence to International Financial Reporting Standards which prevents fiscal reporting being fully aligned. Furthermore, our research illustrates how the UK government has resisted elements of both the professional and national logics to create a system designed to rationalise the fiscal reporting maze. The findings also show that operationally CLOS has (to an extent) aligned the timing, coverage and classification of the fiscal reporting process to present the flow of expenditure from budgeted to approved, to outturn, thereby contributing to the wider agenda of improving the planning, management and control of public expenditure. Given continued calls to align global fiscal reporting practices, this paper informs public policy makers of the (potential) linkages between systems, the obstacles that can be encountered and the incentives for adopting it.","author":[{"dropping-particle":"","family":"Stewart","given":"Elaine","non-dropping-particle":"","parse-names":false,"suffix":""},{"dropping-particle":"","family":"Connolly","given":"Ciaran","non-dropping-particle":"","parse-names":false,"suffix":""}],"container-title":"Accounting Forum","id":"ITEM-2","issued":{"date-parts":[["2022"]]},"page":"1 - 25","title":"UK public sector fiscal reporting: clear and contradictory","type":"article-journal"},"uris":["http://www.mendeley.com/documents/?uuid=758876e3-36e8-471d-8d3d-3461df951b35"]},{"id":"ITEM-3","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Journal","id":"ITEM-3","issue":"1/2","issued":{"date-parts":[["2019"]]},"page":"134-151","title":"The impact of new public management through outsourcing on the management of government information: The case of Sweden","type":"article-journal","volume":"29"},"uris":["http://www.mendeley.com/documents/?uuid=4524732a-155c-4c93-922f-cd3a912b45c2"]}],"mendeley":{"formattedCitation":"(Kelly, O’Donohoe, &amp; Doyle, 2023; Stewart &amp; Connolly, 2022; Svärd, 2019)","plainTextFormattedCitation":"(Kelly, O’Donohoe, &amp; Doyle, 2023; Stewart &amp; Connolly, 2022; Svärd, 2019)","previouslyFormattedCitation":"(Kelly, O’Donohoe, &amp; Doyle, 2023; Stewart &amp; Connolly, 2022; Svärd, 2019)"},"properties":{"noteIndex":0},"schema":"https://github.com/citation-style-language/schema/raw/master/csl-citation.json"}</w:instrText>
      </w:r>
      <w:r w:rsidRPr="00AC1B06">
        <w:rPr>
          <w:rFonts w:cs="Calibri"/>
        </w:rPr>
        <w:fldChar w:fldCharType="separate"/>
      </w:r>
      <w:r w:rsidRPr="00AC1B06">
        <w:rPr>
          <w:rFonts w:cs="Calibri"/>
          <w:noProof/>
        </w:rPr>
        <w:t>(Kelly, O’Donohoe, &amp; Doyle, 2023; Stewart &amp; Connolly, 2022; Svärd, 2019)</w:t>
      </w:r>
      <w:r w:rsidRPr="00AC1B06">
        <w:rPr>
          <w:rFonts w:cs="Calibri"/>
        </w:rPr>
        <w:fldChar w:fldCharType="end"/>
      </w:r>
      <w:r w:rsidRPr="00AC1B06">
        <w:rPr>
          <w:rFonts w:cs="Calibri"/>
        </w:rPr>
        <w:t xml:space="preserve">. This was seen institutionally within the Bain Review (2002) which placed a focus on </w:t>
      </w:r>
      <w:r w:rsidRPr="00AC1B06">
        <w:rPr>
          <w:rFonts w:cs="Calibri"/>
          <w:i/>
          <w:iCs/>
        </w:rPr>
        <w:lastRenderedPageBreak/>
        <w:t>best value</w:t>
      </w:r>
      <w:r w:rsidRPr="00AC1B06">
        <w:rPr>
          <w:rFonts w:cs="Calibri"/>
        </w:rPr>
        <w:t xml:space="preserve"> </w:t>
      </w:r>
      <w:r w:rsidRPr="00AC1B06">
        <w:rPr>
          <w:rFonts w:cs="Calibri"/>
        </w:rPr>
        <w:fldChar w:fldCharType="begin" w:fldLock="1"/>
      </w:r>
      <w:r w:rsidRPr="00AC1B06">
        <w:rPr>
          <w:rFonts w:cs="Calibri"/>
        </w:rPr>
        <w:instrText>ADDIN CSL_CITATION {"citationItems":[{"id":"ITEM-1","itemData":{"DOI":"10.1080/03003930.2011.588701","ISBN":"03003930 (ISSN)","ISSN":"03003930","abstract":"Over the last ten years, local government modernisation and the growth of community safety agendas have called for change in the public sector at a local level. This has been typified by partnership work, improvement and inspection and community governance. The fire and rescue services, despite some initial cultural difficulties, have worked hard to adapt themselves to modern local government, for example through community fire safety work, which is presented as a case study. However, the culmination of the modernisation project, Comprehensive Area Assessment, does not favour the fire and rescue service, and to an extent excludes them from its formula. In this light, it seems that there is little incentive for the Fire Service to continue its modernising trajectory. © 2011 Taylor &amp; Francis.","author":[{"dropping-particle":"","family":"Matheson","given":"Kate","non-dropping-particle":"","parse-names":false,"suffix":""},{"dropping-particle":"","family":"Manning","given":"Rachel","non-dropping-particle":"","parse-names":false,"suffix":""},{"dropping-particle":"","family":"Williams","given":"Sara","non-dropping-particle":"","parse-names":false,"suffix":""}],"container-title":"Local Government Studies","id":"ITEM-1","issue":"4","issued":{"date-parts":[["2011"]]},"page":"451-465","title":"From brigade to service: An examination of the role of fire and rescue services in modern local government","type":"article-journal","volume":"37"},"uris":["http://www.mendeley.com/documents/?uuid=d535e317-5890-468e-bf3a-7891ccb8e10d"]}],"mendeley":{"formattedCitation":"(Matheson, Manning, &amp; Williams, 2011)","plainTextFormattedCitation":"(Matheson, Manning, &amp; Williams, 2011)","previouslyFormattedCitation":"(Matheson, Manning, &amp; Williams, 2011)"},"properties":{"noteIndex":0},"schema":"https://github.com/citation-style-language/schema/raw/master/csl-citation.json"}</w:instrText>
      </w:r>
      <w:r w:rsidRPr="00AC1B06">
        <w:rPr>
          <w:rFonts w:cs="Calibri"/>
        </w:rPr>
        <w:fldChar w:fldCharType="separate"/>
      </w:r>
      <w:r w:rsidRPr="00AC1B06">
        <w:rPr>
          <w:rFonts w:cs="Calibri"/>
          <w:noProof/>
        </w:rPr>
        <w:t>(Matheson, Manning, &amp; Williams, 2011)</w:t>
      </w:r>
      <w:r w:rsidRPr="00AC1B06">
        <w:rPr>
          <w:rFonts w:cs="Calibri"/>
        </w:rPr>
        <w:fldChar w:fldCharType="end"/>
      </w:r>
      <w:r w:rsidRPr="00AC1B06">
        <w:rPr>
          <w:rFonts w:cs="Calibri"/>
        </w:rPr>
        <w:t xml:space="preserve"> and which put an institutional pressure on FRS to ensure that their resources were used efficiently and effectively. These factors combine to place pressure on organisations to show progress and results, which is largely done through quantification</w:t>
      </w:r>
      <w:r w:rsidR="00A1788D">
        <w:rPr>
          <w:rFonts w:cs="Calibri"/>
        </w:rPr>
        <w:t>.</w:t>
      </w:r>
      <w:r w:rsidRPr="00AC1B06">
        <w:rPr>
          <w:rFonts w:cs="Calibri"/>
        </w:rPr>
        <w:t xml:space="preserve"> </w:t>
      </w:r>
      <w:r w:rsidR="00A1788D">
        <w:rPr>
          <w:rFonts w:cs="Calibri"/>
        </w:rPr>
        <w:t>This</w:t>
      </w:r>
      <w:r w:rsidRPr="00AC1B06">
        <w:rPr>
          <w:rFonts w:cs="Calibri"/>
        </w:rPr>
        <w:t xml:space="preserve"> can be viewed in their evaluation of their campaigns and their use of metrics. This highlights the institutional plurality surrounding SYFR’s communication, with the NPM logics and state logics appearing to be compatible, however, it constrains their activity </w:t>
      </w:r>
      <w:r w:rsidRPr="00AC1B06">
        <w:rPr>
          <w:rFonts w:cs="Calibri"/>
        </w:rPr>
        <w:fldChar w:fldCharType="begin" w:fldLock="1"/>
      </w:r>
      <w:r w:rsidRPr="00AC1B06">
        <w:rPr>
          <w:rFonts w:cs="Calibri"/>
        </w:rPr>
        <w:instrText>ADDIN CSL_CITATION {"citationItems":[{"id":"ITEM-1","itemData":{"DOI":"10.1111/j.1540-6520.2010.00390.x","ISBN":"10422587","ISSN":"10422587","PMID":"49206381","abstract":"Institutional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Practice","id":"ITEM-1","issue":"3","issued":{"date-parts":[["2010"]]},"page":"421-440","title":"Institutional theory and entrepreneurship: Where are we now and where do we need to move in the future?","type":"article-journal","volume":"34"},"uris":["http://www.mendeley.com/documents/?uuid=e36ff41e-f87e-4ac2-ad15-cf1983b501ae"]},{"id":"ITEM-2","itemData":{"DOI":"http://dx.doi.org/10.1108/09564230910978511","ISBN":"0263557001030","ISSN":"0264-0473","PMID":"42012058","abstract":"Purpose – The institutional work literature has paid little attention to cognition and interests in the creation, maintenance, and disruption of institutions. The purpose of this paper is to explore the construct of interests as it relates to institutional work projects. The authors frame interests as recognitions situated within broader institutional meaning systems, with a specific focus on interest plurality. Design/methodology/approach – The authors conducted an 18-month ethnography exploring institutional work projects within a rural chamber of commerce. The authors aimed to understand how projects contributed to community survival on a micro-level and institutional change on a macro-level. Rural chambers of commerce represent a unique example of emergent public-private partnerships, challenging traditional commercial logics of chambers of commerce. The research design included qualitative data collection, coding, and analysis of field notes, interviews, and archival sources. Findings – Purposive action was grounded in the community inhabited by the rural chamber of commerce and not the institution itself. Recognized interests enabled nontraditional workers – public employees with newly founded and legitimate roles within the chamber – to pursue community- focussed projects. Change across the institution of chambers of commerce occurred because of the separated and aggregate projects spanning across rural communities. Originality/value – Recognized interests are a social, plural, and malleable phenomenon supporting situated agency and the co-creation activities embodied in institutional work projects. The authors contribute to the institutional work literature by introducing the idea of interest plurality and illustrating how the work of rural chambers of commerce captures contemporary forms of community organizing. Keywords Institutional work, Ethnography, Interests, Organizational change, Chamber of commerce, Plurality Paper type Research paper","author":[{"dropping-particle":"","family":"Crawford","given":"Brett","non-dropping-particle":"","parse-names":false,"suffix":""},{"dropping-particle":"","family":"Branch","given":"John","non-dropping-particle":"","parse-names":false,"suffix":""}],"container-title":"Journal of Organizational Ethnography","id":"ITEM-2","issue":"1","issued":{"date-parts":[["2015"]]},"page":"98 - 116","title":"Interest plurality and institutional work: An ethnography of rural community organizing","type":"article-journal","volume":"4"},"uris":["http://www.mendeley.com/documents/?uuid=85adcd74-d347-48ed-907b-5c36d6c9670a"]}],"mendeley":{"formattedCitation":"(Crawford &amp; Branch, 2015; Bruton, Ahlstrom, &amp; Li, 2010)","plainTextFormattedCitation":"(Crawford &amp; Branch, 2015; Bruton, Ahlstrom, &amp; Li, 2010)","previouslyFormattedCitation":"(Crawford &amp; Branch, 2015; Bruton, Ahlstrom, &amp; Li, 2010)"},"properties":{"noteIndex":0},"schema":"https://github.com/citation-style-language/schema/raw/master/csl-citation.json"}</w:instrText>
      </w:r>
      <w:r w:rsidRPr="00AC1B06">
        <w:rPr>
          <w:rFonts w:cs="Calibri"/>
        </w:rPr>
        <w:fldChar w:fldCharType="separate"/>
      </w:r>
      <w:r w:rsidRPr="00AC1B06">
        <w:rPr>
          <w:rFonts w:cs="Calibri"/>
          <w:noProof/>
        </w:rPr>
        <w:t>(Crawford &amp; Branch, 2015; Bruton, Ahlstrom, &amp; Li, 2010)</w:t>
      </w:r>
      <w:r w:rsidRPr="00AC1B06">
        <w:rPr>
          <w:rFonts w:cs="Calibri"/>
        </w:rPr>
        <w:fldChar w:fldCharType="end"/>
      </w:r>
      <w:r w:rsidRPr="00AC1B06">
        <w:rPr>
          <w:rFonts w:cs="Calibri"/>
        </w:rPr>
        <w:t xml:space="preserve">, encouraging SYFR to focus on quantifiable targets rather than a more qualitative and holistic approach. This creates a challenge for SYFR to effectively communicate to support the development of community resilience, as their current internal logics are focusing on quantifiable measures, which would be challenging to fully encapsulate the concept of community resilience, as explored in the literature review. </w:t>
      </w:r>
    </w:p>
    <w:p w14:paraId="0CE3384A" w14:textId="77777777" w:rsidR="00787F73" w:rsidRPr="00AC1B06" w:rsidRDefault="00787F73" w:rsidP="00866155">
      <w:pPr>
        <w:rPr>
          <w:rFonts w:cs="Calibri"/>
        </w:rPr>
      </w:pPr>
    </w:p>
    <w:p w14:paraId="03F31746" w14:textId="6EEEB71B" w:rsidR="00787F73" w:rsidRPr="00AC1B06" w:rsidRDefault="00742FB7" w:rsidP="00866155">
      <w:pPr>
        <w:rPr>
          <w:rFonts w:cs="Calibri"/>
        </w:rPr>
      </w:pPr>
      <w:r w:rsidRPr="00AC1B06">
        <w:rPr>
          <w:rFonts w:cs="Calibri"/>
        </w:rPr>
        <w:t xml:space="preserve">SYFR’s campaign materials viewed success based on reductions in the numbers of fires combined with various social media metrics, including reach. However, </w:t>
      </w:r>
      <w:r w:rsidR="00C84401">
        <w:rPr>
          <w:rFonts w:cs="Calibri"/>
        </w:rPr>
        <w:t>while</w:t>
      </w:r>
      <w:r w:rsidR="00C84401" w:rsidRPr="00AC1B06">
        <w:rPr>
          <w:rFonts w:cs="Calibri"/>
        </w:rPr>
        <w:t xml:space="preserve"> </w:t>
      </w:r>
      <w:r w:rsidRPr="00AC1B06">
        <w:rPr>
          <w:rFonts w:cs="Calibri"/>
        </w:rPr>
        <w:t xml:space="preserve">there appears to be a reduction in fires after campaigns, it is challenging to link these reductions to the PIC; what appears to be causation can be correlation, there is no sure way to link online engagement with behaviour change </w:t>
      </w:r>
      <w:r w:rsidRPr="00AC1B06">
        <w:rPr>
          <w:rFonts w:cs="Calibri"/>
        </w:rPr>
        <w:fldChar w:fldCharType="begin" w:fldLock="1"/>
      </w:r>
      <w:r w:rsidRPr="00AC1B06">
        <w:rPr>
          <w:rFonts w:cs="Calibri"/>
        </w:rPr>
        <w:instrText>ADDIN CSL_CITATION {"citationItems":[{"id":"ITEM-1","itemData":{"DOI":"10.2196/publichealth.6313","ISSN":"2369-2960","abstract":"Background: Social media public health campaigns have the advantage of tailored messaging at low cost and large reach, but little is known about what would determine their feasibility as tools for inducing attitude and behavior change. Objective: The aim of this study was to test the feasibility of designing, implementing, and evaluating a social media–enabled intervention for skin cancer prevention. Methods: A quasi-experimental feasibility study used social media (Twitter) to disseminate different message “frames” related to care in the sun and cancer prevention. Phase 1 utilized the Northern Ireland cancer charity’s Twitter platform (May 1 to July 14, 2015). Following a 2-week “washout” period, Phase 2 commenced (August 1 to September 30, 2015) using a bespoke Twitter platform. Phase 2 also included a Thunderclap, whereby users allowed their social media accounts to automatically post a bespoke message on their behalf. Message frames were categorized into 5 broad categories: humor, shock or disgust, informative, personal stories, and opportunistic. Seed users with a notable following were contacted to be “influencers” in retweeting campaign content. A pre- and postintervention Web-based survey recorded skin cancer prevention knowledge and attitudes in Northern Ireland (population 1.8 million). Results: There were a total of 417,678 tweet impressions, 11,213 engagements, and 1211 retweets related to our campaign. Shocking messages generated the greatest impressions (shock, n=2369; informative, n=2258; humorous, n=1458; story, n=1680), whereas humorous messages generated greater engagement (humorous, n=148; shock, n=147; story, n=117; informative, n=100) and greater engagement rates compared with story tweets. Informative messages, resulted in the greatest number of shares (informative, n=17; humorous, n=10; shock, n=9; story, n=7). The study findings included improved knowledge of skin cancer severity in a pre- and postintervention Web-based survey, with greater awareness that skin cancer is the most common form of cancer (preintervention: 28.4% [95/335] vs postintervention: 39.3% [168/428] answered “True”) and that melanoma is most serious (49.1% [165/336] vs 55.5% [238/429]). The results also show improved attitudes toward ultraviolet (UV) exposure and skin cancer with a reduction in agreement that respondents “like to tan” (60.5% [202/334] vs 55.6% [238/428]).","author":[{"dropping-particle":"","family":"Gough","given":"Aisling","non-dropping-particle":"","parse-names":false,"suffix":""},{"dropping-particle":"","family":"Hunter","given":"Ruth F.","non-dropping-particle":"","parse-names":false,"suffix":""},{"dropping-particle":"","family":"Ajao","given":"Oluwaseun","non-dropping-particle":"","parse-names":false,"suffix":""},{"dropping-particle":"","family":"Jurek","given":"Anna","non-dropping-particle":"","parse-names":false,"suffix":""},{"dropping-particle":"","family":"McKeown","given":"Gary","non-dropping-particle":"","parse-names":false,"suffix":""},{"dropping-particle":"","family":"Hong","given":"Jun","non-dropping-particle":"","parse-names":false,"suffix":""},{"dropping-particle":"","family":"Barrett","given":"Eimear","non-dropping-particle":"","parse-names":false,"suffix":""},{"dropping-particle":"","family":"Ferguson","given":"Marbeth","non-dropping-particle":"","parse-names":false,"suffix":""},{"dropping-particle":"","family":"McElwee","given":"Gerry","non-dropping-particle":"","parse-names":false,"suffix":""},{"dropping-particle":"","family":"McCarthy","given":"Miriam","non-dropping-particle":"","parse-names":false,"suffix":""},{"dropping-particle":"","family":"Kee","given":"Frank","non-dropping-particle":"","parse-names":false,"suffix":""}],"container-title":"JMIR Public Health Surveillance","id":"ITEM-1","issue":"1","issued":{"date-parts":[["2017"]]},"page":"1-17","title":"Tweet for behavior change: Using social media for the dissemination of public health messages","type":"article-journal","volume":"3"},"uris":["http://www.mendeley.com/documents/?uuid=69906f6f-a21b-4963-9734-a5b16e66f747"]},{"id":"ITEM-2","itemData":{"DOI":"10.1371/journal.pone.0162765","ISSN":"19326203","abstract":"Facebook, the most widely used social media platform, has been adopted by public health organisations for health promotion and behaviour change campaigns and activities. However, limited information is available on the most effective and efficient use of Facebook for this purpose. This study sought to identify the features of Facebook posts that are associated with higher user engagement on Australian public health organisations' Facebook pages. We selected 20 eligible pages through a systematic search and coded 360-days of posts for each page. Posts were coded by: post type (e.g., photo, text only etc.), communication technique employed (e.g. testimonial, informative etc.) and use of marketing elements (e.g., branding, use of mascots). A series of negative binomial regressions were used to assess associations between post characteristics and user engagement as measured by the number of likes, shares and comments. Our results showed that video posts attracted the greatest amount of user engagement, although an analysis of a subset of the data suggested this may be a reflection of the Facebook algorithm, which governs what is and is not shown in user newsfeeds and appear to preference videos over other post types. Posts that featured a positive emotional appeal or provided factual information attracted higher levels of user engagement, while conventional marketing elements, such as sponsorships and the use of persons of authority, generally discouraged user engagement, with the exception of posts that included a celebrity or sportsperson. Our results give insight into post content that maximises user engagement and begins to fill the knowledge gap on effective use of Facebook by public health organisations.","author":[{"dropping-particle":"","family":"Kite","given":"James","non-dropping-particle":"","parse-names":false,"suffix":""},{"dropping-particle":"","family":"Foley","given":"Bridget C.","non-dropping-particle":"","parse-names":false,"suffix":""},{"dropping-particle":"","family":"Grunseit","given":"Anne C.","non-dropping-particle":"","parse-names":false,"suffix":""},{"dropping-particle":"","family":"Freeman","given":"Becky","non-dropping-particle":"","parse-names":false,"suffix":""}],"container-title":"PLoS ONE","id":"ITEM-2","issue":"9","issued":{"date-parts":[["2016"]]},"page":"1-16","title":"Please like me: Facebook and public health communication","type":"article-journal","volume":"11"},"uris":["http://www.mendeley.com/documents/?uuid=f74377df-9fe0-4362-a0e9-009cfbcd65bb"]},{"id":"ITEM-3","itemData":{"DOI":"10.1080/10410236.2016.1242035","ISSN":"15327027","abstract":"The past decade has witnessed a rapid increase in the use of Social Networking Sites (SNSs) in health communication campaigns seeking to achieve an ambitious range of health-related impacts. This article provides a review of 40 studies and research protocols, with a focus on two key factors that differentiate SNSs from more traditional health communication approaches of the past. The first is the potential dualism between message sender and receiver, in which receivers become receiver-sources who forward and amplify the content and reach of health messages. The second is the potential dualism between message and message impact, in which the act of forwarding and modifying messages by receiver-sources itself becomes a measure of message impact. Each of these dualisms has implications for the design and evaluation of contemporary health communication campaigns. The review concludes with a series of observations and recommendations for future health communication research.","author":[{"dropping-particle":"","family":"Shi","given":"Jingyuan","non-dropping-particle":"","parse-names":false,"suffix":""},{"dropping-particle":"","family":"Poorisat","given":"Thanomwong","non-dropping-particle":"","parse-names":false,"suffix":""},{"dropping-particle":"","family":"Salmon","given":"Charles T.","non-dropping-particle":"","parse-names":false,"suffix":""}],"container-title":"Health Communication","id":"ITEM-3","issue":"1","issued":{"date-parts":[["2018"]]},"page":"49-56","publisher":"Routledge","title":"The Use of Social Networking Sites (SNSs) in Health Communication Campaigns: Review and Recommendations","type":"article-journal","volume":"33"},"uris":["http://www.mendeley.com/documents/?uuid=e3561fe4-28da-4d20-9a8e-4f55319bff65"]}],"mendeley":{"formattedCitation":"(Shi, Poorisat, &amp; Salmon, 2018; Gough et al., 2017; Kite et al., 2016)","plainTextFormattedCitation":"(Shi, Poorisat, &amp; Salmon, 2018; Gough et al., 2017; Kite et al., 2016)","previouslyFormattedCitation":"(Shi, Poorisat, &amp; Salmon, 2018; Gough et al., 2017; Kite et al., 2016)"},"properties":{"noteIndex":0},"schema":"https://github.com/citation-style-language/schema/raw/master/csl-citation.json"}</w:instrText>
      </w:r>
      <w:r w:rsidRPr="00AC1B06">
        <w:rPr>
          <w:rFonts w:cs="Calibri"/>
        </w:rPr>
        <w:fldChar w:fldCharType="separate"/>
      </w:r>
      <w:r w:rsidRPr="00AC1B06">
        <w:rPr>
          <w:rFonts w:cs="Calibri"/>
          <w:noProof/>
        </w:rPr>
        <w:t>(Shi, Poorisat, &amp; Salmon, 2018; Gough et al., 2017; Kite et al., 2016)</w:t>
      </w:r>
      <w:r w:rsidRPr="00AC1B06">
        <w:rPr>
          <w:rFonts w:cs="Calibri"/>
        </w:rPr>
        <w:fldChar w:fldCharType="end"/>
      </w:r>
      <w:r w:rsidRPr="00AC1B06">
        <w:rPr>
          <w:rFonts w:cs="Calibri"/>
        </w:rPr>
        <w:t xml:space="preserve">. This suggests that their evaluation for their communication is not effectively examining whether the PICs have worked or whether they have effectively communicated with individuals in South Yorkshire, and again suggests an institutional driver from NPM. </w:t>
      </w:r>
    </w:p>
    <w:p w14:paraId="1FD0883C" w14:textId="77777777" w:rsidR="00787F73" w:rsidRPr="00AC1B06" w:rsidRDefault="00787F73" w:rsidP="00866155">
      <w:pPr>
        <w:rPr>
          <w:rFonts w:cs="Calibri"/>
        </w:rPr>
      </w:pPr>
    </w:p>
    <w:p w14:paraId="1E073B4B" w14:textId="77777777" w:rsidR="00787F73" w:rsidRPr="00AC1B06" w:rsidRDefault="00742FB7" w:rsidP="00866155">
      <w:pPr>
        <w:rPr>
          <w:rFonts w:cs="Calibri"/>
        </w:rPr>
      </w:pPr>
      <w:bookmarkStart w:id="1117" w:name="_Toc156227660"/>
      <w:r w:rsidRPr="00AC1B06">
        <w:rPr>
          <w:rFonts w:cs="Calibri"/>
        </w:rPr>
        <w:t xml:space="preserve">Chapter 5 examined research question 2: </w:t>
      </w:r>
      <w:r w:rsidRPr="00AC1B06">
        <w:rPr>
          <w:rFonts w:cs="Calibri"/>
          <w:i/>
          <w:iCs/>
        </w:rPr>
        <w:t>What influences and shapes SYFR’s communication strategy?</w:t>
      </w:r>
      <w:bookmarkEnd w:id="1117"/>
      <w:r w:rsidRPr="00AC1B06">
        <w:rPr>
          <w:rFonts w:cs="Calibri"/>
          <w:i/>
          <w:iCs/>
        </w:rPr>
        <w:t xml:space="preserve"> </w:t>
      </w:r>
      <w:r w:rsidRPr="00AC1B06">
        <w:rPr>
          <w:rFonts w:cs="Calibri"/>
        </w:rPr>
        <w:t xml:space="preserve">This chapter utilised the data from the institutional ethnography to examine and interpret the different institutions and their influence on SYFR’s communication strategy and wider operations. It explored the societal logics of the state and community, as well as smaller field logics of communication and journalism. This chapter built upon the literature examining FRS culture </w:t>
      </w:r>
      <w:r w:rsidRPr="00AC1B06">
        <w:rPr>
          <w:rFonts w:cs="Calibri"/>
        </w:rPr>
        <w:fldChar w:fldCharType="begin" w:fldLock="1"/>
      </w:r>
      <w:r w:rsidRPr="00AC1B06">
        <w:rPr>
          <w:rFonts w:cs="Calibri"/>
        </w:rPr>
        <w:instrText>ADDIN CSL_CITATION {"citationItems":[{"id":"ITEM-1","itemData":{"DOI":"10.1016/j.ienj.2014.06.002","ISSN":"1755599X","abstract":"Background: A critical incident is defined as an event stressful enough to overwhelm the usually effective coping skills of an individual. Firefighters are frequently exposed to critical incidents that might have consequences for individuals and their performance in organization. Aim: The aim of this study was to describe experiences of critical incidents among female and male Swedish firefighters. Method: In all 180 participants (16 women, 164 men) who had been involved in up to 25 critical incidents during the last year responded to a survey describing critical incidents experienced in the past year. A qualitative content analysis identified several areas for improvement in firefighters' working conditions. Results: Female firefighters were terse in describing their experiences, while the men described their experiences of critical events more vividly. The critical incidents described by the firefighters concerned such overwhelming situations as traffic accidents, huge fires, and other fatal incidents such as drownings and suicides. Risk of delay due to lack of equipment training and lack of medical education was mentioned. Lack of resources and organizational problems was mentioned as causing risks of failure. Several firefighters expressed frustration over being assaulted and threatened, or exposed to other kinds of violence. Not knowing how close, physically or mentally, one can get to people during ongoing rescue can lead to unsuccessful operations. Conclusions: Gender patterns should always be taken into account, making it possible for all firefighters to express and reflect on existentially tough experiences. Education needs to focus more on medical and mental health issues. Firefighters were sometimes exposed to the difficult challenge of violence and assault during rescue operations. The complexity of this problem needs to be highlighted, not only in firefighter organizations, but also in society in general.","author":[{"dropping-particle":"","family":"Jacobsson","given":"Ann","non-dropping-particle":"","parse-names":false,"suffix":""},{"dropping-particle":"","family":"Backteman-Erlanson","given":"Susann","non-dropping-particle":"","parse-names":false,"suffix":""},{"dropping-particle":"","family":"Brulin","given":"Christine","non-dropping-particle":"","parse-names":false,"suffix":""},{"dropping-particle":"","family":"Hörnsten","given":"Åsa","non-dropping-particle":"","parse-names":false,"suffix":""}],"container-title":"International Emergency Nursing","id":"ITEM-1","issue":"2","issued":{"date-parts":[["2015"]]},"page":"100-104","title":"Experiences of critical incidents among female and male firefighters","type":"article-journal","volume":"23"},"uris":["http://www.mendeley.com/documents/?uuid=df499a4a-5743-405d-b6db-3f8b928a9026"]},{"id":"ITEM-2","itemData":{"DOI":"10.5153/sro.3832","ISSN":"13607804","abstract":"Despite the increasing percentage of women entering masculinized workplaces, certain organizations consistently see little change in the gender makeup of their staff. Contemporary scholarship suggests that women in rigidly gendered organizations are often assigned a token status and are victimized due to their gender. This study relocates the conversations of women as tokens towards a fresh conversation of women's agency in masculinized workplaces. This paper uses ten qualitative interviews and ethnographic fieldwork to discuss how female firefighters navigate their gender at work. This article draws on reflexive accounts of everyday gendered negotiations to look at how the female firefighters ?do gender? within a specific fire service in Australia. I argue that emergency services, such as firefighting, create a contradictory field where women are located in (1) a paradoxical environment where the ?female body? is problematized (2) a work environment where they have to repeatedly prove their cultural competence in order to confirm their professional identity. The findings suggest that while female firefighters do have agency, tokenism locates many of them in a ?never quite there? bind that challenges their ability to progress into leadership roles within the service. This article concludes that the nuanced difference between, and at times, within the women's narratives problematizes the bounds of personal agency and cultural change. This consequently results in resistance to policies by some women that may benefit like-situated women, such as affirmative action.","author":[{"dropping-particle":"","family":"Perrott","given":"Tamika","non-dropping-particle":"","parse-names":false,"suffix":""}],"container-title":"Sociological Research Online","id":"ITEM-2","issue":"1","issued":{"date-parts":[["2016"]]},"page":"1-14","title":"Beyond 'token' firefighters: Exploring women's experiences of gender and identity at work","type":"article-journal","volume":"21"},"uris":["http://www.mendeley.com/documents/?uuid=02795c10-d092-41b1-9922-de0948a03cbb"]},{"id":"ITEM-3","itemData":{"DOI":"10.1016/j.emospa.2009.03.001","ISBN":"1755-4586","ISSN":"17554586","abstract":"As an occupation, firefighting is replete with images of maleness operating around a series of highly masculinised codes and values most notably comprising: risk/danger, heroism, fearlessness/courage, physicality, and bodily strength. This qualitative study of the UK Fire Service seeks to uncover the ways in which these masculine codes and values were evident amidst the daily working lives of a group of full-time, male firefighters. Placing respondent views at the centre of the research, findings suggest that occupational identities were based primarily upon notions of emotional strength, physical and technical competence and collective understandings of risk and responsibility. A commitment to group solidarity was also central to the masculine identities of respondents, with colleagues in administrative and managerial positions being distanced on account of their non-manual occupational roles. © 2009 Elsevier Ltd. All rights reserved.","author":[{"dropping-particle":"","family":"Thurnell-Read","given":"Thomas","non-dropping-particle":"","parse-names":false,"suffix":""},{"dropping-particle":"","family":"Parker","given":"Andrew","non-dropping-particle":"","parse-names":false,"suffix":""}],"container-title":"Emotion, Space and Society","id":"ITEM-3","issue":"2","issued":{"date-parts":[["2008"]]},"page":"127-134","publisher":"Elsevier Ltd","title":"Men, masculinities and firefighting: Occupational identity, shop-floor culture and organisational change","type":"article-journal","volume":"1"},"uris":["http://www.mendeley.com/documents/?uuid=57503363-bcc5-42cb-b52c-4039f5eadf42"]},{"id":"ITEM-4","itemData":{"DOI":"10.1177/0950017015573693","ISSN":"09500170","abstract":"This article focuses on a hitherto un-researched group: women leaders within the UK Fire and Rescue Service. The process of modernizing the Fire and Rescue Service has increased expectations of workforce diversification and of women more easily entering and progressing within the organization. However, participants’ commentary testified to the difficulties faced when seeking recognition as a skilled woman in this context given the persistence of firefighter men as the occupational ideal type. Achieving recognition for both physical and non-physical skills remained an embodied, gendered and contested process and one that was not eased by promotion. Participants identified the heightened visibility that accompanied leadership as especially problematic. The findings suggest that some new elements of the modernized UK Fire and Rescue Service culture are less successful than they might be at supporting women in leadership roles.","author":[{"dropping-particle":"","family":"Woodfield","given":"Ruth","non-dropping-particle":"","parse-names":false,"suffix":""}],"container-title":"Work, Employment and Society","id":"ITEM-4","issue":"2","issued":{"date-parts":[["2016"]]},"page":"237-255","title":"Gender and the achievement of skilled status in the workplace: the case of women leaders in the UK Fire and Rescue Service","type":"article-journal","volume":"30"},"uris":["http://www.mendeley.com/documents/?uuid=1433dd38-8aee-459c-8e09-24f5d7b0d4b2"]},{"id":"ITEM-5","itemData":{"DOI":"10.1111/j.1468-0432.2011.00558.x","ISSN":"09686673","abstract":"The public sector has traditionally been in the forefront of equality employment policy and practice and an employer of choice for lesbian, gay and bisexual (LGB) people. The introduction of the Employment Equality (Sexual Orientation) Regulations outlawing discrimination in employment on grounds of sexual orientation in 2003 has undoubtedly offered a step forward for LGB people in British workplaces. Yet the public sector has been subjected to huge changes as a result of the ‘mod- ernization agenda’ pursued by the Labour government between 1997 and 2010. It has been argued that the pace and direction of change has not only jeopardized but reversed progress made on equal opportunities in the public sector. This article considers LGB employee and trade union representatives’ views on the inclusion of sexual orientation in public sector equality policy and practice. It draws on European Social Fund-sponsored research in nine ‘good practice’ public sector organisa- tions between 1994 and 1997.","author":[{"dropping-particle":"","family":"Colgan","given":"Fiona","non-dropping-particle":"","parse-names":false,"suffix":""},{"dropping-particle":"","family":"Wright","given":"Tessa","non-dropping-particle":"","parse-names":false,"suffix":""}],"container-title":"Gender, Work and Organization","id":"ITEM-5","issue":"5","issued":{"date-parts":[["2011"]]},"page":"548-570","title":"Lesbian, gay and bisexual equality in a modernizing public sector 1997-2010: Opportunities and threats","type":"article-journal","volume":"18"},"uris":["http://www.mendeley.com/documents/?uuid=7231a234-db05-4965-a149-51d2f558e0ab"]},{"id":"ITEM-6","itemData":{"DOI":"10.1177/0004867415615217","ISSN":"14401614","abstract":"Objective: Emergency workers, such as fire-fighters, are routinely exposed to potentially traumatic events. While a number of studies have examined the occurrence of post-traumatic stress disorder, the role of multiple traumas on other mental health sequelae, such as depression and alcohol misuse, among emergency workers remains unclear. This study aimed to assess the prevalence of post-traumatic stress disorder, depression and alcohol misuse in a sample of current and retired fire-fighters and examine their relationship with cumulative trauma exposure. Method: A cross-sectional survey was completed by current (n = 488) and retired (n = 265) fire-fighters from Fire and Rescue New South Wales, Australia. Demographic and occupational information was collected, including the number of fatal incidents fire-fighters reported attending across years of service. Validated, self-report measures were used to determine probable caseness for post-traumatic stress disorder, depression and heavy drinking. Results: Among current fire-fighters, rates of post-traumatic stress disorder and depression were 8% and 5%, respectively, while 4% reported consumption of more than 42 alcoholic drinks per week. Retired fire-fighters reported significantly greater levels of symptomatology, with the prevalence estimates of post-traumatic stress disorder at 18% (p = 0.001), depression at 18% (p &lt; 0.001) and heavy drinking at 7%. There was a significant positive linear relationship between the number of fatal incidents attended and rates of post-traumatic stress disorder, depression and heavy drinking. Conclusion: Fire-fighters suffer from high rates of mental disorders, with rates of post-traumatic stress disorder, depression and heavy drinking continuing to rise in a linear manner with each additional trauma exposure. The level of psychiatric morbidity among retired fire-fighters appears to be particularly high. Our findings have important implications for the ongoing debates surrounding the detection of mental disorders in high-risk occupations and for policy consider- ations around the welfare of current and retired emergency workers.","author":[{"dropping-particle":"","family":"Harvey","given":"Samuel B.","non-dropping-particle":"","parse-names":false,"suffix":""},{"dropping-particle":"","family":"Milligan-Saville","given":"Josie S.","non-dropping-particle":"","parse-names":false,"suffix":""},{"dropping-particle":"","family":"Paterson","given":"Helen M.","non-dropping-particle":"","parse-names":false,"suffix":""},{"dropping-particle":"","family":"Harkness","given":"Emily L.","non-dropping-particle":"","parse-names":false,"suffix":""},{"dropping-particle":"","family":"Marsh","given":"Annabel M.","non-dropping-particle":"","parse-names":false,"suffix":""},{"dropping-particle":"","family":"Dobson","given":"Mark","non-dropping-particle":"","parse-names":false,"suffix":""},{"dropping-particle":"","family":"Kemp","given":"Richard","non-dropping-particle":"","parse-names":false,"suffix":""},{"dropping-particle":"","family":"Bryant","given":"Richard A.","non-dropping-particle":"","parse-names":false,"suffix":""}],"container-title":"Australian and New Zealand Journal of Psychiatry","id":"ITEM-6","issue":"7","issued":{"date-parts":[["2016"]]},"page":"649-658","title":"The mental health of fire-fighters: An examination of the impact of repeated trauma exposure","type":"article-journal","volume":"50"},"uris":["http://www.mendeley.com/documents/?uuid=ebae51a7-de1d-4bd7-94aa-df8ef4cd7eaf"]},{"id":"ITEM-7","itemData":{"DOI":".1037//0033-2909.I26.1.78","abstract":"Background: Women protective service workers die by suicide at a higher rate than women workers in other occupational groups. However, no study has examined rates and correlates of suicidal thoughts and behaviors among women firefighters, despite the potential for these data to inform suicide screening, prevention, and intervention initiatives. The purpose of this study is to describe and compare pre-career and career rates of suicidal thoughts and behaviors and identify their sociodemographic and occupational correlates among women firefighters. Methods: Data were obtained from 313 current U.S. women firefighters who completed a web-based survey (mean age = 37.30y, SD = 9.70y, 92.7% White). Results: Pre-career rates of suicide ideation, plans, attempts, and non-suicidal self-injury (NSSI) were found to be 28.4%, 10.2%, 5.8%, and 11.2%, respectively. Career rates of suicide ideation, plans, attempts, and NSSI were found to be 37.7%, 10.9%, 3.5%, and 9.3%, respectively. Pre-career rates of suicide ideation (OR = 4.760, 95% CI = 2.820–8.034, p &lt; 0.001), plans (OR = 4.867, 95% CI = 2.067–11.463, p &lt; 0.001), attempts (OR = 7.175, 95% CI = 1.726–29.828, p = 0.007), and NSSI (OR = 9.676, 95% CI = 4.130–22.670, p &lt; 0.001) were significantly associated with career suicidality. With few exceptions, neither sociodemographic characteristics nor firefighter experiences were associated with career suicidal symptoms. Limitations: Study limitations include a cross-sectional design and convenience sample recruitment strategy. Conclusions: Women firefighters report elevated rates of suicidal thoughts and behaviors. Suicidal symptoms occurring prior to one's tenure as a firefighter—and not solely an aspect of firefighter career experiences—should be considered in suicide risk screening, prevention, and intervention initiatives. Studies examining modifiable suicide risk factors and correlates (e.g., psychiatric symptoms, workplace harassment) are needed.","author":[{"dropping-particle":"","family":"Stanley","given":"Ian H","non-dropping-particle":"","parse-names":false,"suffix":""},{"dropping-particle":"","family":"Hom","given":"Melanie A","non-dropping-particle":"","parse-names":false,"suffix":""},{"dropping-particle":"","family":"Spencer-Thomas","given":"Sally","non-dropping-particle":"","parse-names":false,"suffix":""},{"dropping-particle":"","family":"Joiner","given":"Thomas E","non-dropping-particle":"","parse-names":false,"suffix":""}],"container-title":"Journal of Affective Disorders","id":"ITEM-7","issue":"15","issued":{"date-parts":[["2017"]]},"page":"107 - 114","title":"Suicidal thoughts and behaviors among women firefighters: An examination of associated features and comparison of pre-career and career prevalence rates","type":"article-journal","volume":"221"},"uris":["http://www.mendeley.com/documents/?uuid=b3d3edb7-5228-44b1-8e72-92c2d205a566"]},{"id":"ITEM-8","itemData":{"DOI":"10.1080/02678370310001625649","ISBN":"0267-8373","ISSN":"02678373","abstract":"Emergency service personnel are at high risk of developing post-traumatic stress disorder (PTSD). However, there is little in-depth information on the psychological responses of firefighters to the daily incidents that they attend. This preliminary study aimed to investigate the PTSD symptoms of firefighters in relation to traumatic events experienced by them, and the availability of social support. Thirty-one UK fire service workers completed an adapted version of the Post-traumatic Diagnostic Scale (PDS; Foa, 1995) to investigate the existence of post-traumatic stress disorder (PTSD). They were also individually interviewed to explore the symptoms they had experienced, what events these were related to, types of social support and coping strategies. Two participants reached the DSM-IV criteria for PTSD. Rumination and sleep disturbance were the most commonly reported PTSD symptoms. Participants reported high levels of social support from within the service and outside. The results suggest that fire service personnel are at risk of developing some symptoms of PTSD; however most had not experienced severe enough symptoms for PTSD to be diagnosed. The study suggests that high levels of social support may play a role in buffering firefighters from the development of PTSD.","author":[{"dropping-particle":"","family":"Haslam","given":"Cheryl","non-dropping-particle":"","parse-names":false,"suffix":""},{"dropping-particle":"","family":"Mallon","given":"Krissie","non-dropping-particle":"","parse-names":false,"suffix":""}],"container-title":"Work and Stress","id":"ITEM-8","issue":"3","issued":{"date-parts":[["2003"]]},"page":"277-285","title":"A preliminary investigation of post-traumatic stress symptoms among firefighters","type":"article-journal","volume":"17"},"uris":["http://www.mendeley.com/documents/?uuid=806622ba-fa7e-4ab4-97b3-0124df8bcb55"]}],"mendeley":{"formattedCitation":"(Stanley et al., 2017; Harvey et al., 2016; Perrott, 2016; Woodfield, 2016; Jacobsson et al., 2015; Colgan &amp; Wright, 2011; Thurnell-Read &amp; Parker, 2008; Haslam &amp; Mallon, 2003)","plainTextFormattedCitation":"(Stanley et al., 2017; Harvey et al., 2016; Perrott, 2016; Woodfield, 2016; Jacobsson et al., 2015; Colgan &amp; Wright, 2011; Thurnell-Read &amp; Parker, 2008; Haslam &amp; Mallon, 2003)","previouslyFormattedCitation":"(Stanley et al., 2017; Harvey et al., 2016; Perrott, 2016; Woodfield, 2016; Jacobsson et al., 2015; Colgan &amp; Wright, 2011; Thurnell-Read &amp; Parker, 2008; Haslam &amp; Mallon, 2003)"},"properties":{"noteIndex":0},"schema":"https://github.com/citation-style-language/schema/raw/master/csl-citation.json"}</w:instrText>
      </w:r>
      <w:r w:rsidRPr="00AC1B06">
        <w:rPr>
          <w:rFonts w:cs="Calibri"/>
        </w:rPr>
        <w:fldChar w:fldCharType="separate"/>
      </w:r>
      <w:r w:rsidRPr="00AC1B06">
        <w:rPr>
          <w:rFonts w:cs="Calibri"/>
          <w:bCs/>
          <w:noProof/>
        </w:rPr>
        <w:t>(Stanley et al., 2017; Harvey et al., 2016; Perrott, 2016; Woodfield, 2016; Jacobsson et al., 2015; Colgan &amp; Wright, 2011; Thurnell-Read &amp; Parker, 2008; Haslam &amp; Mallon, 2003)</w:t>
      </w:r>
      <w:r w:rsidRPr="00AC1B06">
        <w:rPr>
          <w:rFonts w:cs="Calibri"/>
        </w:rPr>
        <w:fldChar w:fldCharType="end"/>
      </w:r>
      <w:r w:rsidRPr="00AC1B06">
        <w:rPr>
          <w:rFonts w:cs="Calibri"/>
        </w:rPr>
        <w:t xml:space="preserve"> and decision making </w:t>
      </w:r>
      <w:r w:rsidRPr="00AC1B06">
        <w:rPr>
          <w:rFonts w:cs="Calibri"/>
        </w:rPr>
        <w:fldChar w:fldCharType="begin" w:fldLock="1"/>
      </w:r>
      <w:r w:rsidR="00974B75" w:rsidRPr="00AC1B06">
        <w:rPr>
          <w:rFonts w:cs="Calibri"/>
        </w:rPr>
        <w:instrText>ADDIN CSL_CITATION {"citationItems":[{"id":"ITEM-1","itemData":{"DOI":"10.1080/03003930.2011.588701","ISBN":"03003930 (ISSN)","ISSN":"03003930","abstract":"Over the last ten years, local government modernisation and the growth of community safety agendas have called for change in the public sector at a local level. This has been typified by partnership work, improvement and inspection and community governance. The fire and rescue services, despite some initial cultural difficulties, have worked hard to adapt themselves to modern local government, for example through community fire safety work, which is presented as a case study. However, the culmination of the modernisation project, Comprehensive Area Assessment, does not favour the fire and rescue service, and to an extent excludes them from its formula. In this light, it seems that there is little incentive for the Fire Service to continue its modernising trajectory. © 2011 Taylor &amp; Francis.","author":[{"dropping-particle":"","family":"Matheson","given":"Kate","non-dropping-particle":"","parse-names":false,"suffix":""},{"dropping-particle":"","family":"Manning","given":"Rachel","non-dropping-particle":"","parse-names":false,"suffix":""},{"dropping-particle":"","family":"Williams","given":"Sara","non-dropping-particle":"","parse-names":false,"suffix":""}],"container-title":"Local Government Studies","id":"ITEM-1","issue":"4","issued":{"date-parts":[["2011"]]},"page":"451-465","title":"From brigade to service: An examination of the role of fire and rescue services in modern local government","type":"article-journal","volume":"37"},"uris":["http://www.mendeley.com/documents/?uuid=d535e317-5890-468e-bf3a-7891ccb8e10d"]},{"id":"ITEM-2","itemData":{"DOI":"10.1007/978-3-319-62155-5_4","ISBN":"9783319621555","author":[{"dropping-particle":"","family":"Murphy","given":"Peter","non-dropping-particle":"","parse-names":false,"suffix":""},{"dropping-particle":"","family":"Ferry","given":"Laurence","non-dropping-particle":"","parse-names":false,"suffix":""}],"chapter-number":"4","container-title":"Fire and Rescue Services: Leadership and Management Perspectives","editor":[{"dropping-particle":"","family":"Murphy","given":"Peter","non-dropping-particle":"","parse-names":false,"suffix":""},{"dropping-particle":"","family":"Greenhalgh","given":"Kirsten","non-dropping-particle":"","parse-names":false,"suffix":""}],"id":"ITEM-2","issued":{"date-parts":[["2018"]]},"page":"45-59","publisher":"Springer","publisher-place":"Nottingham","title":"Another turn of the screw: Fire and rescue under the coalition government of 2010-2015","type":"chapter"},"uris":["http://www.mendeley.com/documents/?uuid=936d56f8-8f74-4772-8597-92b58bbdfe0c"]},{"id":"ITEM-3","itemData":{"DOI":"10.1007/978-3-319-62155-5_2","ISBN":"9783319621555","author":[{"dropping-particle":"","family":"Murphy","given":"Peter","non-dropping-particle":"","parse-names":false,"suffix":""},{"dropping-particle":"","family":"Greenhalgh","given":"Kirsten","non-dropping-particle":"","parse-names":false,"suffix":""}],"chapter-number":"2","container-title":"Fire and Rescue Services: Leadership and Management Perspectives","editor":[{"dropping-particle":"","family":"Murphy","given":"Peter","non-dropping-particle":"","parse-names":false,"suffix":""},{"dropping-particle":"","family":"Greenhalgh","given":"Kirsten","non-dropping-particle":"","parse-names":false,"suffix":""}],"id":"ITEM-3","issued":{"date-parts":[["2018"]]},"page":"9-26","publisher":"Springer","publisher-place":"Nottingham","title":"The Gathering Storm: Modernisation, local alignment and collaboration. Fire and rescue services under the early new labour administrations from 1997 to 2005","type":"chapter"},"uris":["http://www.mendeley.com/documents/?uuid=80233f35-d817-4ac8-8726-9234d824212b"]},{"id":"ITEM-4","itemData":{"DOI":"10.1080/09540962.2013.785711","ISSN":"09540962","author":[{"dropping-particle":"","family":"Murphy","given":"Pete","non-dropping-particle":"","parse-names":false,"suffix":""},{"dropping-particle":"","family":"Greenhalgh","given":"Kirsten","non-dropping-particle":"","parse-names":false,"suffix":""}],"container-title":"Public Money and Management","id":"ITEM-4","issue":"3","issued":{"date-parts":[["2013"]]},"page":"225-232","title":"Performance management in fire and rescue services","type":"article-journal","volume":"33"},"uris":["http://www.mendeley.com/documents/?uuid=7fd3a239-aac1-4955-beef-211a7c49f758"]}],"mendeley":{"formattedCitation":"(Murphy &amp; Ferry, 2018; Murphy &amp; Greenhalgh, 2013, 2018; Matheson, Manning, &amp; Williams, 2011)","plainTextFormattedCitation":"(Murphy &amp; Ferry, 2018; Murphy &amp; Greenhalgh, 2013, 2018; Matheson, Manning, &amp; Williams, 2011)","previouslyFormattedCitation":"(Murphy &amp; Ferry, 2018; Murphy &amp; Greenhalgh, 2013, 2018; Matheson, Manning, &amp; Williams, 2011)"},"properties":{"noteIndex":0},"schema":"https://github.com/citation-style-language/schema/raw/master/csl-citation.json"}</w:instrText>
      </w:r>
      <w:r w:rsidRPr="00AC1B06">
        <w:rPr>
          <w:rFonts w:cs="Calibri"/>
        </w:rPr>
        <w:fldChar w:fldCharType="separate"/>
      </w:r>
      <w:r w:rsidRPr="00AC1B06">
        <w:rPr>
          <w:rFonts w:cs="Calibri"/>
          <w:bCs/>
          <w:noProof/>
        </w:rPr>
        <w:t>(Murphy &amp; Ferry, 2018; Murphy &amp; Greenhalgh, 2013, 2018; Matheson, Manning, &amp; Williams, 2011)</w:t>
      </w:r>
      <w:r w:rsidRPr="00AC1B06">
        <w:rPr>
          <w:rFonts w:cs="Calibri"/>
        </w:rPr>
        <w:fldChar w:fldCharType="end"/>
      </w:r>
      <w:r w:rsidRPr="00AC1B06">
        <w:rPr>
          <w:rFonts w:cs="Calibri"/>
        </w:rPr>
        <w:t xml:space="preserve">, as well as filling a gap within the institutional logics literature, which had not yet examined the role of logics within a FRS. This chapter </w:t>
      </w:r>
      <w:r w:rsidRPr="00AC1B06">
        <w:rPr>
          <w:rFonts w:cs="Calibri"/>
        </w:rPr>
        <w:lastRenderedPageBreak/>
        <w:t>built upon this literature and the findings of Chapter 4, and examined what was influencing their decisions</w:t>
      </w:r>
      <w:r w:rsidR="00A1788D">
        <w:rPr>
          <w:rFonts w:cs="Calibri"/>
        </w:rPr>
        <w:t>,</w:t>
      </w:r>
      <w:r w:rsidRPr="00AC1B06">
        <w:rPr>
          <w:rFonts w:cs="Calibri"/>
        </w:rPr>
        <w:t xml:space="preserve"> and why they were making the choices that they did. This was a crucial step for the project, as understanding the motivations and drivers behind the strategy and operations would enable institutional agency for the SYFR Communications team, and aid in developing further strategy and approaches to communication.  </w:t>
      </w:r>
    </w:p>
    <w:p w14:paraId="167A6964" w14:textId="77777777" w:rsidR="00787F73" w:rsidRPr="00AC1B06" w:rsidRDefault="00787F73" w:rsidP="00866155">
      <w:pPr>
        <w:rPr>
          <w:rFonts w:cs="Calibri"/>
        </w:rPr>
      </w:pPr>
    </w:p>
    <w:p w14:paraId="7129DD31" w14:textId="56F38224" w:rsidR="00787F73" w:rsidRPr="00AC1B06" w:rsidRDefault="00742FB7" w:rsidP="00866155">
      <w:pPr>
        <w:rPr>
          <w:rFonts w:cs="Calibri"/>
        </w:rPr>
      </w:pPr>
      <w:r w:rsidRPr="00AC1B06">
        <w:rPr>
          <w:rFonts w:cs="Calibri"/>
        </w:rPr>
        <w:t xml:space="preserve">This research question examined SYFR’s communication, and explored how it is enabled and constrained </w:t>
      </w:r>
      <w:r w:rsidRPr="00AC1B06">
        <w:rPr>
          <w:rFonts w:cs="Calibri"/>
        </w:rPr>
        <w:fldChar w:fldCharType="begin" w:fldLock="1"/>
      </w:r>
      <w:r w:rsidRPr="00AC1B06">
        <w:rPr>
          <w:rFonts w:cs="Calibri"/>
        </w:rPr>
        <w:instrText>ADDIN CSL_CITATION {"citationItems":[{"id":"ITEM-1","itemData":{"DOI":"10.1111/j.1540-6520.2010.00390.x","ISBN":"10422587","ISSN":"10422587","PMID":"49206381","abstract":"Institutional theory is an increasingly utilized theoretical lens for entrepreneurship research. However, while institutional theory has proven highly useful, its use has reached a point that there is a need to establish a clearer understanding of its wide-ranging application to entrepreneurship research. Therefore, we will initially review the existing entrepreneurship literature that employs institutional theory to both understand the current status of the field, its current shortcomings, and where we need to move in the future. We then summarize and discuss the articles in this special issue and how they contribute to this process of advancing institutional theory and its application in entrepreneurship research.","author":[{"dropping-particle":"","family":"Bruton","given":"Garry D.","non-dropping-particle":"","parse-names":false,"suffix":""},{"dropping-particle":"","family":"Ahlstrom","given":"David","non-dropping-particle":"","parse-names":false,"suffix":""},{"dropping-particle":"","family":"Li","given":"Han Lin","non-dropping-particle":"","parse-names":false,"suffix":""}],"container-title":"Entrepreneurship: Theory and Practice","id":"ITEM-1","issue":"3","issued":{"date-parts":[["2010"]]},"page":"421-440","title":"Institutional theory and entrepreneurship: Where are we now and where do we need to move in the future?","type":"article-journal","volume":"34"},"uris":["http://www.mendeley.com/documents/?uuid=e36ff41e-f87e-4ac2-ad15-cf1983b501ae"]},{"id":"ITEM-2","itemData":{"DOI":"http://dx.doi.org/10.1108/09564230910978511","ISBN":"0263557001030","ISSN":"0264-0473","PMID":"42012058","abstract":"Purpose – The institutional work literature has paid little attention to cognition and interests in the creation, maintenance, and disruption of institutions. The purpose of this paper is to explore the construct of interests as it relates to institutional work projects. The authors frame interests as recognitions situated within broader institutional meaning systems, with a specific focus on interest plurality. Design/methodology/approach – The authors conducted an 18-month ethnography exploring institutional work projects within a rural chamber of commerce. The authors aimed to understand how projects contributed to community survival on a micro-level and institutional change on a macro-level. Rural chambers of commerce represent a unique example of emergent public-private partnerships, challenging traditional commercial logics of chambers of commerce. The research design included qualitative data collection, coding, and analysis of field notes, interviews, and archival sources. Findings – Purposive action was grounded in the community inhabited by the rural chamber of commerce and not the institution itself. Recognized interests enabled nontraditional workers – public employees with newly founded and legitimate roles within the chamber – to pursue community- focussed projects. Change across the institution of chambers of commerce occurred because of the separated and aggregate projects spanning across rural communities. Originality/value – Recognized interests are a social, plural, and malleable phenomenon supporting situated agency and the co-creation activities embodied in institutional work projects. The authors contribute to the institutional work literature by introducing the idea of interest plurality and illustrating how the work of rural chambers of commerce captures contemporary forms of community organizing. Keywords Institutional work, Ethnography, Interests, Organizational change, Chamber of commerce, Plurality Paper type Research paper","author":[{"dropping-particle":"","family":"Crawford","given":"Brett","non-dropping-particle":"","parse-names":false,"suffix":""},{"dropping-particle":"","family":"Branch","given":"John","non-dropping-particle":"","parse-names":false,"suffix":""}],"container-title":"Journal of Organizational Ethnography","id":"ITEM-2","issue":"1","issued":{"date-parts":[["2015"]]},"page":"98 - 116","title":"Interest plurality and institutional work: An ethnography of rural community organizing","type":"article-journal","volume":"4"},"uris":["http://www.mendeley.com/documents/?uuid=85adcd74-d347-48ed-907b-5c36d6c9670a"]}],"mendeley":{"formattedCitation":"(Crawford &amp; Branch, 2015; Bruton, Ahlstrom, &amp; Li, 2010)","plainTextFormattedCitation":"(Crawford &amp; Branch, 2015; Bruton, Ahlstrom, &amp; Li, 2010)","previouslyFormattedCitation":"(Crawford &amp; Branch, 2015; Bruton, Ahlstrom, &amp; Li, 2010)"},"properties":{"noteIndex":0},"schema":"https://github.com/citation-style-language/schema/raw/master/csl-citation.json"}</w:instrText>
      </w:r>
      <w:r w:rsidRPr="00AC1B06">
        <w:rPr>
          <w:rFonts w:cs="Calibri"/>
        </w:rPr>
        <w:fldChar w:fldCharType="separate"/>
      </w:r>
      <w:r w:rsidRPr="00AC1B06">
        <w:rPr>
          <w:rFonts w:cs="Calibri"/>
          <w:noProof/>
        </w:rPr>
        <w:t>(Crawford &amp; Branch, 2015; Bruton, Ahlstrom, &amp; Li, 2010)</w:t>
      </w:r>
      <w:r w:rsidRPr="00AC1B06">
        <w:rPr>
          <w:rFonts w:cs="Calibri"/>
        </w:rPr>
        <w:fldChar w:fldCharType="end"/>
      </w:r>
      <w:r w:rsidRPr="00AC1B06">
        <w:rPr>
          <w:rFonts w:cs="Calibri"/>
        </w:rPr>
        <w:t xml:space="preserve"> by state logics, with a focus on two parliamentary acts, the FRSA (2004) and the CCA (2004). </w:t>
      </w:r>
      <w:r w:rsidR="00C84401">
        <w:rPr>
          <w:rFonts w:cs="Calibri"/>
        </w:rPr>
        <w:t>While</w:t>
      </w:r>
      <w:r w:rsidRPr="00AC1B06">
        <w:rPr>
          <w:rFonts w:cs="Calibri"/>
        </w:rPr>
        <w:t xml:space="preserve"> the state logics influenced what they communicated, their messages were also influenced by other logics, such as community logics and field level professional logics, including the communication profession and journalism logics. </w:t>
      </w:r>
    </w:p>
    <w:p w14:paraId="6E17A605" w14:textId="77777777" w:rsidR="00787F73" w:rsidRPr="00AC1B06" w:rsidRDefault="00787F73" w:rsidP="00866155">
      <w:pPr>
        <w:rPr>
          <w:rFonts w:cs="Calibri"/>
        </w:rPr>
      </w:pPr>
    </w:p>
    <w:p w14:paraId="1C490C86" w14:textId="56D47851" w:rsidR="00787F73" w:rsidRPr="00AC1B06" w:rsidRDefault="00C84401" w:rsidP="00866155">
      <w:pPr>
        <w:rPr>
          <w:rFonts w:cs="Calibri"/>
        </w:rPr>
      </w:pPr>
      <w:r>
        <w:rPr>
          <w:rFonts w:cs="Calibri"/>
        </w:rPr>
        <w:t>While</w:t>
      </w:r>
      <w:r w:rsidR="00742FB7" w:rsidRPr="00AC1B06">
        <w:rPr>
          <w:rFonts w:cs="Calibri"/>
        </w:rPr>
        <w:t xml:space="preserve"> these logics influence the everyday functioning of the SYFR Communications team, there are contextual logics which create further institutional complexity and place situation constraints on individuals and organisations </w:t>
      </w:r>
      <w:r w:rsidR="00742FB7" w:rsidRPr="00AC1B06">
        <w:rPr>
          <w:rFonts w:cs="Calibri"/>
        </w:rPr>
        <w:fldChar w:fldCharType="begin" w:fldLock="1"/>
      </w:r>
      <w:r w:rsidR="00974B75" w:rsidRPr="00AC1B06">
        <w:rPr>
          <w:rFonts w:cs="Calibri"/>
        </w:rPr>
        <w:instrText>ADDIN CSL_CITATION {"citationItems":[{"id":"ITEM-1","itemData":{"DOI":"10.1007/s10551-017-3775-0","ISBN":"1055101737750","ISSN":"15730697","abstract":"This study examines how institutional logics interplay in a cross-sector social partnership that manages refugee integration in a rural district in Germany. In an inductive 15-month case study that drew on interviews and observations, we observe the dynamic materialization of institutional logics in day-to-day practices and an increasing contradiction and even rivalry between community- and market-based institutional logics over time. As a result, we delineate a model explaining the interplay of institutional logics along two dimensions: the dominance of one salient logic and whether conflicts arise among logics. Our analysis also addresses the unifying properties of community as an institutional logic, especially in the context of urgency conditions. In addition, we show the influence of exogenous events and their media coverage on the interplay and conflicts of institutional logics. By unfolding the complexity of refugee integration—one of the global grand challenges of the present—we deepen the current understanding of the specific challenges addressed by cross-sector social partnerships.","author":[{"dropping-particle":"","family":"Hesse","given":"Andreas","non-dropping-particle":"","parse-names":false,"suffix":""},{"dropping-particle":"","family":"Kreutzer","given":"Karin","non-dropping-particle":"","parse-names":false,"suffix":""},{"dropping-particle":"","family":"Diehl","given":"Marjo Riitta","non-dropping-particle":"","parse-names":false,"suffix":""}],"container-title":"Journal of Business Ethics","id":"ITEM-1","issued":{"date-parts":[["2019"]]},"page":"679-704","title":"Dynamics of Institutional Logics in a Cross-Sector Social Partnership: The Case of Refugee Integration in Germany","type":"article-journal","volume":"159"},"uris":["http://www.mendeley.com/documents/?uuid=72ea7223-f32f-42e0-8843-5be6e7e0fe2e"]},{"id":"ITEM-2","itemData":{"DOI":"10.1177/0170840615604503","ISSN":"17413044","abstract":"Our study examines how interdependent actors in a professionalized context interpret the co-occurrence of a professional logic and a policy-driven logic. The empirical setting comprises two hospitals in the English National Health Service. Two issues stand out. First, our study shows that any logic is variegated and ambiguous, so policymakers and organizational managers cannot assume that they are easily blended. Second, it shows how nurse consultants exhibit agency in blending these two logics in pursuit of positional gain in professional and managerial organization. They can do so because of their ambiguous status level: in comparison to doctors, their status as nurses is low; within the nursing profession their status is high. Theoretically, by focusing upon interpretation of multiple institutional logics at the micro level, our study renders visible the agency of interpreting actors, interdependency of actors, their interpretation of institutional logics, situational context, and the effect of, and upon, social position of actors.","author":[{"dropping-particle":"","family":"Currie","given":"Graeme","non-dropping-particle":"","parse-names":false,"suffix":""},{"dropping-particle":"","family":"Spyridonidis","given":"Dimitrios","non-dropping-particle":"","parse-names":false,"suffix":""}],"container-title":"Organization Studies","id":"ITEM-2","issue":"1","issued":{"date-parts":[["2016"]]},"page":"77-97","title":"Interpretation of Multiple Institutional Logics on the Ground: Actors’ Position, their Agency and Situational Constraints in Professionalized Contexts","type":"article-journal","volume":"37"},"uris":["http://www.mendeley.com/documents/?uuid=be657142-d26b-4dc5-bf61-aff1e8d069fa"]}],"mendeley":{"formattedCitation":"(Hesse, Kreutzer, &amp; Diehl, 2019; Currie &amp; Spyridonidis, 2016)","plainTextFormattedCitation":"(Hesse, Kreutzer, &amp; Diehl, 2019; Currie &amp; Spyridonidis, 2016)","previouslyFormattedCitation":"(Hesse, Kreutzer, &amp; Diehl, 2019; Currie &amp; Spyridonidis, 2016)"},"properties":{"noteIndex":0},"schema":"https://github.com/citation-style-language/schema/raw/master/csl-citation.json"}</w:instrText>
      </w:r>
      <w:r w:rsidR="00742FB7" w:rsidRPr="00AC1B06">
        <w:rPr>
          <w:rFonts w:cs="Calibri"/>
        </w:rPr>
        <w:fldChar w:fldCharType="separate"/>
      </w:r>
      <w:r w:rsidR="00742FB7" w:rsidRPr="00AC1B06">
        <w:rPr>
          <w:rFonts w:cs="Calibri"/>
          <w:noProof/>
        </w:rPr>
        <w:t>(Hesse, Kreutzer, &amp; Diehl, 2019; Currie &amp; Spyridonidis, 2016)</w:t>
      </w:r>
      <w:r w:rsidR="00742FB7" w:rsidRPr="00AC1B06">
        <w:rPr>
          <w:rFonts w:cs="Calibri"/>
        </w:rPr>
        <w:fldChar w:fldCharType="end"/>
      </w:r>
      <w:r w:rsidR="00742FB7" w:rsidRPr="00AC1B06">
        <w:rPr>
          <w:rFonts w:cs="Calibri"/>
        </w:rPr>
        <w:t xml:space="preserve">. During COVID-19, there was a temporal shift in the institutional drivers and logics within the SYFR Communications team, with an increasing institutional pressure from the CCA (2004), which influenced how and what they were communicating. This suggested that for different disasters and events there are different combinations of institutional logics which influence their communication. </w:t>
      </w:r>
    </w:p>
    <w:p w14:paraId="39722A27" w14:textId="77777777" w:rsidR="00787F73" w:rsidRPr="00AC1B06" w:rsidRDefault="00787F73" w:rsidP="00866155">
      <w:pPr>
        <w:rPr>
          <w:rFonts w:cs="Calibri"/>
        </w:rPr>
      </w:pPr>
    </w:p>
    <w:p w14:paraId="6BC7D9DB" w14:textId="3018A214" w:rsidR="00787F73" w:rsidRPr="00AC1B06" w:rsidRDefault="00742FB7" w:rsidP="00866155">
      <w:pPr>
        <w:rPr>
          <w:rFonts w:cs="Calibri"/>
        </w:rPr>
      </w:pPr>
      <w:r w:rsidRPr="00AC1B06">
        <w:rPr>
          <w:rFonts w:cs="Calibri"/>
        </w:rPr>
        <w:t xml:space="preserve">Within this institutional complexity, there appeared to be a role for institutional agency </w:t>
      </w:r>
      <w:r w:rsidRPr="00AC1B06">
        <w:rPr>
          <w:rFonts w:cs="Calibri"/>
        </w:rPr>
        <w:fldChar w:fldCharType="begin" w:fldLock="1"/>
      </w:r>
      <w:r w:rsidR="00974B75" w:rsidRPr="00AC1B06">
        <w:rPr>
          <w:rFonts w:cs="Calibri"/>
        </w:rPr>
        <w:instrText>ADDIN CSL_CITATION {"citationItems":[{"id":"ITEM-1","itemData":{"DOI":"10.1108/S0733-558X(2013)0039A&amp;B015","ISSN":"0733558X","abstract":"This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Organizations","id":"ITEM-1","issue":"B","issued":{"date-parts":[["2013"]]},"page":"37-61","publisher":"Emerald Group Publishing Limited","title":"Institutional ambidexterity: Leveraging institutional complexity in practice","type":"article-journal","volume":"39"},"uris":["http://www.mendeley.com/documents/?uuid=ff8dc873-f050-4c05-bdec-08925d6e6ab8"]},{"id":"ITEM-2","itemData":{"DOI":"10.1177/1476127015625040","author":[{"dropping-particle":"","family":"Ocasio","given":"William","non-dropping-particle":"","parse-names":false,"suffix":""},{"dropping-particle":"","family":"Radoynovska","given":"Nevena","non-dropping-particle":"","parse-names":false,"suffix":""}],"container-title":"Strategic Organization","id":"ITEM-2","issue":"4","issued":{"date-parts":[["2016"]]},"page":"287 - 309","title":"Strategy and commitments to institutional logics : Organizational heterogeneity in business models and governance","type":"article-journal","volume":"14"},"uris":["http://www.mendeley.com/documents/?uuid=eede86b6-3a39-4b52-acc9-94e8cc3fbd5e"]}],"mendeley":{"formattedCitation":"(Ocasio &amp; Radoynovska, 2016; Jarzabkowski et al., 2013)","plainTextFormattedCitation":"(Ocasio &amp; Radoynovska, 2016; Jarzabkowski et al., 2013)","previouslyFormattedCitation":"(Ocasio &amp; Radoynovska, 2016; Jarzabkowski et al., 2013)"},"properties":{"noteIndex":0},"schema":"https://github.com/citation-style-language/schema/raw/master/csl-citation.json"}</w:instrText>
      </w:r>
      <w:r w:rsidRPr="00AC1B06">
        <w:rPr>
          <w:rFonts w:cs="Calibri"/>
        </w:rPr>
        <w:fldChar w:fldCharType="separate"/>
      </w:r>
      <w:r w:rsidRPr="00AC1B06">
        <w:rPr>
          <w:rFonts w:cs="Calibri"/>
          <w:noProof/>
        </w:rPr>
        <w:t>(Ocasio &amp; Radoynovska, 2016; Jarzabkowski et al., 2013)</w:t>
      </w:r>
      <w:r w:rsidRPr="00AC1B06">
        <w:rPr>
          <w:rFonts w:cs="Calibri"/>
        </w:rPr>
        <w:fldChar w:fldCharType="end"/>
      </w:r>
      <w:r w:rsidRPr="00AC1B06">
        <w:rPr>
          <w:rFonts w:cs="Calibri"/>
        </w:rPr>
        <w:t xml:space="preserve">, with the SYFR Communications team being able to blend multiple logics together such as FRSA and community logics, or the CCA and FRSA logics in the case of COVID-19. </w:t>
      </w:r>
      <w:r w:rsidR="00C84401">
        <w:rPr>
          <w:rFonts w:cs="Calibri"/>
        </w:rPr>
        <w:t>While</w:t>
      </w:r>
      <w:r w:rsidRPr="00AC1B06">
        <w:rPr>
          <w:rFonts w:cs="Calibri"/>
        </w:rPr>
        <w:t xml:space="preserve"> SYFR appeared to have agency in blending and balancing these logics </w:t>
      </w:r>
      <w:r w:rsidRPr="00AC1B06">
        <w:rPr>
          <w:rFonts w:cs="Calibri"/>
        </w:rPr>
        <w:fldChar w:fldCharType="begin" w:fldLock="1"/>
      </w:r>
      <w:r w:rsidR="00974B75" w:rsidRPr="00AC1B06">
        <w:rPr>
          <w:rFonts w:cs="Calibri"/>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Phenomena","type":"article-journal","volume":"47"},"uris":["http://www.mendeley.com/documents/?uuid=3561369e-31b0-40ce-940d-739bd34cab24"]},{"id":"ITEM-2","itemData":{"DOI":"10.1080/1461670X.2015.1052537","ISSN":"14699699","abstract":"This study analyzes the emergence, development, and stasis of the news fact-checking website through the institutional perspectives of population ecology and institutional logics. The population ecology approach suggests that like other new media forms, fact-checking sites will mimic one another in pursuit of legitimacy, and this will encourage formation of media “populations,” and tendencies to buffer the external environment and stabilize. Over time, these sites will respond more to other sites within the population itself than to changes in the immediate environment. However, the institutional logics approach accommodates conflict and agency, suggesting that entities pursue complex strategies to retain legitimacy when faced with conflicts within the wider institutional environment. The fact-checking site is a product of such a strategy, as it straddles both traditional journalism and digital network logics. Findings show evidence of a budding fact-checking site population, increasing legitimacy, and increased isomorphism. Yet findings also reveal fragmentation and diversity in recent years, suggesting that institutionalization processes are complex and uneven. Findings suggest a need to understand that media entities are shaped by both their exogenous environment and their endogenous “population,” a collective of similar entities. Future research should explore the conditions that lead to one or the other being more consequential.","author":[{"dropping-particle":"","family":"Lowrey","given":"Wilson","non-dropping-particle":"","parse-names":false,"suffix":""}],"container-title":"Journalism Studies","id":"ITEM-2","issue":"3","issued":{"date-parts":[["2017"]]},"page":"376-394","title":"The Emergence and Development of News Fact-checking Sites: Institutional logics and population ecology","type":"article-journal","volume":"18"},"uris":["http://www.mendeley.com/documents/?uuid=e8fb5c0e-d852-402f-8b44-c91e49684340"]},{"id":"ITEM-3","itemData":{"DOI":"10.1016/j.aos.2022.101336","ISSN":"03613682","abstract":"This paper is located within the research problematic of multiple logics with reference to professional service firms (PSFs), and in particular audit firms. Within this multi-logic (“hybrid”) and complex organization, we are specifically concerned with the impacts of new institutional logics that reflect social and political movements - in this case diversity legislation - and how these new logics are absorbed and managed within the organizations’ structures and practices. Based upon a study of large and medium sized audit firms in the UK, we consider the organizational responses to the demands for improved diversity among firm members, especially the senior elite, in the context of the passing of the Equality Act, 2010, and subsequent legislation which both consolidated and extended UK laws on discrimination. Our study indicates how such organizational sites have value for demonstrating how the conflict between logics shifts its terms of reference. While most of the conflict between logics of commercialism and professionalism has been successfully managed through mechanisms of hybridization, we bring to the fore how the struggles between ideas about merit and diversity in professional evaluation processes and practices are more intractable. Our work contributes to an understanding of both the dependencies (blending) and co-existences (separation) that can exist between diversity, commercial and professional logics of practice in multi-logic organizations. We further highlight the role of identity scripts that shape how individuals situationally demarcate their identities as they struggle with the demands for diversity that challenge dominant logics.","author":[{"dropping-particle":"","family":"Anderson-Gough","given":"Fiona","non-dropping-particle":"","parse-names":false,"suffix":""},{"dropping-particle":"","family":"Edgley","given":"Carla","non-dropping-particle":"","parse-names":false,"suffix":""},{"dropping-particle":"","family":"Robson","given":"Keith","non-dropping-particle":"","parse-names":false,"suffix":""},{"dropping-particle":"","family":"Sharma","given":"Nina","non-dropping-particle":"","parse-names":false,"suffix":""}],"container-title":"Accounting, Organizations and Society","id":"ITEM-3","issued":{"date-parts":[["2022"]]},"page":"1-21","publisher":"The Authors","title":"Organizational responses to multiple logics: Diversity, identity and the professional service firm","type":"article-journal","volume":"103"},"uris":["http://www.mendeley.com/documents/?uuid=fa3c624d-bc21-4550-9481-bd7c9bf1f730"]}],"mendeley":{"formattedCitation":"(Anderson-Gough et al., 2022; Lounsbury et al., 2021; Lowrey, 2017)","plainTextFormattedCitation":"(Anderson-Gough et al., 2022; Lounsbury et al., 2021; Lowrey, 2017)","previouslyFormattedCitation":"(Anderson-Gough et al., 2022; Lounsbury et al., 2021; Lowrey, 2017)"},"properties":{"noteIndex":0},"schema":"https://github.com/citation-style-language/schema/raw/master/csl-citation.json"}</w:instrText>
      </w:r>
      <w:r w:rsidRPr="00AC1B06">
        <w:rPr>
          <w:rFonts w:cs="Calibri"/>
        </w:rPr>
        <w:fldChar w:fldCharType="separate"/>
      </w:r>
      <w:r w:rsidRPr="00AC1B06">
        <w:rPr>
          <w:rFonts w:cs="Calibri"/>
          <w:noProof/>
        </w:rPr>
        <w:t>(Anderson-Gough et al., 2022; Lounsbury et al., 2021; Lowrey, 2017)</w:t>
      </w:r>
      <w:r w:rsidRPr="00AC1B06">
        <w:rPr>
          <w:rFonts w:cs="Calibri"/>
        </w:rPr>
        <w:fldChar w:fldCharType="end"/>
      </w:r>
      <w:r w:rsidRPr="00AC1B06">
        <w:rPr>
          <w:rFonts w:cs="Calibri"/>
        </w:rPr>
        <w:t xml:space="preserve">, there was still a sense of institutional legitimacy </w:t>
      </w:r>
      <w:r w:rsidRPr="00AC1B06">
        <w:rPr>
          <w:rFonts w:cs="Calibri"/>
        </w:rPr>
        <w:fldChar w:fldCharType="begin" w:fldLock="1"/>
      </w:r>
      <w:r w:rsidR="00974B75" w:rsidRPr="00AC1B06">
        <w:rPr>
          <w:rFonts w:cs="Calibri"/>
        </w:rPr>
        <w:instrText>ADDIN CSL_CITATION {"citationItems":[{"id":"ITEM-1","itemData":{"DOI":"10.1146/annurev-soc-090320-111734","ISSN":"03600572","abstract":"In this article, we take stock of the institutional logics perspective and highlight opportunities for new scholarship. While we celebrate the growth and generativity of the literature on institutional logics, we also note that there has been a troubling tendency in recent work to use logics as analytical tools, feeding disquiet about reification and reductionism. Seeding a broader scholarly agenda that addresses such weaknesses in the literature, we highlight nascent efforts that aim to more systematically understand institutional logics as complex, dynamic phenomena in their own right. In doing so, we argue for more research that probes how logics cohere and endure by unpacking the role of values, the centrality of practice, and the governance dynamics of institutional logics and their orders. Furthermore, we encourage bridging the study of institutional logics with various literatures, including ethnomethodology, phenomenology, professions, elites, world society, and the old institutionalism, to enhance progress in these directions.","author":[{"dropping-particle":"","family":"Lounsbury","given":"Michael","non-dropping-particle":"","parse-names":false,"suffix":""},{"dropping-particle":"","family":"Steele","given":"Christopher W.J.","non-dropping-particle":"","parse-names":false,"suffix":""},{"dropping-particle":"","family":"Wang","given":"Milo Shaoqing","non-dropping-particle":"","parse-names":false,"suffix":""},{"dropping-particle":"","family":"Toubiana","given":"Madeline","non-dropping-particle":"","parse-names":false,"suffix":""}],"container-title":"Annual Review of Sociology","id":"ITEM-1","issue":"29","issued":{"date-parts":[["2021"]]},"page":"1-20","title":"New Directions in the Study of Institutional Logics: From Tools to Phenomena","type":"article-journal","volume":"47"},"uris":["http://www.mendeley.com/documents/?uuid=3561369e-31b0-40ce-940d-739bd34cab24"]},{"id":"ITEM-2","itemData":{"DOI":"10.1108/S0733-558X(2013)0039A&amp;B015","ISSN":"0733558X","abstract":"This paper develops a practice approach to institutional ambidexterity. In doing so, it first explores the ‘promise’ of institutional ambidexterity as a concept to address shortcomings with the treatment of complexity in institutional theory. However, we argue that this is an empty promise because ambidexterity remains an organizational level construct that neither connects to the institutional level, or to the practical actions and interactions within which individuals enact institutions. We therefore suggest a practice approach that we develop into a conceptual framework for fulfilling the promise of institutional ambidexterity. The second part of the paper outlines what a practice approach is and the variation in practice-based insights into institutional ambidexterity that we might expect in contexts of novel or routine institutional complexity. Finally, the paper concludes with a research agenda that highlights the potential of practice to extend institutional theory through new research approaches to well-established institutional theory questions, interests and estab-lished-understandings.","author":[{"dropping-particle":"","family":"Jarzabkowski","given":"Paula","non-dropping-particle":"","parse-names":false,"suffix":""},{"dropping-particle":"","family":"Smets","given":"Michael","non-dropping-particle":"","parse-names":false,"suffix":""},{"dropping-particle":"","family":"Bednarek","given":"Rebecca","non-dropping-particle":"","parse-names":false,"suffix":""},{"dropping-particle":"","family":"Burke","given":"Gary","non-dropping-particle":"","parse-names":false,"suffix":""},{"dropping-particle":"","family":"Spee","given":"Paul","non-dropping-particle":"","parse-names":false,"suffix":""}],"container-title":"Research in the Sociology of Organizations","id":"ITEM-2","issue":"B","issued":{"date-parts":[["2013"]]},"page":"37-61","publisher":"Emerald Group Publishing Limited","title":"Institutional ambidexterity: Leveraging institutional complexity in practice","type":"article-journal","volume":"39"},"uris":["http://www.mendeley.com/documents/?uuid=ff8dc873-f050-4c05-bdec-08925d6e6ab8"]}],"mendeley":{"formattedCitation":"(Lounsbury et al., 2021; Jarzabkowski et al., 2013)","plainTextFormattedCitation":"(Lounsbury et al., 2021; Jarzabkowski et al., 2013)","previouslyFormattedCitation":"(Lounsbury et al., 2021; Jarzabkowski et al., 2013)"},"properties":{"noteIndex":0},"schema":"https://github.com/citation-style-language/schema/raw/master/csl-citation.json"}</w:instrText>
      </w:r>
      <w:r w:rsidRPr="00AC1B06">
        <w:rPr>
          <w:rFonts w:cs="Calibri"/>
        </w:rPr>
        <w:fldChar w:fldCharType="separate"/>
      </w:r>
      <w:r w:rsidRPr="00AC1B06">
        <w:rPr>
          <w:rFonts w:cs="Calibri"/>
          <w:noProof/>
        </w:rPr>
        <w:t>(Lounsbury et al., 2021; Jarzabkowski et al., 2013)</w:t>
      </w:r>
      <w:r w:rsidRPr="00AC1B06">
        <w:rPr>
          <w:rFonts w:cs="Calibri"/>
        </w:rPr>
        <w:fldChar w:fldCharType="end"/>
      </w:r>
      <w:r w:rsidRPr="00AC1B06">
        <w:rPr>
          <w:rFonts w:cs="Calibri"/>
        </w:rPr>
        <w:t xml:space="preserve"> ensuring that they were still adhering to the rules and schema of the institutions. These findings suggested that even though SYFR do not have a statutory obligation to communicate surrounding community resilience, they have still demonstrated </w:t>
      </w:r>
      <w:r w:rsidRPr="00AC1B06">
        <w:rPr>
          <w:rFonts w:cs="Calibri"/>
        </w:rPr>
        <w:lastRenderedPageBreak/>
        <w:t xml:space="preserve">their ability and confidence at utilising their institutional agency to work within institutional complexity. </w:t>
      </w:r>
    </w:p>
    <w:p w14:paraId="6CFD8F88" w14:textId="77777777" w:rsidR="00787F73" w:rsidRPr="00AC1B06" w:rsidRDefault="00787F73" w:rsidP="00866155">
      <w:pPr>
        <w:rPr>
          <w:rFonts w:cs="Calibri"/>
        </w:rPr>
      </w:pPr>
    </w:p>
    <w:p w14:paraId="567840AD" w14:textId="77777777" w:rsidR="00787F73" w:rsidRPr="00AC1B06" w:rsidRDefault="00742FB7" w:rsidP="00866155">
      <w:pPr>
        <w:rPr>
          <w:rFonts w:cs="Calibri"/>
        </w:rPr>
      </w:pPr>
      <w:bookmarkStart w:id="1118" w:name="_Toc156227661"/>
      <w:r w:rsidRPr="00AC1B06">
        <w:rPr>
          <w:rFonts w:cs="Calibri"/>
        </w:rPr>
        <w:t xml:space="preserve">Chapter 6 examined the third and final research question: </w:t>
      </w:r>
      <w:r w:rsidRPr="00AC1B06">
        <w:rPr>
          <w:rFonts w:cs="Calibri"/>
          <w:i/>
          <w:iCs/>
        </w:rPr>
        <w:t>Who is engaging with SYFR’s content on social media and what implications are there for community resilience?</w:t>
      </w:r>
      <w:bookmarkEnd w:id="1118"/>
      <w:r w:rsidRPr="00AC1B06">
        <w:rPr>
          <w:rFonts w:cs="Calibri"/>
        </w:rPr>
        <w:t xml:space="preserve"> This research question focused on the communities that SYFR work with, examining their Twitter followers, and two communities in South Yorkshire: one being categorised as a high risk, and another being categorised as a low risk. This chapter built upon existing literature within the social media, community resilience and more widely the disaster literature. The previous literature had focused on the use of social media after a disaster or emergency has happened </w:t>
      </w:r>
      <w:r w:rsidRPr="00AC1B06">
        <w:rPr>
          <w:rFonts w:cs="Calibri"/>
        </w:rPr>
        <w:fldChar w:fldCharType="begin" w:fldLock="1"/>
      </w:r>
      <w:r w:rsidR="00974B75" w:rsidRPr="00AC1B06">
        <w:rPr>
          <w:rFonts w:cs="Calibri"/>
        </w:rPr>
        <w:instrText>ADDIN CSL_CITATION {"citationItems":[{"id":"ITEM-1","itemData":{"DOI":"10.1016/j.ijdrr.2022.102783","ISSN":"22124209","abstract":"Studies on the role of social media in disaster management have so far focused mainly on early phases of the disaster response process. Published evidence regarding the scope and effectiveness of social media use in the recovery phase is limited but promising. There is currently no study that provides a comprehensive picture of the current research landscape that can inform different groups who need to capitalise on social media for disaster recovery. The present study aims to address this research gap by conducting a systematic literature review of social media use in disaster recovery. The review analyses the relevant studies to identify any temporal variations in research activity, the social media platforms most frequently used in disaster recovery, their patterns of use by type of disaster as well as the geographical locations where the studies have focused. Importantly, the paper identifies and summarises research findings relating to social media use in various aspects of disaster recovery, including (1) donations and financial support, (2) solidarity and social cohesion, (3) post-disaster reconstruction and infrastructure services, (4) socioeconomic and physical wellbeing, (5) information support, (6) mental health and emotional support, and (7) business &amp; economic activities. We envisage that this comprehensive review will support the disaster risk reduction community with the requisite knowledge to better explore social media for disaster recovery. Similarly, future research may find the study helpful for understanding the state of knowledge and identifying research gaps around social media use for disaster recovery.","author":[{"dropping-particle":"","family":"Ogie","given":"R. I.","non-dropping-particle":"","parse-names":false,"suffix":""},{"dropping-particle":"","family":"James","given":"S.","non-dropping-particle":"","parse-names":false,"suffix":""},{"dropping-particle":"","family":"Moore","given":"A.","non-dropping-particle":"","parse-names":false,"suffix":""},{"dropping-particle":"","family":"Dilworth","given":"T.","non-dropping-particle":"","parse-names":false,"suffix":""},{"dropping-particle":"","family":"Amirghasemi","given":"M.","non-dropping-particle":"","parse-names":false,"suffix":""},{"dropping-particle":"","family":"Whittaker","given":"J.","non-dropping-particle":"","parse-names":false,"suffix":""}],"container-title":"International Journal of Disaster Risk Reduction","id":"ITEM-1","issued":{"date-parts":[["2022"]]},"page":"1 - 18","title":"Social media use in disaster recovery: A systematic literature review","type":"article-journal","volume":"70"},"uris":["http://www.mendeley.com/documents/?uuid=1bda90d3-961c-4bb6-9867-e482122058e3"]},{"id":"ITEM-2","itemData":{"DOI":"10.1007/s13753-022-00399-1","ISSN":"21926395","abstract":"This study examined the propensity of social media use by underserved communities by drawing on the literature on the digital divide and attribution theory. Specifically, this research explored the factors that can influence the use of social media for disaster management. The study used survey methodology to collect data and partial least squares structural equation modeling (PLS-SEM) to analyze the data and test the hypotheses. The results of the study indicate: (1) that the propensity of social media use for disaster management is low for underserved communities; (2) a positive relationship between an individual’s effort and the intention to use social media for disaster management; and (3) a negative relationship between task difficulty and the intention to use social media for disaster management. The study expanded the literature on the use of social media in disaster management. The article also provides both theoretical and practical implications.","author":[{"dropping-particle":"","family":"Ramakrishnan","given":"Thiagarajan","non-dropping-particle":"","parse-names":false,"suffix":""},{"dropping-particle":"","family":"Ngamassi","given":"Louis","non-dropping-particle":"","parse-names":false,"suffix":""},{"dropping-particle":"","family":"Rahman","given":"Shahedur","non-dropping-particle":"","parse-names":false,"suffix":""}],"container-title":"International Journal of Disaster Risk Science","id":"ITEM-2","issued":{"date-parts":[["2022"]]},"page":"52-65","title":"Examining the Factors that Influence the Use of Social Media for Disaster Management by Underserved Communities","type":"article-journal","volume":"13"},"uris":["http://www.mendeley.com/documents/?uuid=78f79e65-57eb-4b0f-a3c9-31e43d9f8e7c"]},{"id":"ITEM-3","itemData":{"DOI":"10.1007/s43076-022-00192-5","ISBN":"0123456789","ISSN":"23581883","abstract":"The coronavirus pandemic is a global pandemic of Coronavirus Disease 2019 (COVID-19) resulting from the Severe Acute Respiratory Syndrome Coronavirus 2 (SARS-CoV2). Despite its numerous benefits for sharing health information, social media has raised several concerns in terms of posing panic among the general population around the world during the COVID-19 pandemic. The main objective of this study was to investigate the negative impact of social media during the COVID-19 outbreak. A web-based poll was used to collect data from social media users. Snowball sampling was used to acquire information from participants for 1 month, from September 1 to September 30, 2020. To examine the effect of social media on fear among participants, the study employed Cohen’s d statistic, analysis of variance, Chi-squared test, and linear regression analysis. The study results showed that more than three-fourth (73.26%) used Facebook followed by Telegram by 14.49%. Health news was the most frequently seen, read, or heard with 88.20% of the total. Moreover, 86.73% of respondents experienced panic, while only 13.27% was not. Compared to males, females were more likely to follow health news (p &lt; 0.001). The majority of participants reported being psychologically affected, while only a few were physically affected. Females were substantially more affected mentally and reported significantly more fear than males (p &lt; 0.001). The effect of social media panic is associated with participants’ age, and gender at a 5% level of significance. A significant positive link between social media and the diffusion of COVID-19 fear has been shown in this study. According to the result of regression analysis, social media usage has a significant effect on the spread of panic among participants at a 5% level of significance. Study revealed that social media use has a significant impact on the development of panic among people regarding the COVID-19 epidemic, with possibly detrimental psychological and mental health repercussions.This study also discovered a strong correlation between COVID-19 fear and social media. According to the findings, the impact of social media on respondents’ terror levels differs depending on their age and gender. The government should take steps to punish those who spread false information or fake news to the public.","author":[{"dropping-particle":"","family":"Lelisho","given":"Mesfin Esayas","non-dropping-particle":"","parse-names":false,"suffix":""},{"dropping-particle":"","family":"Pandey","given":"Digvijay","non-dropping-particle":"","parse-names":false,"suffix":""},{"dropping-particle":"","family":"Alemu","given":"Bizuwork Derebew","non-dropping-particle":"","parse-names":false,"suffix":""},{"dropping-particle":"","family":"Pandey","given":"Binay Kumar","non-dropping-particle":"","parse-names":false,"suffix":""},{"dropping-particle":"","family":"Tareke","given":"Seid Ali","non-dropping-particle":"","parse-names":false,"suffix":""}],"container-title":"Trends in Psychology","id":"ITEM-3","issue":"1","issued":{"date-parts":[["2023"]]},"page":"123-142","title":"The Negative Impact of Social Media during COVID-19 Pandemic","type":"article-journal","volume":"31"},"uris":["http://www.mendeley.com/documents/?uuid=6bcb7d15-34b1-4aa7-ba02-82b4783f9455"]}],"mendeley":{"formattedCitation":"(Lelisho et al., 2023; Ogie et al., 2022; Ramakrishnan, Ngamassi, &amp; Rahman, 2022)","plainTextFormattedCitation":"(Lelisho et al., 2023; Ogie et al., 2022; Ramakrishnan, Ngamassi, &amp; Rahman, 2022)","previouslyFormattedCitation":"(Lelisho et al., 2023; Ogie et al., 2022; Ramakrishnan, Ngamassi, &amp; Rahman, 2022)"},"properties":{"noteIndex":0},"schema":"https://github.com/citation-style-language/schema/raw/master/csl-citation.json"}</w:instrText>
      </w:r>
      <w:r w:rsidRPr="00AC1B06">
        <w:rPr>
          <w:rFonts w:cs="Calibri"/>
        </w:rPr>
        <w:fldChar w:fldCharType="separate"/>
      </w:r>
      <w:r w:rsidRPr="00AC1B06">
        <w:rPr>
          <w:rFonts w:cs="Calibri"/>
          <w:noProof/>
        </w:rPr>
        <w:t>(Lelisho et al., 2023; Ogie et al., 2022; Ramakrishnan, Ngamassi, &amp; Rahman, 2022)</w:t>
      </w:r>
      <w:r w:rsidRPr="00AC1B06">
        <w:rPr>
          <w:rFonts w:cs="Calibri"/>
        </w:rPr>
        <w:fldChar w:fldCharType="end"/>
      </w:r>
      <w:r w:rsidRPr="00AC1B06">
        <w:rPr>
          <w:rFonts w:cs="Calibri"/>
        </w:rPr>
        <w:t xml:space="preserve">, or in examining the communities affected focused on different socio-economic conditions influencing the community’s vulnerability </w:t>
      </w:r>
      <w:r w:rsidRPr="00AC1B06">
        <w:rPr>
          <w:rFonts w:cs="Calibri"/>
        </w:rPr>
        <w:fldChar w:fldCharType="begin" w:fldLock="1"/>
      </w:r>
      <w:r w:rsidR="00974B75" w:rsidRPr="00AC1B06">
        <w:rPr>
          <w:rFonts w:cs="Calibri"/>
        </w:rPr>
        <w:instrText>ADDIN CSL_CITATION {"citationItems":[{"id":"ITEM-1","itemData":{"DOI":"10.1080/03003930.2019.1571999","ISSN":"17439388","abstract":"Scholars and practitioners have long noted the importance of community resilience to disaster recovery and environmental risk mitigation. Yet we know surprisingly little about how local residents perceive the resilience of their local communities, including how closely their perceptions align with objective measures of resilience or whether these perceptions affect community engagement and support for resilience building activities and policies. In this paper, we utilise the results of public opinion surveys of residents of four Texas coastal shoreline counties (Brazoria, Nueces, Galveston, and Cameron) to address this gap in the literature. The results reveal that perceptions of community preparedness largely reflect social trust and disaster awareness while perceptions of recovery reflect perceived risks and preparedness.","author":[{"dropping-particle":"","family":"Goidel","given":"Kirby","non-dropping-particle":"","parse-names":false,"suffix":""},{"dropping-particle":"","family":"Horney","given":"Jennifer A.","non-dropping-particle":"","parse-names":false,"suffix":""},{"dropping-particle":"","family":"Kellstedt","given":"Paul M.","non-dropping-particle":"","parse-names":false,"suffix":""},{"dropping-particle":"","family":"Sullivan","given":"Emily","non-dropping-particle":"","parse-names":false,"suffix":""},{"dropping-particle":"","family":"Brown","given":"Stephanie E.V.","non-dropping-particle":"","parse-names":false,"suffix":""}],"container-title":"Local Government Studies","id":"ITEM-1","issue":"3","issued":{"date-parts":[["2019"]]},"page":"413-432","title":"Perceptions of disaster resilience in four Texas coastal communities","type":"article-journal","volume":"45"},"uris":["http://www.mendeley.com/documents/?uuid=4033a276-60f2-438f-a557-0a555c5f96f4"]},{"id":"ITEM-2","itemData":{"DOI":"10.1093/cdj/bst042","abstract":"Enhancing inclusion and self-reliance at community level is gaining ground in policy terms, due – in part – to the need to increase the efficiency of public spend, associated with the global financial crisis. Within Scotland, this shift is manifested through multiple policy and community interventions seeking to enhance resilience of communities. Measuring community resilience remains challenging as there is a lack of practical tools and assessment methods to capture aspects of 'change'. The research presented here is based on the 'Capacity for Change' programme, which, through community engagement and empowerment, seeks to enhance the capacity of rural places and develop inclusive communities. The paper presents (i) an evaluation model for measuring community resilience and (ii) empirical findings that derive from deploying the model in a real-life scenario. Based on 155 face-to-face interviews with inhabitants from rural communities, resilience is revealed as being multi-scalar and interdependent, indicating the importance of 'unpacking' resilience by exploring different levels of its social and economic components. The findings indicate the significance of inter-connectivity of local and regional, and those less and more resilient areas. In addition, it shows that locations with more diversified services and resources are reported by their residents as being more resilient.","author":[{"dropping-particle":"","family":"Steiner","given":"Artur","non-dropping-particle":"","parse-names":false,"suffix":""},{"dropping-particle":"","family":"Markantoni","given":"Marianna","non-dropping-particle":"","parse-names":false,"suffix":""}],"container-title":"Community Development Journal","id":"ITEM-2","issue":"3","issued":{"date-parts":[["2014"]]},"note":"Good quote &amp;quot;We, therefore, argue that models for measuring community resilience should take into account local settings and socio-economic characteristics&amp;quot; Page 410\n\nAnalysis of other papers","page":"407 - 425","title":"Unpacking community resilience through Capacity for Change","type":"article-journal","volume":"49"},"uris":["http://www.mendeley.com/documents/?uuid=b50ce932-acdd-35c5-a5a9-bc5b4819b932"]},{"id":"ITEM-3","itemData":{"DOI":"10.3763/ehaz.1999.0103","author":[{"dropping-particle":"","family":"Tobin","given":"Graham A","non-dropping-particle":"","parse-names":false,"suffix":""}],"container-title":"Environmental Hazards","id":"ITEM-3","issue":"1","issued":{"date-parts":[["1999"]]},"page":"13-25","title":"Sustainability and community resilience: the holy grail of hazards planning?","type":"article-journal","volume":"1"},"uris":["http://www.mendeley.com/documents/?uuid=8bf65d46-8190-4198-bf8c-df8928e2d260"]}],"mendeley":{"formattedCitation":"(Goidel et al., 2019; Steiner &amp; Markantoni, 2014; Tobin, 1999)","plainTextFormattedCitation":"(Goidel et al., 2019; Steiner &amp; Markantoni, 2014; Tobin, 1999)","previouslyFormattedCitation":"(Goidel et al., 2019; Steiner &amp; Markantoni, 2014; Tobin, 1999)"},"properties":{"noteIndex":0},"schema":"https://github.com/citation-style-language/schema/raw/master/csl-citation.json"}</w:instrText>
      </w:r>
      <w:r w:rsidRPr="00AC1B06">
        <w:rPr>
          <w:rFonts w:cs="Calibri"/>
        </w:rPr>
        <w:fldChar w:fldCharType="separate"/>
      </w:r>
      <w:r w:rsidRPr="00AC1B06">
        <w:rPr>
          <w:rFonts w:cs="Calibri"/>
          <w:noProof/>
        </w:rPr>
        <w:t>(Goidel et al., 2019; Steiner &amp; Markantoni, 2014; Tobin, 1999)</w:t>
      </w:r>
      <w:r w:rsidRPr="00AC1B06">
        <w:rPr>
          <w:rFonts w:cs="Calibri"/>
        </w:rPr>
        <w:fldChar w:fldCharType="end"/>
      </w:r>
      <w:r w:rsidRPr="00AC1B06">
        <w:rPr>
          <w:rFonts w:cs="Calibri"/>
        </w:rPr>
        <w:t xml:space="preserve"> with this literature base predominantly focusing on the use and impact of social media after an event. This chapter added to this body of research by examining SYFR’s followers, looking more critically at the use of social media, and examining how the two community groups worked with agencies and the role and importance of linking social capital. This chapter followed from the previous two chapters which examined how and why SYFR aim to communicate with their surrounding citizens, with this chapter providing the critical evaluation with whether their approach can develop CDR.</w:t>
      </w:r>
    </w:p>
    <w:p w14:paraId="5E5618D1" w14:textId="77777777" w:rsidR="00787F73" w:rsidRPr="00AC1B06" w:rsidRDefault="00787F73" w:rsidP="00866155">
      <w:pPr>
        <w:rPr>
          <w:rFonts w:cs="Calibri"/>
        </w:rPr>
      </w:pPr>
    </w:p>
    <w:p w14:paraId="28030050" w14:textId="6064634F" w:rsidR="00787F73" w:rsidRPr="00AC1B06" w:rsidRDefault="00742FB7" w:rsidP="00866155">
      <w:pPr>
        <w:rPr>
          <w:rFonts w:cs="Calibri"/>
        </w:rPr>
      </w:pPr>
      <w:r w:rsidRPr="00AC1B06">
        <w:rPr>
          <w:rFonts w:cs="Calibri"/>
        </w:rPr>
        <w:t xml:space="preserve">Section 6.2 first examined that SYFR’s Twitter account was being followed by accounts self-reporting to be located across the globe, not just in South Yorkshire. This meant that any metrics used in their PICs evaluations which implied they had </w:t>
      </w:r>
      <w:r w:rsidRPr="00AC1B06">
        <w:rPr>
          <w:rFonts w:cs="Calibri"/>
          <w:i/>
          <w:iCs/>
        </w:rPr>
        <w:t>reached</w:t>
      </w:r>
      <w:r w:rsidRPr="00AC1B06">
        <w:rPr>
          <w:rFonts w:cs="Calibri"/>
        </w:rPr>
        <w:t xml:space="preserve"> x number of people, included figures of people from outside of South Yorkshire. This is of relevance as SYFR has an obligation to communicate fire risk information to people within their geographical area. </w:t>
      </w:r>
      <w:r w:rsidR="00C84401">
        <w:rPr>
          <w:rFonts w:cs="Calibri"/>
        </w:rPr>
        <w:t>While</w:t>
      </w:r>
      <w:r w:rsidRPr="00AC1B06">
        <w:rPr>
          <w:rFonts w:cs="Calibri"/>
        </w:rPr>
        <w:t xml:space="preserve"> their follower base was global, it appeared that their active interactions were with accounts which were based in South Yorkshire or locally, </w:t>
      </w:r>
      <w:r w:rsidR="00A1788D">
        <w:rPr>
          <w:rFonts w:cs="Calibri"/>
        </w:rPr>
        <w:t>implying</w:t>
      </w:r>
      <w:r w:rsidR="00A1788D" w:rsidRPr="00AC1B06">
        <w:rPr>
          <w:rFonts w:cs="Calibri"/>
        </w:rPr>
        <w:t xml:space="preserve"> </w:t>
      </w:r>
      <w:r w:rsidRPr="00AC1B06">
        <w:rPr>
          <w:rFonts w:cs="Calibri"/>
        </w:rPr>
        <w:t xml:space="preserve">they were actively engaging with local accounts. This suggested that for SYFR to support the development of community resilience in South Yorkshire, they would first need to ensure that they were actively communicating with members of South Yorkshire. </w:t>
      </w:r>
    </w:p>
    <w:p w14:paraId="162FD69B" w14:textId="77777777" w:rsidR="00787F73" w:rsidRPr="00AC1B06" w:rsidRDefault="00787F73" w:rsidP="00866155">
      <w:pPr>
        <w:rPr>
          <w:rFonts w:cs="Calibri"/>
        </w:rPr>
      </w:pPr>
    </w:p>
    <w:p w14:paraId="4448AE1B" w14:textId="0642C5F7" w:rsidR="00787F73" w:rsidRPr="00AC1B06" w:rsidRDefault="00742FB7" w:rsidP="00866155">
      <w:pPr>
        <w:rPr>
          <w:rFonts w:cs="Calibri"/>
        </w:rPr>
      </w:pPr>
      <w:r w:rsidRPr="00AC1B06">
        <w:rPr>
          <w:rFonts w:cs="Calibri"/>
        </w:rPr>
        <w:lastRenderedPageBreak/>
        <w:t>Examination of the community data with a focus on the high and low-risk communities (6.3) first acknowledge</w:t>
      </w:r>
      <w:r w:rsidR="004976E0">
        <w:rPr>
          <w:rFonts w:cs="Calibri"/>
        </w:rPr>
        <w:t>s</w:t>
      </w:r>
      <w:r w:rsidRPr="00AC1B06">
        <w:rPr>
          <w:rFonts w:cs="Calibri"/>
        </w:rPr>
        <w:t xml:space="preserve"> the challenge of categorising communities as high and low-risk due to the use of dwelling fire data as a community’s risk of disaster, and SYFR’s operations are not only related to fires, but other incidents such as floods, pandemics, and terrorism. This again highlighted the strength and centrality </w:t>
      </w:r>
      <w:r w:rsidRPr="00AC1B06">
        <w:rPr>
          <w:rFonts w:cs="Calibri"/>
        </w:rPr>
        <w:fldChar w:fldCharType="begin" w:fldLock="1"/>
      </w:r>
      <w:r w:rsidR="00974B75" w:rsidRPr="00AC1B06">
        <w:rPr>
          <w:rFonts w:cs="Calibri"/>
        </w:rPr>
        <w:instrText>ADDIN CSL_CITATION {"citationItems":[{"id":"ITEM-1","itemData":{"author":[{"dropping-particle":"","family":"Besharov","given":"Marya L.","non-dropping-particle":"","parse-names":false,"suffix":""},{"dropping-particle":"","family":"Smith","given":"Wendy K.","non-dropping-particle":"","parse-names":false,"suffix":""}],"container-title":"The Academy of Management Review","id":"ITEM-1","issue":"3","issued":{"date-parts":[["2014"]]},"page":"364-381","title":"Multiple Institutional Logics In Organizations: Explaining Their Varied Nature And Implications","type":"article-journal","volume":"39"},"uris":["http://www.mendeley.com/documents/?uuid=57cbbf37-05be-48a2-ad9d-1095a2aeb8e5"]}],"mendeley":{"formattedCitation":"(Besharov &amp; Smith, 2014)","plainTextFormattedCitation":"(Besharov &amp; Smith, 2014)","previouslyFormattedCitation":"(Besharov &amp; Smith, 2014)"},"properties":{"noteIndex":0},"schema":"https://github.com/citation-style-language/schema/raw/master/csl-citation.json"}</w:instrText>
      </w:r>
      <w:r w:rsidRPr="00AC1B06">
        <w:rPr>
          <w:rFonts w:cs="Calibri"/>
        </w:rPr>
        <w:fldChar w:fldCharType="separate"/>
      </w:r>
      <w:r w:rsidRPr="00AC1B06">
        <w:rPr>
          <w:rFonts w:cs="Calibri"/>
          <w:noProof/>
        </w:rPr>
        <w:t>(Besharov &amp; Smith, 2014)</w:t>
      </w:r>
      <w:r w:rsidRPr="00AC1B06">
        <w:rPr>
          <w:rFonts w:cs="Calibri"/>
        </w:rPr>
        <w:fldChar w:fldCharType="end"/>
      </w:r>
      <w:r w:rsidRPr="00AC1B06">
        <w:rPr>
          <w:rFonts w:cs="Calibri"/>
        </w:rPr>
        <w:t xml:space="preserve"> of the FRSA (2004) logic, which focuses on preventing fires. Working with these two community groups suggested a series of characteristics that influenced their resilience. The first characteristic was community composition including community assets, community mentality, and the professional logics of the community. These community assets appeared to influence the bonding social capital of the communities </w:t>
      </w:r>
      <w:r w:rsidRPr="00AC1B06">
        <w:rPr>
          <w:rFonts w:cs="Calibri"/>
        </w:rPr>
        <w:fldChar w:fldCharType="begin" w:fldLock="1"/>
      </w:r>
      <w:r w:rsidRPr="00AC1B06">
        <w:rPr>
          <w:rFonts w:cs="Calibri"/>
        </w:rPr>
        <w:instrText>ADDIN CSL_CITATION {"citationItems":[{"id":"ITEM-1","itemData":{"DOI":"10.1146/annurev.energy.32.051807.090348","ISBN":"1708-3087","ISSN":"0954-5794","PMID":"7615","abstract":"Despite the recent popularity and frequent use of the disaster resilience concept in the academic, re- search, and policy programs, there is a limited theoretical understanding of this concept. For instance, it is not clear how this concept should be operationalized and what its determinant factors are or how they can be measured. Al- though the recent literatures on hazard and disaster frequently refer to resilience concept as a guiding principle behind an effective hazard risk management, making it operational for policies raises critical challenges in terms of its as- sessment. This paper is an attempt to develop a conceptual and methodological framework for the analysis, measure- ment, and mapping of community disaster resilience. The paper specifically intends to archive three objectives. Firstly, it examines the general definitional issues of the concept of resilience with a focus on community disaster re- silience. Secondly, it reviews the frameworks that are currently used to measure community resilience. Thirdly, it evaluates the existing methods that are used to develop resilience indices, and based on this review, a methodology on how to measure community disaster resilience is proposed. Finally, it summarizes the limitations and recommen- dations for further improvement of the methodology.","author":[{"dropping-particle":"","family":"Mayunga","given":"Joseph S","non-dropping-particle":"","parse-names":false,"suffix":""}],"container-title":"Summer academy for social vulnerability and resilience building","id":"ITEM-1","issue":"1","issued":{"date-parts":[["2007"]]},"number-of-pages":"1-16","publisher-place":"Munich","title":"Understanding and Applying the Concept of Community Disaster Resilience : A capital-based approach","type":"report"},"uris":["http://www.mendeley.com/documents/?uuid=8d9105d9-093b-4ab1-98f2-8230311a4cbf"]},{"id":"ITEM-2","itemData":{"author":[{"dropping-particle":"","family":"Sanyal","given":"Saswata","non-dropping-particle":"","parse-names":false,"suffix":""},{"dropping-particle":"","family":"Routray","given":"Jayant K.","non-dropping-particle":"","parse-names":false,"suffix":""}],"container-title":"International Journal of Disaster Risk Reduction","id":"ITEM-2","issued":{"date-parts":[["2016"]]},"page":"101-111","title":"Social capital for disaster risk reduction and management with empirical evidences from Sundarbans of India","type":"article-journal","volume":"19"},"uris":["http://www.mendeley.com/documents/?uuid=d8bcf27c-1efc-4c15-8204-cd8b37719dd2"]}],"mendeley":{"formattedCitation":"(Sanyal &amp; Routray, 2016; Mayunga, 2007)","plainTextFormattedCitation":"(Sanyal &amp; Routray, 2016; Mayunga, 2007)","previouslyFormattedCitation":"(Sanyal &amp; Routray, 2016; Mayunga, 2007)"},"properties":{"noteIndex":0},"schema":"https://github.com/citation-style-language/schema/raw/master/csl-citation.json"}</w:instrText>
      </w:r>
      <w:r w:rsidRPr="00AC1B06">
        <w:rPr>
          <w:rFonts w:cs="Calibri"/>
        </w:rPr>
        <w:fldChar w:fldCharType="separate"/>
      </w:r>
      <w:r w:rsidRPr="00AC1B06">
        <w:rPr>
          <w:rFonts w:cs="Calibri"/>
          <w:noProof/>
        </w:rPr>
        <w:t>(Sanyal &amp; Routray, 2016; Mayunga, 2007)</w:t>
      </w:r>
      <w:r w:rsidRPr="00AC1B06">
        <w:rPr>
          <w:rFonts w:cs="Calibri"/>
        </w:rPr>
        <w:fldChar w:fldCharType="end"/>
      </w:r>
      <w:r w:rsidRPr="00AC1B06">
        <w:rPr>
          <w:rFonts w:cs="Calibri"/>
        </w:rPr>
        <w:t xml:space="preserve"> and provided the social infrastructure which was utilised during disasters, suggesting the importance of developing these networks prior to a disaster has happened in order to develop resilience.</w:t>
      </w:r>
    </w:p>
    <w:p w14:paraId="334C2BAF" w14:textId="77777777" w:rsidR="00787F73" w:rsidRPr="00AC1B06" w:rsidRDefault="00787F73" w:rsidP="00866155">
      <w:pPr>
        <w:rPr>
          <w:rFonts w:cs="Calibri"/>
        </w:rPr>
      </w:pPr>
    </w:p>
    <w:p w14:paraId="0C34A54E" w14:textId="581483C7" w:rsidR="00787F73" w:rsidRPr="00AC1B06" w:rsidRDefault="00742FB7" w:rsidP="00866155">
      <w:pPr>
        <w:rPr>
          <w:rFonts w:cs="Calibri"/>
        </w:rPr>
      </w:pPr>
      <w:r w:rsidRPr="00AC1B06">
        <w:rPr>
          <w:rFonts w:cs="Calibri"/>
        </w:rPr>
        <w:t xml:space="preserve">The community data highlighted the different contexts associated with different disasters, suggesting each disaster had a different combination of institutional logics, which was also influenced by the temporality of the disaster and what phase of the </w:t>
      </w:r>
      <w:r w:rsidR="0038275C">
        <w:rPr>
          <w:rFonts w:cs="Calibri"/>
        </w:rPr>
        <w:t>Disaster Management Cycle</w:t>
      </w:r>
      <w:r w:rsidR="00921B36" w:rsidRPr="00AC1B06">
        <w:rPr>
          <w:rFonts w:cs="Calibri"/>
        </w:rPr>
        <w:t xml:space="preserve"> </w:t>
      </w:r>
      <w:r w:rsidRPr="00AC1B06">
        <w:rPr>
          <w:rFonts w:cs="Calibri"/>
        </w:rPr>
        <w:t xml:space="preserve">the community was in. This also influenced the community logic </w:t>
      </w:r>
      <w:r w:rsidRPr="00AC1B06">
        <w:rPr>
          <w:rFonts w:cs="Calibri"/>
        </w:rPr>
        <w:fldChar w:fldCharType="begin" w:fldLock="1"/>
      </w:r>
      <w:r w:rsidR="00974B75" w:rsidRPr="00AC1B06">
        <w:rPr>
          <w:rFonts w:cs="Calibri"/>
        </w:rPr>
        <w:instrText>ADDIN CSL_CITATION {"citationItems":[{"id":"ITEM-1","itemData":{"DOI":"10.1177/26317877231153189","ISSN":"26317877","abstract":"More than a decade ago, Thornton and colleagues added community to the inter-institutional system and argued that the community logic shapes individual and organizational behavior, determines organizing principles, and influences community–organization relationships. In justifying this addition and defining the ideal type, they drew mostly upon the literature on local communities and organizations. However, the increasing relevance of other types of communities to organization studies necessitates a re-examination and further specification of this framework. This article starts with a review of 172 papers from highly ranked organization and management journals over the last 30 years and summarizes insights on four types of communities for which discussion has flourished: communities of place, of practice, of users, and of firms. This is followed by pattern matching to explore whether these four types follow the initial description of the community logic. We find four variants of the community logic, one for each type of community. We show that all the reviewed types organize around a common boundary, which yields a new definition of the community logic. This commonality also offers scope for comparative research and reconceptualization of community–organization relationships. Furthermore, by specifying the organizing principles that vary, we extend previous research and explicate the main underpinnings of community organizing. The paper ends by suggesting avenues for future research that further embrace an institutional logics perspective on communities.","author":[{"dropping-particle":"","family":"Georgiou","given":"Andreas","non-dropping-particle":"","parse-names":false,"suffix":""},{"dropping-particle":"","family":"Arenas","given":"Daniel","non-dropping-particle":"","parse-names":false,"suffix":""}],"container-title":"Organization Theory","id":"ITEM-1","issue":"1","issued":{"date-parts":[["2023"]]},"page":"1 - 22","title":"Community in Organizational Research: A Review and an Institutional Logics Perspective","type":"article-journal","volume":"4"},"uris":["http://www.mendeley.com/documents/?uuid=274159f8-f7d3-48e3-b741-3084622498f1"]}],"mendeley":{"formattedCitation":"(Georgiou &amp; Arenas, 2023)","plainTextFormattedCitation":"(Georgiou &amp; Arenas, 2023)","previouslyFormattedCitation":"(Georgiou &amp; Arenas, 2023)"},"properties":{"noteIndex":0},"schema":"https://github.com/citation-style-language/schema/raw/master/csl-citation.json"}</w:instrText>
      </w:r>
      <w:r w:rsidRPr="00AC1B06">
        <w:rPr>
          <w:rFonts w:cs="Calibri"/>
        </w:rPr>
        <w:fldChar w:fldCharType="separate"/>
      </w:r>
      <w:r w:rsidRPr="00AC1B06">
        <w:rPr>
          <w:rFonts w:cs="Calibri"/>
          <w:noProof/>
        </w:rPr>
        <w:t>(Georgiou &amp; Arenas, 2023)</w:t>
      </w:r>
      <w:r w:rsidRPr="00AC1B06">
        <w:rPr>
          <w:rFonts w:cs="Calibri"/>
        </w:rPr>
        <w:fldChar w:fldCharType="end"/>
      </w:r>
      <w:r w:rsidRPr="00AC1B06">
        <w:rPr>
          <w:rFonts w:cs="Calibri"/>
        </w:rPr>
        <w:t xml:space="preserve">, with levels of trust and reciprocity changing during different times of the events, such as the allocation of funds in the LR community group and the resulting community rift. In the recovery phase of the flooding, the LR group were actively developing their community resilience, whereas the HR group were still in their disaster and did not have the capacity to develop their resilience. This suggested that the recovery phase of a disaster is a crucial time to develop responsive community resilience </w:t>
      </w:r>
      <w:r w:rsidRPr="00AC1B06">
        <w:rPr>
          <w:rFonts w:cs="Calibri"/>
        </w:rPr>
        <w:fldChar w:fldCharType="begin" w:fldLock="1"/>
      </w:r>
      <w:r w:rsidRPr="00AC1B06">
        <w:rPr>
          <w:rFonts w:cs="Calibri"/>
        </w:rPr>
        <w:instrText>ADDIN CSL_CITATION {"citationItems":[{"id":"ITEM-1","itemData":{"DOI":"10.1080/23789689.2020.1722546","ISSN":"23789697","abstract":"Floods can be devastating to communities and result in fatalities and injuries, negatively impacting the economy, and quality of life. This paper presents a review of community resilience research with a focus on flood hazard including recent advances in flood risk quantification methods and trends to integrate socio-economic factors. The focus of this review was placed on flood risk components including hazard, exposure, and vulnerability to move the current research from deterministic to probabilistic approaches in order to propagate uncertainties through flood modeling, damage, loss, and recovery. Both short-term and long-term impacts of different flood resilience measures are included. The largest gap identified in flood risk research was the need for a standardized quantitative assessment tool or framework that could measure the impact of approaches to improve resilience at the community level. That tool should include the interactions between the different community systems (physical infrastructure, economic systems, and social systems).","author":[{"dropping-particle":"","family":"Nofal","given":"Omar M.","non-dropping-particle":"","parse-names":false,"suffix":""},{"dropping-particle":"","family":"Lindt","given":"John W.","non-dropping-particle":"van de","parse-names":false,"suffix":""}],"container-title":"Sustainable and Resilient Infrastructure","id":"ITEM-1","issue":"3","issued":{"date-parts":[["2022"]]},"page":"171-187","title":"Understanding flood risk in the context of community resilience modeling for the built environment: research needs and trends","type":"article-journal","volume":"7"},"uris":["http://www.mendeley.com/documents/?uuid=6738e6e3-5c34-45fa-8d91-c43de1d0a89c"]}],"mendeley":{"formattedCitation":"(Nofal &amp; van de Lindt, 2022)","plainTextFormattedCitation":"(Nofal &amp; van de Lindt, 2022)","previouslyFormattedCitation":"(Nofal &amp; van de Lindt, 2022)"},"properties":{"noteIndex":0},"schema":"https://github.com/citation-style-language/schema/raw/master/csl-citation.json"}</w:instrText>
      </w:r>
      <w:r w:rsidRPr="00AC1B06">
        <w:rPr>
          <w:rFonts w:cs="Calibri"/>
        </w:rPr>
        <w:fldChar w:fldCharType="separate"/>
      </w:r>
      <w:r w:rsidRPr="00AC1B06">
        <w:rPr>
          <w:rFonts w:cs="Calibri"/>
          <w:noProof/>
        </w:rPr>
        <w:t>(Nofal &amp; van de Lindt, 2022)</w:t>
      </w:r>
      <w:r w:rsidRPr="00AC1B06">
        <w:rPr>
          <w:rFonts w:cs="Calibri"/>
        </w:rPr>
        <w:fldChar w:fldCharType="end"/>
      </w:r>
      <w:r w:rsidRPr="00AC1B06">
        <w:rPr>
          <w:rFonts w:cs="Calibri"/>
        </w:rPr>
        <w:t xml:space="preserve">. This was noted in the literature review, with the incorporation of new learning modes and an institutional review within the </w:t>
      </w:r>
      <w:r w:rsidR="0038275C">
        <w:rPr>
          <w:rFonts w:cs="Calibri"/>
        </w:rPr>
        <w:t>D</w:t>
      </w:r>
      <w:r w:rsidR="00921B36" w:rsidRPr="00AC1B06">
        <w:rPr>
          <w:rFonts w:cs="Calibri"/>
        </w:rPr>
        <w:t xml:space="preserve">ouble </w:t>
      </w:r>
      <w:r w:rsidR="0038275C">
        <w:rPr>
          <w:rFonts w:cs="Calibri"/>
        </w:rPr>
        <w:t>L</w:t>
      </w:r>
      <w:r w:rsidR="00921B36" w:rsidRPr="00AC1B06">
        <w:rPr>
          <w:rFonts w:cs="Calibri"/>
        </w:rPr>
        <w:t xml:space="preserve">oop </w:t>
      </w:r>
      <w:r w:rsidR="0038275C">
        <w:rPr>
          <w:rFonts w:cs="Calibri"/>
        </w:rPr>
        <w:t xml:space="preserve">Disaster Management Cycle </w:t>
      </w:r>
      <w:r w:rsidRPr="00AC1B06">
        <w:rPr>
          <w:rFonts w:cs="Calibri"/>
        </w:rPr>
        <w:fldChar w:fldCharType="begin" w:fldLock="1"/>
      </w:r>
      <w:r w:rsidRPr="00AC1B06">
        <w:rPr>
          <w:rFonts w:cs="Calibri"/>
        </w:rPr>
        <w:instrText>ADDIN CSL_CITATION {"citationItems":[{"id":"ITEM-1","itemData":{"DOI":"10.1108/09653561011070402","ISSN":"09653562","abstract":"Purpose: Coping with and adjusting to disruptive challenges has always been a characteristic of human development. Formalisation of this has led to the emergence of a number approaches addressing disruptive challenges. Often formalised practice has a narrow focus. Increasingly complex challenges require a refocus of formalised approaches. Drawing from these approaches, the purpose of this paper is to posit that a greater focus on preparedness through pre-disaster planning is needed for a more holistic approach to disaster management. Design/methodology/approach: The paper reviews the evolution of disaster management thinking and practice and proposes that changes are needed to the dominant disaster management model. These changes are drawn from a number of alternative perspectives. Based on the uncertainties surrounding complex or \"wicked\" problems, for example, climate change and variability, this paper develops a more holistic approach. Findings: Responding to \"wicked problems\" requires a greater focus on preparedness. In terms of disaster risk reduction a greater emphasis on pre-disaster planning is needed driven by social learning processes. Originality/value: Faced with an increasingly uncertain and complex future, current approaches to conceptualising disaster management are inadequate. This paper develops an approach that is likely to be more effective. © Emerald Group Publishing Limited.","author":[{"dropping-particle":"","family":"O'Brien","given":"Geoff","non-dropping-particle":"","parse-names":false,"suffix":""},{"dropping-particle":"","family":"O'Keefe","given":"Phil","non-dropping-particle":"","parse-names":false,"suffix":""},{"dropping-particle":"","family":"Gadema","given":"Zaina","non-dropping-particle":"","parse-names":false,"suffix":""},{"dropping-particle":"","family":"Swords","given":"Jon","non-dropping-particle":"","parse-names":false,"suffix":""}],"container-title":"Disaster Prevention and Management: An International Journal","id":"ITEM-1","issue":"4","issued":{"date-parts":[["2010"]]},"page":"498-508","title":"Approaching disaster management through social learning","type":"article-journal","volume":"19"},"uris":["http://www.mendeley.com/documents/?uuid=6407bc17-f459-46a1-848e-5a8a92f50e3f"]}],"mendeley":{"formattedCitation":"(O’Brien et al., 2010)","plainTextFormattedCitation":"(O’Brien et al., 2010)","previouslyFormattedCitation":"(O’Brien et al., 2010)"},"properties":{"noteIndex":0},"schema":"https://github.com/citation-style-language/schema/raw/master/csl-citation.json"}</w:instrText>
      </w:r>
      <w:r w:rsidRPr="00AC1B06">
        <w:rPr>
          <w:rFonts w:cs="Calibri"/>
        </w:rPr>
        <w:fldChar w:fldCharType="separate"/>
      </w:r>
      <w:r w:rsidRPr="00AC1B06">
        <w:rPr>
          <w:rFonts w:cs="Calibri"/>
          <w:noProof/>
        </w:rPr>
        <w:t>(O’Brien et al., 2010)</w:t>
      </w:r>
      <w:r w:rsidRPr="00AC1B06">
        <w:rPr>
          <w:rFonts w:cs="Calibri"/>
        </w:rPr>
        <w:fldChar w:fldCharType="end"/>
      </w:r>
      <w:r w:rsidRPr="00AC1B06">
        <w:rPr>
          <w:rFonts w:cs="Calibri"/>
        </w:rPr>
        <w:t xml:space="preserve">. The increased focus on building resilience in the recovery phase of a disaster can be linked to PMT, with the community’s threat and coping appraisal at its highest as they have just experienced it. </w:t>
      </w:r>
    </w:p>
    <w:p w14:paraId="5AB654CF" w14:textId="77777777" w:rsidR="00787F73" w:rsidRPr="00AC1B06" w:rsidRDefault="00787F73" w:rsidP="00866155">
      <w:pPr>
        <w:rPr>
          <w:rFonts w:cs="Calibri"/>
        </w:rPr>
      </w:pPr>
    </w:p>
    <w:p w14:paraId="1FE0813D" w14:textId="77777777" w:rsidR="00787F73" w:rsidRPr="00AC1B06" w:rsidRDefault="00742FB7" w:rsidP="00866155">
      <w:pPr>
        <w:rPr>
          <w:rFonts w:cs="Calibri"/>
        </w:rPr>
      </w:pPr>
      <w:r w:rsidRPr="00AC1B06">
        <w:rPr>
          <w:rFonts w:cs="Calibri"/>
        </w:rPr>
        <w:t xml:space="preserve">Chapter 6 also highlighted the different community and organisation experiences, with the LR community being critical of agencies but developing linking social capital </w:t>
      </w:r>
      <w:r w:rsidRPr="00AC1B06">
        <w:rPr>
          <w:rFonts w:cs="Calibri"/>
        </w:rPr>
        <w:fldChar w:fldCharType="begin" w:fldLock="1"/>
      </w:r>
      <w:r w:rsidRPr="00AC1B06">
        <w:rPr>
          <w:rFonts w:cs="Calibri"/>
        </w:rPr>
        <w:instrText>ADDIN CSL_CITATION {"citationItems":[{"id":"ITEM-1","itemData":{"author":[{"dropping-particle":"","family":"Sanyal","given":"Saswata","non-dropping-particle":"","parse-names":false,"suffix":""},{"dropping-particle":"","family":"Routray","given":"Jayant K.","non-dropping-particle":"","parse-names":false,"suffix":""}],"container-title":"International Journal of Disaster Risk Reduction","id":"ITEM-1","issued":{"date-parts":[["2016"]]},"page":"101-111","title":"Social capital for disaster risk reduction and management with empirical evidences from Sundarbans of India","type":"article-journal","volume":"19"},"uris":["http://www.mendeley.com/documents/?uuid=d8bcf27c-1efc-4c15-8204-cd8b37719dd2"]},{"id":"ITEM-2","itemData":{"DOI":"10.1007/s13280-021-01678-9","ISBN":"1328002101","ISSN":"16547209","PMID":"35015248","abstract":"Social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-2","issue":"6","issued":{"date-parts":[["2022"]]},"page":"1371-1387","title":"Building community resilience in a context of climate change: The role of social capital","type":"article-journal","volume":"51"},"uris":["http://www.mendeley.com/documents/?uuid=811839c2-2eda-4cbc-80b5-6bfc7c4a8392"]}],"mendeley":{"formattedCitation":"(Carmen et al., 2022; Sanyal &amp; Routray, 2016)","plainTextFormattedCitation":"(Carmen et al., 2022; Sanyal &amp; Routray, 2016)","previouslyFormattedCitation":"(Carmen et al., 2022; Sanyal &amp; Routray, 2016)"},"properties":{"noteIndex":0},"schema":"https://github.com/citation-style-language/schema/raw/master/csl-citation.json"}</w:instrText>
      </w:r>
      <w:r w:rsidRPr="00AC1B06">
        <w:rPr>
          <w:rFonts w:cs="Calibri"/>
        </w:rPr>
        <w:fldChar w:fldCharType="separate"/>
      </w:r>
      <w:r w:rsidRPr="00AC1B06">
        <w:rPr>
          <w:rFonts w:cs="Calibri"/>
          <w:noProof/>
        </w:rPr>
        <w:t xml:space="preserve">(Carmen et al., </w:t>
      </w:r>
      <w:r w:rsidRPr="00AC1B06">
        <w:rPr>
          <w:rFonts w:cs="Calibri"/>
          <w:noProof/>
        </w:rPr>
        <w:lastRenderedPageBreak/>
        <w:t>2022; Sanyal &amp; Routray, 2016)</w:t>
      </w:r>
      <w:r w:rsidRPr="00AC1B06">
        <w:rPr>
          <w:rFonts w:cs="Calibri"/>
        </w:rPr>
        <w:fldChar w:fldCharType="end"/>
      </w:r>
      <w:r w:rsidRPr="00AC1B06">
        <w:rPr>
          <w:rFonts w:cs="Calibri"/>
        </w:rPr>
        <w:t>, and the HR community group actively avoiding interaction with agencies. This highlighted the importance of developing relationships with communities prior to an event and building the linking social capital to develop trust with the community.</w:t>
      </w:r>
    </w:p>
    <w:p w14:paraId="02CAB431" w14:textId="77777777" w:rsidR="00787F73" w:rsidRPr="00AC1B06" w:rsidRDefault="00787F73" w:rsidP="00866155">
      <w:pPr>
        <w:rPr>
          <w:rFonts w:cs="Calibri"/>
        </w:rPr>
      </w:pPr>
    </w:p>
    <w:p w14:paraId="356F63AA" w14:textId="2610436F" w:rsidR="00787F73" w:rsidRPr="00AC1B06" w:rsidRDefault="00742FB7" w:rsidP="00866155">
      <w:pPr>
        <w:rPr>
          <w:rFonts w:cs="Calibri"/>
        </w:rPr>
      </w:pPr>
      <w:r w:rsidRPr="00AC1B06">
        <w:rPr>
          <w:rFonts w:cs="Calibri"/>
        </w:rPr>
        <w:t xml:space="preserve">The final element examined in the community data was the role of social media and how the community used the platforms. </w:t>
      </w:r>
      <w:r w:rsidR="00C84401">
        <w:rPr>
          <w:rFonts w:cs="Calibri"/>
        </w:rPr>
        <w:t>While</w:t>
      </w:r>
      <w:r w:rsidRPr="00AC1B06">
        <w:rPr>
          <w:rFonts w:cs="Calibri"/>
        </w:rPr>
        <w:t xml:space="preserve"> the LR group utilised social media to facilitate the building and development of their community network, the HR group were affected by the digital divide, with community members struggling to afford or access the technology and services required to engage online. Thus, creating a challenge for SYFR to engage with the most vulnerable members of the South Yorkshire community via social media.</w:t>
      </w:r>
    </w:p>
    <w:p w14:paraId="0D4F3C84" w14:textId="77777777" w:rsidR="00787F73" w:rsidRDefault="00787F73" w:rsidP="00866155">
      <w:pPr>
        <w:rPr>
          <w:rFonts w:cs="Calibri"/>
        </w:rPr>
      </w:pPr>
    </w:p>
    <w:p w14:paraId="33D15092" w14:textId="77777777" w:rsidR="00787F73" w:rsidRDefault="00742FB7" w:rsidP="00866155">
      <w:pPr>
        <w:pStyle w:val="Heading2"/>
      </w:pPr>
      <w:bookmarkStart w:id="1119" w:name="_Toc153488337"/>
      <w:bookmarkStart w:id="1120" w:name="_Toc156227663"/>
      <w:bookmarkStart w:id="1121" w:name="_Toc159424120"/>
      <w:bookmarkStart w:id="1122" w:name="_Toc193367268"/>
      <w:r>
        <w:t>7.3: Contributions</w:t>
      </w:r>
      <w:bookmarkEnd w:id="1119"/>
      <w:bookmarkEnd w:id="1120"/>
      <w:bookmarkEnd w:id="1121"/>
      <w:bookmarkEnd w:id="1122"/>
    </w:p>
    <w:p w14:paraId="000CC8DC" w14:textId="7EF23754" w:rsidR="00787F73" w:rsidRDefault="00742FB7" w:rsidP="00866155">
      <w:r>
        <w:rPr>
          <w:rFonts w:cs="Calibri"/>
        </w:rPr>
        <w:t xml:space="preserve">This project contributes to the literature in various ways, including methodologically, empirically, and theoretically. Methodologically, this thesis contributes to the transdisciplinary literature. There is a growing acknowledgement that to work towards solutions for large societal problems there needs to be co-production and collaboration between various sectors, including academic and practitioner </w:t>
      </w:r>
      <w:r>
        <w:fldChar w:fldCharType="begin" w:fldLock="1"/>
      </w:r>
      <w:r w:rsidR="00974B75">
        <w:rPr>
          <w:rFonts w:cs="Calibri"/>
        </w:rPr>
        <w:instrText>ADDIN CSL_CITATION {"citationItems":[{"id":"ITEM-1","itemData":{"author":[{"dropping-particle":"","family":"Cunliffe","given":"Ann L.","non-dropping-particle":"","parse-names":false,"suffix":""},{"dropping-particle":"","family":"Pavlovich","given":"Kathryn","non-dropping-particle":"","parse-names":false,"suffix":""}],"container-title":"Academy of Management Perspectives","id":"ITEM-1","issue":"3","issued":{"date-parts":[["2022"]]},"page":"879-895","title":"Making Our Work Matter: From Spectator To and Management Studies","type":"article-journal","volume":"36"},"uris":["http://www.mendeley.com/documents/?uuid=76313b30-475b-48ee-a88e-69614d719385"]},{"id":"ITEM-2","itemData":{"DOI":"10.5465/amp.2020.0159","ISSN":"15589080","abstract":"There is growing interest among management scholars, policy-makers, and practitioners in understanding and addressing deep-seated societal problems, often termed “wicked problems,” “grand challenges,” or “messes.” An expansive body of research and practice-based literature has appeared, with little evidence to date of synthesis across research streams, tools, and practices. We also note a bifurcation between management scholarship and practice in this area that hinders cumulative learning and cross-fertilization to inform practice and policy questions. In this paper, we introduce the RAFFT framework, composed of five interrelated themes that underpin messiness (rules, agency, feedback, frames and tensions) and are grounded in knowledge triangulated across thought worlds from research and practice. Supported by illustrative examples from research and practice, we present this heuristic framework as both a diagnostic tool and an intervention repertoire. We hope that this framework can serve as a starting point for further development by researchers and practitioners working more closely together to build cumulative knowledge.","author":[{"dropping-particle":"","family":"Klag","given":"Malvina","non-dropping-particle":"","parse-names":false,"suffix":""},{"dropping-particle":"","family":"Langley","given":"Ann","non-dropping-particle":"","parse-names":false,"suffix":""}],"container-title":"Academy of Management Perspectives","id":"ITEM-2","issue":"1","issued":{"date-parts":[["2023"]]},"page":"37-54","title":"When Everything Interacts With Everything Else: Intervening in Messes","type":"article-journal","volume":"37"},"uris":["http://www.mendeley.com/documents/?uuid=fd7248dd-6f65-4f22-8100-85710d4e6dfc"]}],"mendeley":{"formattedCitation":"(Klag &amp; Langley, 2023; Cunliffe &amp; Pavlovich, 2022)","plainTextFormattedCitation":"(Klag &amp; Langley, 2023; Cunliffe &amp; Pavlovich, 2022)","previouslyFormattedCitation":"(Klag &amp; Langley, 2023; Cunliffe &amp; Pavlovich, 2022)"},"properties":{"noteIndex":0},"schema":"https://github.com/citation-style-language/schema/raw/master/csl-citation.json"}</w:instrText>
      </w:r>
      <w:r>
        <w:rPr>
          <w:rFonts w:cs="Calibri"/>
        </w:rPr>
        <w:fldChar w:fldCharType="separate"/>
      </w:r>
      <w:r>
        <w:rPr>
          <w:rFonts w:cs="Calibri"/>
          <w:noProof/>
        </w:rPr>
        <w:t>(Klag &amp; Langley, 2023; Cunliffe &amp; Pavlovich, 2022)</w:t>
      </w:r>
      <w:r>
        <w:rPr>
          <w:rFonts w:cs="Calibri"/>
        </w:rPr>
        <w:fldChar w:fldCharType="end"/>
      </w:r>
      <w:r>
        <w:rPr>
          <w:rFonts w:cs="Calibri"/>
        </w:rPr>
        <w:t xml:space="preserve">. This project was created and designed in partnership with SYFR, enabling a co-production of knowledge with an English FRS which has not been seen in the literature before. This </w:t>
      </w:r>
      <w:r w:rsidR="00E22AEF">
        <w:rPr>
          <w:rFonts w:cs="Calibri"/>
        </w:rPr>
        <w:t xml:space="preserve">thesis builds on the methodological literature through the use of </w:t>
      </w:r>
      <w:r>
        <w:rPr>
          <w:rFonts w:cs="Calibri"/>
        </w:rPr>
        <w:t>institutional ethnography</w:t>
      </w:r>
      <w:r w:rsidR="00E22AEF">
        <w:rPr>
          <w:rFonts w:cs="Calibri"/>
        </w:rPr>
        <w:t xml:space="preserve"> </w:t>
      </w:r>
      <w:r>
        <w:rPr>
          <w:rFonts w:cs="Calibri"/>
        </w:rPr>
        <w:t xml:space="preserve"> being conducted from the standpoint of an FRS </w:t>
      </w:r>
      <w:r w:rsidR="00A1788D">
        <w:rPr>
          <w:rFonts w:cs="Calibri"/>
        </w:rPr>
        <w:t>c</w:t>
      </w:r>
      <w:r>
        <w:rPr>
          <w:rFonts w:cs="Calibri"/>
        </w:rPr>
        <w:t xml:space="preserve">ommunications team and the use of remote methods due to social distancing restrictions during COVID-19. </w:t>
      </w:r>
      <w:r w:rsidR="00E22AEF">
        <w:rPr>
          <w:rFonts w:cs="Calibri"/>
        </w:rPr>
        <w:t xml:space="preserve">This thesis will hopefully encourage </w:t>
      </w:r>
      <w:r>
        <w:rPr>
          <w:rFonts w:cs="Calibri"/>
        </w:rPr>
        <w:t xml:space="preserve">future research projects to develop and utilise this approach with other FRS and blue-light agencies, not only supporting a greater examination of the role of institutions in the daily lives of workers, but also by embedding impact within projects via an enhanced sense of institutional agency within their future communication strategy. </w:t>
      </w:r>
    </w:p>
    <w:p w14:paraId="05824EE8" w14:textId="77777777" w:rsidR="00787F73" w:rsidRDefault="00787F73" w:rsidP="00866155">
      <w:pPr>
        <w:rPr>
          <w:rFonts w:cs="Calibri"/>
        </w:rPr>
      </w:pPr>
    </w:p>
    <w:p w14:paraId="7319C97C" w14:textId="43A81901" w:rsidR="00787F73" w:rsidRDefault="00742FB7" w:rsidP="00866155">
      <w:r>
        <w:rPr>
          <w:rFonts w:cs="Calibri"/>
        </w:rPr>
        <w:t xml:space="preserve">Empirically, the contributions focus on the research being conducted with a FRS. Firstly this project </w:t>
      </w:r>
      <w:r w:rsidR="00224291">
        <w:rPr>
          <w:rFonts w:cs="Calibri"/>
        </w:rPr>
        <w:t xml:space="preserve">added a new empirical example </w:t>
      </w:r>
      <w:r>
        <w:rPr>
          <w:rFonts w:cs="Calibri"/>
        </w:rPr>
        <w:t xml:space="preserve">to the PIC literature, examining how an FRS created </w:t>
      </w:r>
      <w:r>
        <w:rPr>
          <w:rFonts w:cs="Calibri"/>
        </w:rPr>
        <w:lastRenderedPageBreak/>
        <w:t>and assessed their own campaigns</w:t>
      </w:r>
      <w:r w:rsidR="00224291">
        <w:rPr>
          <w:rFonts w:cs="Calibri"/>
        </w:rPr>
        <w:t xml:space="preserve"> and through</w:t>
      </w:r>
      <w:r>
        <w:rPr>
          <w:rFonts w:cs="Calibri"/>
        </w:rPr>
        <w:t xml:space="preserve"> examining whether these assessments were accurate. Examining the use of PICs for community resilience is also a</w:t>
      </w:r>
      <w:r w:rsidR="00224291">
        <w:rPr>
          <w:rFonts w:cs="Calibri"/>
        </w:rPr>
        <w:t>n empirical</w:t>
      </w:r>
      <w:r>
        <w:rPr>
          <w:rFonts w:cs="Calibri"/>
        </w:rPr>
        <w:t xml:space="preserve"> contribution to the community resilience literature. Assessing the use of PICs and SYFR’s wider risk communication strategy provided a contribution to the FRS, social media, community resilience and disaster literatures by examining whether social media can be used to develop resilience, which has wider implications for future policy as discussed in section 7.4. </w:t>
      </w:r>
    </w:p>
    <w:p w14:paraId="3F53922D" w14:textId="77777777" w:rsidR="00787F73" w:rsidRDefault="00787F73" w:rsidP="00866155">
      <w:pPr>
        <w:rPr>
          <w:rFonts w:cs="Calibri"/>
        </w:rPr>
      </w:pPr>
    </w:p>
    <w:p w14:paraId="041BA0FE" w14:textId="3B75A8F0" w:rsidR="00787F73" w:rsidRDefault="00742FB7" w:rsidP="00866155">
      <w:r>
        <w:rPr>
          <w:rFonts w:cs="Calibri"/>
        </w:rPr>
        <w:t>This thesis also contributed to the institutional logics literature by examining the role of institutional logics within a UK FRS, which is the first study of its kind. It examined how societal and field level logics can influence and shape the operations and strategy of a FRS. This institutional plurality has not been examined for a FRS, and as such is a contribution to the empirical literature. Building upon the empirical literature examining FRS is of importance due to the growing NPM and neoliberal pressures on public sector agencies such as the FRS, as understanding these processes can better support active transdisciplinary partnership between academic institutions and practitioner organisations. This has practical implications for organisations such as SYFR as it can s</w:t>
      </w:r>
      <w:r>
        <w:t>upport them to develop strategies and solutions to combat future demands and challenges that they will face, such as the growing threat of disasters due to climate change.</w:t>
      </w:r>
    </w:p>
    <w:p w14:paraId="32FBDF2E" w14:textId="77777777" w:rsidR="00787F73" w:rsidRDefault="00787F73" w:rsidP="00866155">
      <w:pPr>
        <w:rPr>
          <w:rFonts w:cs="Calibri"/>
        </w:rPr>
      </w:pPr>
    </w:p>
    <w:p w14:paraId="03ADB651" w14:textId="22D42517" w:rsidR="00787F73" w:rsidRDefault="00742FB7" w:rsidP="00866155">
      <w:r>
        <w:rPr>
          <w:rFonts w:cs="Calibri"/>
        </w:rPr>
        <w:t xml:space="preserve">The research conducted with the communities also provided contributions to the literature. It assessed the different experiences held by communities in South Yorkshire and the challenges they face in engaging with organisations with a specific focus on developing linking social capital prior to an event and its impact on their sense of resilience. </w:t>
      </w:r>
    </w:p>
    <w:p w14:paraId="3A37E34B" w14:textId="77777777" w:rsidR="00787F73" w:rsidRDefault="00787F73" w:rsidP="00866155">
      <w:pPr>
        <w:rPr>
          <w:rFonts w:cs="Calibri"/>
        </w:rPr>
      </w:pPr>
    </w:p>
    <w:p w14:paraId="0D1791FC" w14:textId="77777777" w:rsidR="00787F73" w:rsidRDefault="00742FB7" w:rsidP="00866155">
      <w:r>
        <w:rPr>
          <w:rFonts w:cs="Calibri"/>
        </w:rPr>
        <w:t xml:space="preserve">This project contributed to the theoretical literature through the combination of institutional theory and communication theory. The blending of these two theories to examine how and why an organisation communicates adds to the literature surrounding institutional messaging. </w:t>
      </w:r>
    </w:p>
    <w:p w14:paraId="5C482CF0" w14:textId="77777777" w:rsidR="00787F73" w:rsidRDefault="00787F73" w:rsidP="00866155">
      <w:pPr>
        <w:rPr>
          <w:rFonts w:cs="Calibri"/>
        </w:rPr>
      </w:pPr>
    </w:p>
    <w:p w14:paraId="57F0DC76" w14:textId="77777777" w:rsidR="00787F73" w:rsidRDefault="00742FB7" w:rsidP="00866155">
      <w:pPr>
        <w:pStyle w:val="Heading2"/>
      </w:pPr>
      <w:bookmarkStart w:id="1123" w:name="_Toc156227662"/>
      <w:bookmarkStart w:id="1124" w:name="_Toc159424119"/>
      <w:bookmarkStart w:id="1125" w:name="_Toc193367269"/>
      <w:bookmarkStart w:id="1126" w:name="_Toc153488336"/>
      <w:r>
        <w:lastRenderedPageBreak/>
        <w:t>7.4: Implications for future policy</w:t>
      </w:r>
      <w:bookmarkEnd w:id="1123"/>
      <w:bookmarkEnd w:id="1124"/>
      <w:bookmarkEnd w:id="1125"/>
      <w:r>
        <w:t xml:space="preserve"> </w:t>
      </w:r>
      <w:bookmarkEnd w:id="1126"/>
    </w:p>
    <w:p w14:paraId="4E467C93" w14:textId="77777777" w:rsidR="00787F73" w:rsidRDefault="00742FB7" w:rsidP="00866155">
      <w:r>
        <w:rPr>
          <w:rFonts w:cs="Calibri"/>
        </w:rPr>
        <w:t>The findings from this thesis suggest that for social media to be fully utilised for CDR, there needs to be an understanding of the audience at risk, the risks they are facing, their relationships to organisations, and their use of social media. </w:t>
      </w:r>
    </w:p>
    <w:p w14:paraId="0125E7DA" w14:textId="77777777" w:rsidR="00787F73" w:rsidRDefault="00787F73" w:rsidP="00866155">
      <w:pPr>
        <w:rPr>
          <w:rFonts w:cs="Calibri"/>
        </w:rPr>
      </w:pPr>
    </w:p>
    <w:p w14:paraId="263C3E82" w14:textId="77777777" w:rsidR="00787F73" w:rsidRDefault="00742FB7" w:rsidP="00866155">
      <w:r>
        <w:rPr>
          <w:rFonts w:cs="Calibri"/>
        </w:rPr>
        <w:t xml:space="preserve">With these findings and conclusions in mind, what can agencies such as SYFR do to further support communities to develop CDR, both on social media and in offline environments? First, there needs to be an acknowledgement that community resilience is a vast concept, and one organisation alone cannot create community resilience, but they can work towards elements of resilience. However, for this to happen there needs to be a shared understanding of resilience, either bouncing forward or back or viewing resilience as a process or an outcome </w:t>
      </w:r>
      <w:r>
        <w:fldChar w:fldCharType="begin" w:fldLock="1"/>
      </w:r>
      <w:r w:rsidR="00974B75">
        <w:rPr>
          <w:rFonts w:cs="Calibri"/>
        </w:rPr>
        <w:instrText>ADDIN CSL_CITATION {"citationItems":[{"id":"ITEM-1","itemData":{"DOI":"10.1007/s10464-007-9156-6","ISBN":"0091-0562 (Print)","ISSN":"00910562","PMID":"18157631","abstract":"Communities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unknowns.","author":[{"dropping-particle":"","family":"Norris","given":"Fran H.","non-dropping-particle":"","parse-names":false,"suffix":""},{"dropping-particle":"","family":"Stevens","given":"Susan P.","non-dropping-particle":"","parse-names":false,"suffix":""},{"dropping-particle":"","family":"Pfefferbaum","given":"Betty","non-dropping-particle":"","parse-names":false,"suffix":""},{"dropping-particle":"","family":"Wyche","given":"Karen F.","non-dropping-particle":"","parse-names":false,"suffix":""},{"dropping-particle":"","family":"Pfefferbaum","given":"Rose L.","non-dropping-particle":"","parse-names":false,"suffix":""}],"container-title":"American Journal of Community Psychology","id":"ITEM-1","issued":{"date-parts":[["2008"]]},"page":"127-150","title":"Community resilience as a metaphor, theory, set of capacities, and strategy for disaster readiness","type":"article-journal","volume":"41"},"uris":["http://www.mendeley.com/documents/?uuid=ce971e9c-40de-4c41-9d71-39c5bbe61334"]},{"id":"ITEM-2","itemData":{"DOI":"10.1007/s10464-011-9427-0","ISBN":"1573-2770 (Electronic)\\r0091-0562 (Linking)","ISSN":"00910562","PMID":"21287261","abstract":"In this paper we draw on the findings of a critical, multi-sited ethnographic study of two rural communities affected by a wildfire in British Columbia, Canada to examine the salience of place, identity, and social capital to the disaster recovery process and community disaster resilience. We argue that a reconfiguration of disaster recovery is required that more meaningfully considers the role of place in the disaster recovery process and opens up the space for a more reflective and intentional consideration of the disorientation and disruption associated with disasters and our organized response to that disorientation. We describe a social-psychological process, reorientation, in which affected individuals and communities navigate the psychological, social and emotional responses to the symbolic and material changes to social and geographic place that result from the fire's destruction. The reorientation process emphasizes the critical importance of place not only as an orienting framework in recovery but also as the ground upon which social capital and community disaster resilience are built. This approach to understanding and responding to the disorientation of disasters has implications for community psychologists and other service providers engaged in supporting disaster survivors. This includes the need to consider the complex dynamic of contextual and cultural factors that influence the disaster recovery process.","author":[{"dropping-particle":"","family":"Cox","given":"Robin S.","non-dropping-particle":"","parse-names":false,"suffix":""},{"dropping-particle":"","family":"Perry","given":"Karen Marie Elah","non-dropping-particle":"","parse-names":false,"suffix":""}],"container-title":"American Journal of Community Psychology","id":"ITEM-2","issued":{"date-parts":[["2011"]]},"page":"395-411","title":"Like a Fish Out of Water: Reconsidering Disaster Recovery and the Role of Place and Social Capital in Community Disaster Resilience","type":"article-journal","volume":"48"},"uris":["http://www.mendeley.com/documents/?uuid=7cc0bc64-5b6c-47d3-b8e2-087a2c2fd9f6"]},{"id":"ITEM-3","itemData":{"DOI":"10.1146/annurev.energy.32.051807.090348","ISBN":"1708-3087","ISSN":"0954-5794","PMID":"7615","abstract":"Despite the recent popularity and frequent use of the disaster resilience concept in the academic, re- search, and policy programs, there is a limited theoretical understanding of this concept. For instance, it is not clear how this concept should be operationalized and what its determinant factors are or how they can be measured. Al- though the recent literatures on hazard and disaster frequently refer to resilience concept as a guiding principle behind an effective hazard risk management, making it operational for policies raises critical challenges in terms of its as- sessment. This paper is an attempt to develop a conceptual and methodological framework for the analysis, measure- ment, and mapping of community disaster resilience. The paper specifically intends to archive three objectives. Firstly, it examines the general definitional issues of the concept of resilience with a focus on community disaster re- silience. Secondly, it reviews the frameworks that are currently used to measure community resilience. Thirdly, it evaluates the existing methods that are used to develop resilience indices, and based on this review, a methodology on how to measure community disaster resilience is proposed. Finally, it summarizes the limitations and recommen- dations for further improvement of the methodology.","author":[{"dropping-particle":"","family":"Mayunga","given":"Joseph S","non-dropping-particle":"","parse-names":false,"suffix":""}],"container-title":"Summer academy for social vulnerability and resilience building","id":"ITEM-3","issue":"1","issued":{"date-parts":[["2007"]]},"number-of-pages":"1-16","publisher-place":"Munich","title":"Understanding and Applying the Concept of Community Disaster Resilience : A capital-based approach","type":"report"},"uris":["http://www.mendeley.com/documents/?uuid=8d9105d9-093b-4ab1-98f2-8230311a4cbf"]},{"id":"ITEM-4","itemData":{"DOI":"10.1016/j.ijdrr.2021.102664","ISBN":"2548607003","ISSN":"22124209","abstract":"Against the backdrop of the COVID-19 pandemic, there is widespread agreement in the field of public health that community resilience should be maintained and strengthened. However, there are significant differences in the pandemic prevention effects between different communities in different areas. To explore the main influencing factors on community resilience and the magnitude of their impact during the pandemic, this study collected 650 valid questionnaires from Shanghai, Wuhan and Chengdu by using the Communities Advancing Resilience Toolkit Assessment Survey (CART). Data collection was conducted from February to March 2020 when this three cities activated a Level One public health emergency response. The data were analyzed by using multiple linear regression analysis and structural equation model. Results indicate that: (1) Domains such as Information and Communication, and Connection and Caring scored higher, while Disaster Management, Resources and Transformative Potential scored lower; (2) A community got higher resilience scores if it took more effective measures to prevent and control the pandemic(Shanghai &gt; Chengdu &gt; Wuhan), people within the community participated more actively in disaster risk reduction activities and activities of volunteer responder groups, and people were more closely connected with the community; (3) Variables such as the participation in affiliated volunteer responder groups, and community disaster risk reduction activities exerted the biggest impact on community resilience. Therefore, it is urgent to establish a community-based, resilience-centered framework of community resilience in the post-pandemic era. This framework will strengthen a community's capacity to cope with disasters and risks.","author":[{"dropping-particle":"","family":"Fenxia","given":"Zhang","non-dropping-particle":"","parse-names":false,"suffix":""}],"container-title":"International Journal of Disaster Risk Reduction","id":"ITEM-4","issued":{"date-parts":[["2022"]]},"page":"1 - 17","title":"The community resilience measurement throughout the COVID-19 pandemic and beyond -an empirical study based on data from Shanghai, Wuhan and Chengdu","type":"article-journal","volume":"67"},"uris":["http://www.mendeley.com/documents/?uuid=75366718-c1b6-4e53-8728-6262ea99eff8"]}],"mendeley":{"formattedCitation":"(Fenxia, 2022; Cox &amp; Perry, 2011; Norris et al., 2008; Mayunga, 2007)","plainTextFormattedCitation":"(Fenxia, 2022; Cox &amp; Perry, 2011; Norris et al., 2008; Mayunga, 2007)","previouslyFormattedCitation":"(Fenxia, 2022; Cox &amp; Perry, 2011; Norris et al., 2008; Mayunga, 2007)"},"properties":{"noteIndex":0},"schema":"https://github.com/citation-style-language/schema/raw/master/csl-citation.json"}</w:instrText>
      </w:r>
      <w:r>
        <w:rPr>
          <w:rFonts w:cs="Calibri"/>
        </w:rPr>
        <w:fldChar w:fldCharType="separate"/>
      </w:r>
      <w:r>
        <w:rPr>
          <w:rFonts w:cs="Calibri"/>
          <w:bCs/>
          <w:noProof/>
        </w:rPr>
        <w:t>(Fenxia, 2022; Cox &amp; Perry, 2011; Norris et al., 2008; Mayunga, 2007)</w:t>
      </w:r>
      <w:r>
        <w:rPr>
          <w:rFonts w:cs="Calibri"/>
        </w:rPr>
        <w:fldChar w:fldCharType="end"/>
      </w:r>
      <w:r>
        <w:rPr>
          <w:rFonts w:cs="Calibri"/>
        </w:rPr>
        <w:t xml:space="preserve">. Collaboration is stipulated in the CCA (2004) which created a statutory obligation for organisations to collaborate and support communities </w:t>
      </w:r>
      <w:r>
        <w:fldChar w:fldCharType="begin" w:fldLock="1"/>
      </w:r>
      <w:r w:rsidR="00974B75">
        <w:rPr>
          <w:rFonts w:cs="Calibri"/>
        </w:rPr>
        <w:instrText>ADDIN CSL_CITATION {"citationItems":[{"id":"ITEM-1","itemData":{"DOI":"10.1108/20470891211239335","ISBN":"0951355061065","ISSN":"2047-0894","abstract":"Purpose – The purpose of this paper is to evaluate the practical implementation of the Integrated Risk Management Planning process through its application within the Fire Cover Review project in Nottinghamshire, in order to identify good practice and recommendations for improving the process and its implementation. Design/methodology/approach – The paper takes the form of an in-depth case study over an 18 month period using participant observation, documents analysis, interviews with key stakeholders and the response to a public consultation exercise. Findings – Recent public expenditure restrictions manifestly influenced and contextualised the attitude and response from the public and all key stakeholders to the project. It was the first consultation undertaken by the Service which was also significantly affected by the internet and social media. The open and transparent approach adopted reduced misinformation and promoted ownership and accountability of the project, from both the Service and the Authority. Originality/value – The paper is the first comprehensive review of the reconfiguration of services undertaken during the current financial crisis and in the context of the new coalition government’s public sector policy.","author":[{"dropping-particle":"","family":"Murphy","given":"Peter","non-dropping-particle":"","parse-names":false,"suffix":""},{"dropping-particle":"","family":"Greenhalgh","given":"Kirsten","non-dropping-particle":"","parse-names":false,"suffix":""},{"dropping-particle":"","family":"Parkin","given":"Craig","non-dropping-particle":"","parse-names":false,"suffix":""}],"container-title":"International Journal of Emergency Services","id":"ITEM-1","issue":"1","issued":{"date-parts":[["2012"]]},"page":"86-94","title":"Fire and rescue service reconfiguration: a case study in Nottinghamshire","type":"article-journal","volume":"1"},"uris":["http://www.mendeley.com/documents/?uuid=044b1c67-b920-4130-902c-df6a8a34dc9a"]},{"id":"ITEM-2","itemData":{"DOI":"10.1007/978-3-319-62155-5_2","ISBN":"9783319621555","author":[{"dropping-particle":"","family":"Murphy","given":"Peter","non-dropping-particle":"","parse-names":false,"suffix":""},{"dropping-particle":"","family":"Greenhalgh","given":"Kirsten","non-dropping-particle":"","parse-names":false,"suffix":""}],"chapter-number":"2","container-title":"Fire and Rescue Services: Leadership and Management Perspectives","editor":[{"dropping-particle":"","family":"Murphy","given":"Peter","non-dropping-particle":"","parse-names":false,"suffix":""},{"dropping-particle":"","family":"Greenhalgh","given":"Kirsten","non-dropping-particle":"","parse-names":false,"suffix":""}],"id":"ITEM-2","issued":{"date-parts":[["2018"]]},"page":"9-26","publisher":"Springer","publisher-place":"Nottingham","title":"The Gathering Storm: Modernisation, local alignment and collaboration. Fire and rescue services under the early new labour administrations from 1997 to 2005","type":"chapter"},"uris":["http://www.mendeley.com/documents/?uuid=80233f35-d817-4ac8-8726-9234d824212b"]}],"mendeley":{"formattedCitation":"(Murphy &amp; Greenhalgh, 2018; Murphy, Greenhalgh, &amp; Parkin, 2012)","plainTextFormattedCitation":"(Murphy &amp; Greenhalgh, 2018; Murphy, Greenhalgh, &amp; Parkin, 2012)","previouslyFormattedCitation":"(Murphy &amp; Greenhalgh, 2018; Murphy, Greenhalgh, &amp; Parkin, 2012)"},"properties":{"noteIndex":0},"schema":"https://github.com/citation-style-language/schema/raw/master/csl-citation.json"}</w:instrText>
      </w:r>
      <w:r>
        <w:rPr>
          <w:rFonts w:cs="Calibri"/>
        </w:rPr>
        <w:fldChar w:fldCharType="separate"/>
      </w:r>
      <w:r>
        <w:rPr>
          <w:rFonts w:cs="Calibri"/>
          <w:noProof/>
        </w:rPr>
        <w:t>(Murphy &amp; Greenhalgh, 2018; Murphy, Greenhalgh, &amp; Parkin, 2012)</w:t>
      </w:r>
      <w:r>
        <w:rPr>
          <w:rFonts w:cs="Calibri"/>
        </w:rPr>
        <w:fldChar w:fldCharType="end"/>
      </w:r>
      <w:r>
        <w:rPr>
          <w:rFonts w:cs="Calibri"/>
        </w:rPr>
        <w:t xml:space="preserve">, however, it appears that the LRF’s primary focus is on proactive resilience </w:t>
      </w:r>
      <w:r>
        <w:fldChar w:fldCharType="begin" w:fldLock="1"/>
      </w:r>
      <w:r>
        <w:rPr>
          <w:rFonts w:cs="Calibri"/>
        </w:rPr>
        <w:instrText>ADDIN CSL_CITATION {"citationItems":[{"id":"ITEM-1","itemData":{"DOI":"10.1007/s13280-021-01678-9","ISBN":"1328002101","ISSN":"16547209","PMID":"35015248","abstract":"Social capital is considered important for resilience across social levels, including communities, yet insights are scattered across disciplines. This meta-synthesis of 187 studies examines conceptual and empirical understandings of how social capital relates to resilience, identifying implications for community resilience and climate change practice. Different conceptualisations are highlighted, yet also limited focus on underlying dimensions of social capital and proactive types of resilience for engaging with the complex climate change challenge. Empirical insights show that structural and socio-cultural aspects of social capital, multiple other factors and formal actors are all important for shaping the role of social capital for guiding resilience outcomes. Thus, finding ways to work with these different elements is important. Greater attention on how and why outcomes emerge, interactions between factors, approaches of formal actors and different socio-cultural dimensions will advance understandings about how to nurture social capital for resilience in the context of climate change.","author":[{"dropping-particle":"","family":"Carmen","given":"Esther","non-dropping-particle":"","parse-names":false,"suffix":""},{"dropping-particle":"","family":"Fazey","given":"Ioan","non-dropping-particle":"","parse-names":false,"suffix":""},{"dropping-particle":"","family":"Ross","given":"Helen","non-dropping-particle":"","parse-names":false,"suffix":""},{"dropping-particle":"","family":"Bedinger","given":"Melissa","non-dropping-particle":"","parse-names":false,"suffix":""},{"dropping-particle":"","family":"Smith","given":"Fiona M.","non-dropping-particle":"","parse-names":false,"suffix":""},{"dropping-particle":"","family":"Prager","given":"Katrin","non-dropping-particle":"","parse-names":false,"suffix":""},{"dropping-particle":"","family":"McClymont","given":"Kerri","non-dropping-particle":"","parse-names":false,"suffix":""},{"dropping-particle":"","family":"Morrison","given":"David","non-dropping-particle":"","parse-names":false,"suffix":""}],"container-title":"Ambio","id":"ITEM-1","issue":"6","issued":{"date-parts":[["2022"]]},"page":"1371-1387","title":"Building community resilience in a context of climate change: The role of social capital","type":"article-journal","volume":"51"},"uris":["http://www.mendeley.com/documents/?uuid=811839c2-2eda-4cbc-80b5-6bfc7c4a8392"]}],"mendeley":{"formattedCitation":"(Carmen et al., 2022)","plainTextFormattedCitation":"(Carmen et al., 2022)","previouslyFormattedCitation":"(Carmen et al., 2022)"},"properties":{"noteIndex":0},"schema":"https://github.com/citation-style-language/schema/raw/master/csl-citation.json"}</w:instrText>
      </w:r>
      <w:r>
        <w:rPr>
          <w:rFonts w:cs="Calibri"/>
        </w:rPr>
        <w:fldChar w:fldCharType="separate"/>
      </w:r>
      <w:r>
        <w:rPr>
          <w:rFonts w:cs="Calibri"/>
          <w:noProof/>
        </w:rPr>
        <w:t>(Carmen et al., 2022)</w:t>
      </w:r>
      <w:r>
        <w:rPr>
          <w:rFonts w:cs="Calibri"/>
        </w:rPr>
        <w:fldChar w:fldCharType="end"/>
      </w:r>
      <w:r>
        <w:rPr>
          <w:rFonts w:cs="Calibri"/>
        </w:rPr>
        <w:t xml:space="preserve"> in terms of organisational response, as they do not have a statutory obligation to promote community resilience </w:t>
      </w:r>
      <w:r>
        <w:fldChar w:fldCharType="begin" w:fldLock="1"/>
      </w:r>
      <w:r>
        <w:rPr>
          <w:rFonts w:cs="Calibri"/>
        </w:rPr>
        <w:instrText>ADDIN CSL_CITATION {"citationItems":[{"id":"ITEM-1","itemData":{"author":[{"dropping-particle":"","family":"Cabinet Office","given":"","non-dropping-particle":"","parse-names":false,"suffix":""}],"container-title":"Civil Contingencies Secretariat","id":"ITEM-1","issue":"July","issued":{"date-parts":[["2013"]]},"publisher-place":"London","title":"The role of Local Resilience Forums: A reference document","type":"report"},"uris":["http://www.mendeley.com/documents/?uuid=4480dcc1-ac96-41b6-bd7b-fe18f0c56a1b"]}],"mendeley":{"formattedCitation":"(Cabinet Office, 2013)","plainTextFormattedCitation":"(Cabinet Office, 2013)","previouslyFormattedCitation":"(Cabinet Office, 2013)"},"properties":{"noteIndex":0},"schema":"https://github.com/citation-style-language/schema/raw/master/csl-citation.json"}</w:instrText>
      </w:r>
      <w:r>
        <w:rPr>
          <w:rFonts w:cs="Calibri"/>
        </w:rPr>
        <w:fldChar w:fldCharType="separate"/>
      </w:r>
      <w:r>
        <w:rPr>
          <w:rFonts w:cs="Calibri"/>
          <w:noProof/>
        </w:rPr>
        <w:t>(Cabinet Office, 2013)</w:t>
      </w:r>
      <w:r>
        <w:rPr>
          <w:rFonts w:cs="Calibri"/>
        </w:rPr>
        <w:fldChar w:fldCharType="end"/>
      </w:r>
      <w:r w:rsidR="004976E0">
        <w:rPr>
          <w:rFonts w:cs="Calibri"/>
        </w:rPr>
        <w:t>.</w:t>
      </w:r>
    </w:p>
    <w:p w14:paraId="7036D06D" w14:textId="77777777" w:rsidR="00787F73" w:rsidRDefault="00787F73" w:rsidP="00866155">
      <w:pPr>
        <w:rPr>
          <w:rFonts w:cs="Calibri"/>
        </w:rPr>
      </w:pPr>
    </w:p>
    <w:p w14:paraId="01E6CAB8" w14:textId="3F9FA225" w:rsidR="00787F73" w:rsidRDefault="00742FB7" w:rsidP="00866155">
      <w:r>
        <w:rPr>
          <w:rFonts w:cs="Calibri"/>
        </w:rPr>
        <w:t>Within the LRF</w:t>
      </w:r>
      <w:r w:rsidR="00A1788D">
        <w:rPr>
          <w:rFonts w:cs="Calibri"/>
        </w:rPr>
        <w:t>,</w:t>
      </w:r>
      <w:r>
        <w:rPr>
          <w:rFonts w:cs="Calibri"/>
        </w:rPr>
        <w:t xml:space="preserve"> there is a division of responsibilities linked to governmental institutional logics, such as the EA’s responsibility to warn and inform of flooding, and the FRS to prevent fires, which suggest</w:t>
      </w:r>
      <w:r w:rsidR="004976E0">
        <w:rPr>
          <w:rFonts w:cs="Calibri"/>
        </w:rPr>
        <w:t>s</w:t>
      </w:r>
      <w:r>
        <w:rPr>
          <w:rFonts w:cs="Calibri"/>
        </w:rPr>
        <w:t xml:space="preserve"> a disaggregation of the disaster management sector due to NPM logics </w:t>
      </w:r>
      <w:r>
        <w:fldChar w:fldCharType="begin" w:fldLock="1"/>
      </w:r>
      <w:r w:rsidR="00974B75">
        <w:rPr>
          <w:rFonts w:cs="Calibri"/>
        </w:rPr>
        <w:instrText>ADDIN CSL_CITATION {"citationItems":[{"id":"ITEM-1","itemData":{"DOI":"http://dx.doi.org/10.1108/MRR-09-2015-0216","ISBN":"0001253111116","ISSN":"0264-0473","PMID":"42012058","abstract":"Abstract Purpose – Using a case study method, the article investigates the impact New Public Management (NPM), through outsourcing has had on the management of government information at the Swedish Transport Agency. In April 2015 the Agency outsourced its IT-operations to IBM company. Some of the IBM sub- contractors had not been cleared by the Swedish Security Service. This exposed the Agency’s information to risk. By outsourcing the IT operations, the General Director of the Agency deviated from the laws governing government information such as the Swedish Security Protection Act, the Personal Data Act and the Publicity and Secrecy Act. Design/methodology/approach – The researcher has applied a case study method as the investigation focuses on a phenomenon in a real-life setting. The case study method entails the use of past studies, which facilitates the exploration and understanding of a complex issue. The phenomenon under investigation is NPM’s impact, through outsourcing, on the management of public information at the Swedish Transportation Agency. Findings – Outsourcing should be foregone by well-formulated contracts that should put into consideration the management of government information and the involvement of all stakeholders such as records managers/archivists, IT personnel, heads of departments, lawyers and business analysts. Outsourcing risks to compromise the two tenets of democracy that is, accountability and transparency which are central to Swedish public administrations’ operations. Research limitations/implications – The study is limited by the fact that it only presents the views of the archivists. This was, however, purposely done because their voice was missing during the discussions that followed after the data breach scandal had become public knowledge. Additionally, archivists are supposed to play a major role in the management of government information at Swedish institutions. Further research that will involve different categories of employees might give a deeper and better understanding of the impact that NPM, through outsourcing, is having on the management of government information and what implications this might have on issues of trust, transparency and accountability. Practical implications – The study demonstrates the need for well-formulated outsourcing contracts that will include information management clauses. It is of crucial importance in a democratic society that access to government information is not compromis…","author":[{"dropping-particle":"","family":"Svärd","given":"Proscovia","non-dropping-particle":"","parse-names":false,"suffix":""}],"container-title":"Records Management Journal","id":"ITEM-1","issue":"1/2","issued":{"date-parts":[["2019"]]},"page":"134-151","title":"The impact of new public management through outsourcing on the management of government information: The case of Sweden","type":"article-journal","volume":"29"},"uris":["http://www.mendeley.com/documents/?uuid=4524732a-155c-4c93-922f-cd3a912b45c2"]},{"id":"ITEM-2","itemData":{"DOI":"10.1016/0361-3682(93)E0001-W","ISSN":"03613682","abstract":"Changes in public sector accounting in a number of OECD countries over the 1980s were central to the rise of the \"New Public Management\" (NPM) and its associated doctrines of public accountability and organizational best practice. This paper discusses the rise of NPM as an alternative to the tradition of public accountability embodied in progressive-era public administration ideas. It argues that, in spite of allegations of internationalization and the adoption of a new global paradigm in public management, there was considerable variation in the extent to which different OECD countries adopted NPM over the 1980s. It further argues that conventional explanations of the rise of NPM (\"Englishness\", party political incumbency, economic performance record and government size) seem hard to sustain even from a relatively brief inspection of such cross-national data as are available, and that an explanation based on initial endowment may give us a different perspective on those changes. © 1995.","author":[{"dropping-particle":"","family":"Hood","given":"Christopher","non-dropping-particle":"","parse-names":false,"suffix":""}],"container-title":"Accounting, Organizations and Society","id":"ITEM-2","issue":"2/3","issued":{"date-parts":[["1995"]]},"page":"93-109","title":"The \"New Public Management\" in the 1980s: Variations on a theme","type":"article-journal","volume":"20"},"uris":["http://www.mendeley.com/documents/?uuid=7c2fc97b-7560-4c74-9a7c-9a0f44e73949"]},{"id":"ITEM-3","itemData":{"DOI":"10.1111/padm.12005","ISSN":"00333298","abstract":"Based on empirical research with two non-profit organizations, this article critiques structural explanations of non-profit service innovation, which portray innovation as a response to institutional contexts and downplay the power and role of human agents. We offer, instead, a conceptualization of non-profit innovation in which human agency - and its interplay with institutional logics - is an integral feature. Specifically, we outline the ways in which non-profit actors draw upon the competing institutional logics available to them to frame and serve their interests. We find that actors' assumptions and beliefs about the organization's role in the institutional field and the practice of normative, discursive work are central tenets of both the maintenance and transformation of institutions. We also find instances of service stability and service innovation ensuing from non-profit actors' agency in infusing organizational practices with interpretations and elaborations of institutional logics. © 2013 John Wiley &amp; Sons Ltd.","author":[{"dropping-particle":"","family":"Coule","given":"Tracey","non-dropping-particle":"","parse-names":false,"suffix":""},{"dropping-particle":"","family":"Patmore","given":"Beth","non-dropping-particle":"","parse-names":false,"suffix":""}],"container-title":"Public Administration","id":"ITEM-3","issue":"4","issued":{"date-parts":[["2013"]]},"page":"980-997","title":"Institutional logics, institutional work, and public service innovation in non-profit organizations","type":"article-journal","volume":"91"},"uris":["http://www.mendeley.com/documents/?uuid=5ee53fde-2479-4fb6-8060-8f41cf289650"]}],"mendeley":{"formattedCitation":"(Svärd, 2019; Coule &amp; Patmore, 2013; Hood, 1995)","plainTextFormattedCitation":"(Svärd, 2019; Coule &amp; Patmore, 2013; Hood, 1995)","previouslyFormattedCitation":"(Svärd, 2019; Coule &amp; Patmore, 2013; Hood, 1995)"},"properties":{"noteIndex":0},"schema":"https://github.com/citation-style-language/schema/raw/master/csl-citation.json"}</w:instrText>
      </w:r>
      <w:r>
        <w:rPr>
          <w:rFonts w:cs="Calibri"/>
        </w:rPr>
        <w:fldChar w:fldCharType="separate"/>
      </w:r>
      <w:r>
        <w:rPr>
          <w:rFonts w:cs="Calibri"/>
          <w:noProof/>
        </w:rPr>
        <w:t>(Svärd, 2019; Coule &amp; Patmore, 2013; Hood, 1995)</w:t>
      </w:r>
      <w:r>
        <w:rPr>
          <w:rFonts w:cs="Calibri"/>
        </w:rPr>
        <w:fldChar w:fldCharType="end"/>
      </w:r>
      <w:r>
        <w:rPr>
          <w:rFonts w:cs="Calibri"/>
        </w:rPr>
        <w:t xml:space="preserve">. </w:t>
      </w:r>
      <w:r w:rsidR="00C84401">
        <w:rPr>
          <w:rFonts w:cs="Calibri"/>
        </w:rPr>
        <w:t>While</w:t>
      </w:r>
      <w:r>
        <w:rPr>
          <w:rFonts w:cs="Calibri"/>
        </w:rPr>
        <w:t xml:space="preserve"> this disaggregation may be required for efficiency, there needs to be more of a focus on the multifaceted nature of community resilience, and the need to include a range of community stakeholders within discussions of resilience. </w:t>
      </w:r>
    </w:p>
    <w:p w14:paraId="0DFB99F0" w14:textId="77777777" w:rsidR="00787F73" w:rsidRDefault="00787F73" w:rsidP="00866155">
      <w:pPr>
        <w:rPr>
          <w:rFonts w:cs="Calibri"/>
        </w:rPr>
      </w:pPr>
    </w:p>
    <w:p w14:paraId="084D3C4C" w14:textId="6A1C4785" w:rsidR="00787F73" w:rsidRDefault="00742FB7" w:rsidP="00866155">
      <w:r>
        <w:rPr>
          <w:rFonts w:cs="Calibri"/>
        </w:rPr>
        <w:t xml:space="preserve">Community engagement by FRS is encouraged, such as the HMICFRS and their encouragement for FRS to include the community voice in a variety of different aspects of their work. However, </w:t>
      </w:r>
      <w:r w:rsidR="00C84401">
        <w:rPr>
          <w:rFonts w:cs="Calibri"/>
        </w:rPr>
        <w:t xml:space="preserve">while </w:t>
      </w:r>
      <w:r>
        <w:rPr>
          <w:rFonts w:cs="Calibri"/>
        </w:rPr>
        <w:t xml:space="preserve">central government is developing a normative logic for increased community engagement, there are not the resources or guidance to support this increase in engagement. As noted in the literature review (chapter 2), between 2010 and 2020 the central government funding for the FRS reduced by £137 million </w:t>
      </w:r>
      <w:r>
        <w:fldChar w:fldCharType="begin" w:fldLock="1"/>
      </w:r>
      <w:r>
        <w:rPr>
          <w:rFonts w:cs="Calibri"/>
        </w:rPr>
        <w:instrText>ADDIN CSL_CITATION {"citationItems":[{"id":"ITEM-1","itemData":{"author":[{"dropping-particle":"","family":"Waring","given":"Sara","non-dropping-particle":"","parse-names":false,"suffix":""},{"dropping-particle":"","family":"Bromley","given":"Caitlin","non-dropping-particle":"","parse-names":false,"suffix":""},{"dropping-particle":"","family":"Giles","given":"Susan","non-dropping-particle":"","parse-names":false,"suffix":""}],"id":"ITEM-1","issue":"July","issued":{"date-parts":[["2022"]]},"number-of-pages":"1-17","title":"Economic Evaluation of Fire and Rescue Service Activities : A Scoping Review","type":"report"},"uris":["http://www.mendeley.com/documents/?uuid=50784e0c-6920-43d9-85c2-0d903a9aa97c"]}],"mendeley":{"formattedCitation":"(Waring, Bromley, &amp; Giles, 2022)","plainTextFormattedCitation":"(Waring, Bromley, &amp; Giles, 2022)","previouslyFormattedCitation":"(Waring, Bromley, &amp; Giles, 2022)"},"properties":{"noteIndex":0},"schema":"https://github.com/citation-style-language/schema/raw/master/csl-citation.json"}</w:instrText>
      </w:r>
      <w:r>
        <w:rPr>
          <w:rFonts w:cs="Calibri"/>
        </w:rPr>
        <w:fldChar w:fldCharType="separate"/>
      </w:r>
      <w:r>
        <w:rPr>
          <w:rFonts w:cs="Calibri"/>
          <w:noProof/>
        </w:rPr>
        <w:t xml:space="preserve">(Waring, Bromley, </w:t>
      </w:r>
      <w:r>
        <w:rPr>
          <w:rFonts w:cs="Calibri"/>
          <w:noProof/>
        </w:rPr>
        <w:lastRenderedPageBreak/>
        <w:t>&amp; Giles, 2022)</w:t>
      </w:r>
      <w:r>
        <w:rPr>
          <w:rFonts w:cs="Calibri"/>
        </w:rPr>
        <w:fldChar w:fldCharType="end"/>
      </w:r>
      <w:r>
        <w:rPr>
          <w:rFonts w:cs="Calibri"/>
        </w:rPr>
        <w:t>. To conduct the level of community engagement required to support CDR, there would need to be additional funds and capacity built into the FRS budget.</w:t>
      </w:r>
    </w:p>
    <w:p w14:paraId="160EEB41" w14:textId="77777777" w:rsidR="00787F73" w:rsidRDefault="00787F73" w:rsidP="00866155">
      <w:pPr>
        <w:rPr>
          <w:rFonts w:cs="Calibri"/>
        </w:rPr>
      </w:pPr>
    </w:p>
    <w:p w14:paraId="5563E691" w14:textId="59F0B09A" w:rsidR="00787F73" w:rsidRDefault="00742FB7" w:rsidP="00866155">
      <w:r>
        <w:rPr>
          <w:rFonts w:cs="Calibri"/>
        </w:rPr>
        <w:t xml:space="preserve">This research suggests that for organisations such as SYFR to support communities to develop community disaster resilience via social media, there needs to first be a building of rapport, trust, and linking social capital with communities. The HR group noted the fear of outsiders, suggesting that this change and rapport needs to be built from within the community. For the FRS this could be conducted by firefighters who have community engagement within their job description, however, </w:t>
      </w:r>
      <w:r w:rsidR="00C84401">
        <w:rPr>
          <w:rFonts w:cs="Calibri"/>
        </w:rPr>
        <w:t xml:space="preserve">while </w:t>
      </w:r>
      <w:r>
        <w:rPr>
          <w:rFonts w:cs="Calibri"/>
        </w:rPr>
        <w:t>the regulative institutional driver is present, the cultural cognitive elements of the institution have not caught up yet, with push back from some firefighters and the FBU for role changes within their profession. </w:t>
      </w:r>
    </w:p>
    <w:p w14:paraId="74912D3A" w14:textId="77777777" w:rsidR="00787F73" w:rsidRDefault="00787F73" w:rsidP="00866155">
      <w:pPr>
        <w:rPr>
          <w:rFonts w:cs="Calibri"/>
        </w:rPr>
      </w:pPr>
    </w:p>
    <w:p w14:paraId="00810123" w14:textId="01B3E462" w:rsidR="00787F73" w:rsidRDefault="00742FB7" w:rsidP="00866155">
      <w:r>
        <w:rPr>
          <w:rFonts w:cs="Calibri"/>
        </w:rPr>
        <w:t>Once this foundation of trust and rapport has been created there needs to be an assessment of the community’s assets (physical and social) as well as the risks that they are facing. From this stage the risk communication could be designed and structured around the community, supporting the development of threat and coping appraisals. </w:t>
      </w:r>
      <w:r w:rsidR="00C84401">
        <w:rPr>
          <w:rFonts w:cs="Calibri"/>
        </w:rPr>
        <w:t>While</w:t>
      </w:r>
      <w:r>
        <w:rPr>
          <w:rFonts w:cs="Calibri"/>
        </w:rPr>
        <w:t xml:space="preserve"> this would be the idealised plan, organisations such as SYFR do not have the resource or the capacity to take on this role. Creating an institutional challenge for SYFR who have the drive and logics to support communities, preventing fires and saving lives, but without the resources needed to prevent the structural disasters from happening. </w:t>
      </w:r>
    </w:p>
    <w:p w14:paraId="701540F4" w14:textId="77777777" w:rsidR="00787F73" w:rsidRDefault="00787F73" w:rsidP="00866155">
      <w:pPr>
        <w:rPr>
          <w:rFonts w:cs="Calibri"/>
        </w:rPr>
      </w:pPr>
    </w:p>
    <w:p w14:paraId="7A69B50B" w14:textId="77777777" w:rsidR="00787F73" w:rsidRDefault="00742FB7" w:rsidP="00866155">
      <w:pPr>
        <w:pStyle w:val="Heading2"/>
      </w:pPr>
      <w:bookmarkStart w:id="1127" w:name="_Toc156227664"/>
      <w:bookmarkStart w:id="1128" w:name="_Toc159424121"/>
      <w:bookmarkStart w:id="1129" w:name="_Toc153488338"/>
      <w:bookmarkStart w:id="1130" w:name="_Toc193367270"/>
      <w:r>
        <w:t>7.5: Limitations</w:t>
      </w:r>
      <w:bookmarkEnd w:id="1127"/>
      <w:bookmarkEnd w:id="1128"/>
      <w:bookmarkEnd w:id="1129"/>
      <w:bookmarkEnd w:id="1130"/>
    </w:p>
    <w:p w14:paraId="44535BA9" w14:textId="77777777" w:rsidR="00A30CB5" w:rsidRDefault="00A30CB5" w:rsidP="00A30CB5">
      <w:r>
        <w:t xml:space="preserve">This project had a series of limitations, some due to COVID-19, and others due to the research approach and method. This section provides an overview of these limitations. </w:t>
      </w:r>
    </w:p>
    <w:p w14:paraId="4CF03531" w14:textId="77777777" w:rsidR="00A30CB5" w:rsidRPr="00A30CB5" w:rsidRDefault="00A30CB5" w:rsidP="00A0151B"/>
    <w:p w14:paraId="45AFB6D3" w14:textId="44F67B12" w:rsidR="00057CAC" w:rsidRDefault="00742FB7" w:rsidP="00057CAC">
      <w:r>
        <w:rPr>
          <w:rFonts w:cs="Calibri"/>
        </w:rPr>
        <w:t xml:space="preserve">The data collection for this thesis began in 2019, which means that it was greatly impacted by the COVID-19 pandemic and social distancing restrictions which took effect in 2020. Prior to the COVID-19 lockdowns, I had been visiting SYFR’s headquarters and had been building a relationship with the Communications team and other departments in SYFR. However, when the lockdown was announced I had to change my research plans. </w:t>
      </w:r>
      <w:r w:rsidR="00057CAC">
        <w:t xml:space="preserve">Due to the collaborative nature of the project, I had developed a strong relationship with members of SYFR prior to </w:t>
      </w:r>
      <w:r w:rsidR="00057CAC">
        <w:lastRenderedPageBreak/>
        <w:t xml:space="preserve">the lockdowns. This meant that the data focusing on SYFR and their operations was able to fully engage and answer the research questions. </w:t>
      </w:r>
      <w:r w:rsidR="00057CAC">
        <w:rPr>
          <w:rFonts w:cs="Calibri"/>
        </w:rPr>
        <w:t>Sadly, I had not been able to develop a relationship with the communities prior to the lockdowns, which meant this element of the project was greatly impacted</w:t>
      </w:r>
      <w:r>
        <w:rPr>
          <w:rFonts w:cs="Calibri"/>
        </w:rPr>
        <w:t>.</w:t>
      </w:r>
    </w:p>
    <w:p w14:paraId="39D54243" w14:textId="77777777" w:rsidR="00787F73" w:rsidRDefault="00787F73" w:rsidP="00866155">
      <w:pPr>
        <w:rPr>
          <w:rFonts w:cs="Calibri"/>
        </w:rPr>
      </w:pPr>
    </w:p>
    <w:p w14:paraId="455BD5B6" w14:textId="77777777" w:rsidR="00787F73" w:rsidRDefault="00742FB7" w:rsidP="00866155">
      <w:r>
        <w:rPr>
          <w:rFonts w:cs="Calibri"/>
        </w:rPr>
        <w:t xml:space="preserve">My initial plan for the research was to conduct a Participatory Action Research project (PAR), working with a series of communities across South Yorkshire and conducting a detailed analysis of their perceptions of their community resilience. I had been planning to conduct Futures Workshops, which would have brought key stakeholders together to discuss community resilience and try and develop collective action from these events. I was unable to do this due to not being able to visit the community sites and build rapport with the wider community prior to data collection. Thus, the community element of this research had to be reduced considerably as I was only able to recruit participants from social media, which meant I was not able to analyse the impact of the digital divide in detail. </w:t>
      </w:r>
    </w:p>
    <w:p w14:paraId="6F228AFE" w14:textId="77777777" w:rsidR="00787F73" w:rsidRDefault="00787F73" w:rsidP="00866155">
      <w:pPr>
        <w:rPr>
          <w:rFonts w:cs="Calibri"/>
        </w:rPr>
      </w:pPr>
    </w:p>
    <w:p w14:paraId="1B3B3759" w14:textId="3EDC415F" w:rsidR="00787F73" w:rsidRDefault="00742FB7" w:rsidP="00866155">
      <w:r>
        <w:rPr>
          <w:rFonts w:cs="Calibri"/>
        </w:rPr>
        <w:t xml:space="preserve">Due to the time constraints of the PhD, and not knowing if social distancing measures were going to ease, I pivoted the community project to recruit people online. As discussed in the methodology, recruitment for these community sessions was incredibly difficult, with very little engagement to my social media posts. </w:t>
      </w:r>
      <w:r w:rsidR="00C84401">
        <w:rPr>
          <w:rFonts w:cs="Calibri"/>
        </w:rPr>
        <w:t>While</w:t>
      </w:r>
      <w:r>
        <w:rPr>
          <w:rFonts w:cs="Calibri"/>
        </w:rPr>
        <w:t xml:space="preserve"> I was only able to recruit 2 participants for the focus groups, I felt incredibly grateful to have anyone engage in the research, especially due to the timing of the research and the growing fatigue of online meetings.</w:t>
      </w:r>
      <w:r w:rsidR="003C5C75">
        <w:rPr>
          <w:rFonts w:cs="Calibri"/>
        </w:rPr>
        <w:t xml:space="preserve"> During the data collection, and the COVID-19 lockdowns, it was not clear whether “normal” life would be able to resume, therefore I had not planned to conduct additional community research. When the lockdowns ended and people were more confident to socialise indoors, I was then pregnant and told to self-isolate due to the high-risk nature of my pregnancy (twins). This meant that in the time frame of the PhD</w:t>
      </w:r>
      <w:r w:rsidR="001F6510">
        <w:rPr>
          <w:rFonts w:cs="Calibri"/>
        </w:rPr>
        <w:t>,</w:t>
      </w:r>
      <w:r w:rsidR="003C5C75">
        <w:rPr>
          <w:rFonts w:cs="Calibri"/>
        </w:rPr>
        <w:t xml:space="preserve"> I was unable to conduct additional in-person research. </w:t>
      </w:r>
    </w:p>
    <w:p w14:paraId="49C71B96" w14:textId="77777777" w:rsidR="00787F73" w:rsidRDefault="00787F73" w:rsidP="00866155">
      <w:pPr>
        <w:rPr>
          <w:rFonts w:cs="Calibri"/>
        </w:rPr>
      </w:pPr>
    </w:p>
    <w:p w14:paraId="572027AD" w14:textId="22C4BF91" w:rsidR="001F6510" w:rsidRDefault="00A30CB5" w:rsidP="00732436">
      <w:pPr>
        <w:rPr>
          <w:rFonts w:cs="Calibri"/>
        </w:rPr>
      </w:pPr>
      <w:r>
        <w:rPr>
          <w:rFonts w:cs="Calibri"/>
        </w:rPr>
        <w:t>There were also limitations to the research related to the data collection. One example of this was with the social media dat</w:t>
      </w:r>
      <w:r w:rsidR="00732436">
        <w:rPr>
          <w:rFonts w:cs="Calibri"/>
        </w:rPr>
        <w:t>a</w:t>
      </w:r>
      <w:r w:rsidR="00057CAC">
        <w:rPr>
          <w:rFonts w:cs="Calibri"/>
        </w:rPr>
        <w:t xml:space="preserve">. </w:t>
      </w:r>
    </w:p>
    <w:p w14:paraId="46B2E52A" w14:textId="23AA3CB8" w:rsidR="00787F73" w:rsidRDefault="00732436" w:rsidP="00057CAC">
      <w:pPr>
        <w:rPr>
          <w:rFonts w:cs="Calibri"/>
        </w:rPr>
      </w:pPr>
      <w:r>
        <w:rPr>
          <w:rFonts w:cs="Calibri"/>
        </w:rPr>
        <w:t xml:space="preserve"> </w:t>
      </w:r>
      <w:r w:rsidR="00742FB7">
        <w:rPr>
          <w:rFonts w:cs="Calibri"/>
        </w:rPr>
        <w:t xml:space="preserve">Initially, I had wanted to collect data from Facebook, due to its popularity within communities for organising and communicating, however, this was not possible due to </w:t>
      </w:r>
      <w:r w:rsidR="00742FB7">
        <w:rPr>
          <w:rFonts w:cs="Calibri"/>
        </w:rPr>
        <w:lastRenderedPageBreak/>
        <w:t xml:space="preserve">Meta’s strict policies on research conducting on its platforms. This meant that I had to collect data on Twitter instead, which although used by community members, research suggests that it is not as popular as Facebook </w:t>
      </w:r>
      <w:r w:rsidR="00742FB7">
        <w:fldChar w:fldCharType="begin" w:fldLock="1"/>
      </w:r>
      <w:r w:rsidR="00742FB7">
        <w:rPr>
          <w:rFonts w:cs="Calibri"/>
        </w:rPr>
        <w:instrText>ADDIN CSL_CITATION {"citationItems":[{"id":"ITEM-1","itemData":{"author":[{"dropping-particle":"","family":"Ofcom","given":"","non-dropping-particle":"","parse-names":false,"suffix":""}],"id":"ITEM-1","issue":"June","issued":{"date-parts":[["2022"]]},"number-of-pages":"1-128","title":"Online Nation 2022 Report","type":"report"},"uris":["http://www.mendeley.com/documents/?uuid=c5bb2cc7-993f-4faa-af41-2c4e4df781d1"]}],"mendeley":{"formattedCitation":"(Ofcom, 2022)","plainTextFormattedCitation":"(Ofcom, 2022)","previouslyFormattedCitation":"(Ofcom, 2022)"},"properties":{"noteIndex":0},"schema":"https://github.com/citation-style-language/schema/raw/master/csl-citation.json"}</w:instrText>
      </w:r>
      <w:r w:rsidR="00742FB7">
        <w:rPr>
          <w:rFonts w:cs="Calibri"/>
        </w:rPr>
        <w:fldChar w:fldCharType="separate"/>
      </w:r>
      <w:r w:rsidR="00742FB7">
        <w:rPr>
          <w:rFonts w:cs="Calibri"/>
          <w:noProof/>
        </w:rPr>
        <w:t>(Ofcom, 2022)</w:t>
      </w:r>
      <w:r w:rsidR="00742FB7">
        <w:rPr>
          <w:rFonts w:cs="Calibri"/>
        </w:rPr>
        <w:fldChar w:fldCharType="end"/>
      </w:r>
      <w:r w:rsidR="00742FB7">
        <w:rPr>
          <w:rFonts w:cs="Calibri"/>
        </w:rPr>
        <w:t>. Another limitation of Twitter data was discussed at length in Chapter 3 including the challenges of using the self-declared account locations as location data. The following section explores how this limitation could be mitigated with further research.</w:t>
      </w:r>
    </w:p>
    <w:p w14:paraId="580E495C" w14:textId="77777777" w:rsidR="00305E47" w:rsidRDefault="00305E47" w:rsidP="00A30CB5">
      <w:pPr>
        <w:rPr>
          <w:rFonts w:cs="Calibri"/>
        </w:rPr>
      </w:pPr>
    </w:p>
    <w:p w14:paraId="670C199A" w14:textId="5503B47D" w:rsidR="003C5C75" w:rsidRDefault="00305E47" w:rsidP="00A30CB5">
      <w:r w:rsidRPr="00305E47">
        <w:t>Another limitation of the research was the small sample size of the focus groups. As this project was focusing on community resilience there could have been more community voices. While this project was using an interpretivist approach it would have been beneficial to get a greater sample. The data collected was predominantly from white women, which the research suggests have the highest levels of community belonging</w:t>
      </w:r>
      <w:r>
        <w:t xml:space="preserve"> </w:t>
      </w:r>
      <w:r>
        <w:fldChar w:fldCharType="begin" w:fldLock="1"/>
      </w:r>
      <w:r>
        <w:instrText>ADDIN CSL_CITATION {"citationItems":[{"id":"ITEM-1","itemData":{"DOI":"10.1080/00909882.2018.1544718","ISSN":"14795752","abstract":"The Citizen Disaster Communication Assessment (CDCA) measures individual disaster communication activities that are intended to help communities cope across all phases of a disaster. Using the CDCA, this study examined associations among citizen disaster communication, neighborhood belonging, and community resilience using three different samples representing different disaster phases (Pre-event, Event, Post-event). Results indicate that more citizen disaster communication was associated with stronger perceptions of neighborhood belonging and community resilience at the Event and Post-event phases. In terms of specific citizen disaster communication processes that proved important, communication to correct disaster rumors and share stories was associated with greater feelings of belonging. Communication intended to confirm disaster information and tell stories was associated with stronger community resilience perceptions. Overall, results (a) confirm that citizen disaster communication is an important part of the disaster response and recovery ecosystem and (b) offer evidence of concurrent validity for the CDCA.","author":[{"dropping-particle":"","family":"Spialek","given":"Matthew L.","non-dropping-particle":"","parse-names":false,"suffix":""},{"dropping-particle":"","family":"Houston","given":"J. Brian","non-dropping-particle":"","parse-names":false,"suffix":""}],"container-title":"Journal of Applied Communication Research","id":"ITEM-1","issue":"1","issued":{"date-parts":[["2019"]]},"page":"1-23","publisher":"Taylor &amp; Francis","title":"The influence of citizen disaster communication on perceptions of neighborhood belonging and community resilience","type":"article-journal","volume":"47"},"uris":["http://www.mendeley.com/documents/?uuid=11f75a32-373b-460a-babe-f7b38e61611c"]}],"mendeley":{"formattedCitation":"(Spialek &amp; Houston, 2019)","plainTextFormattedCitation":"(Spialek &amp; Houston, 2019)","previouslyFormattedCitation":"(Spialek &amp; Houston, 2019)"},"properties":{"noteIndex":0},"schema":"https://github.com/citation-style-language/schema/raw/master/csl-citation.json"}</w:instrText>
      </w:r>
      <w:r>
        <w:fldChar w:fldCharType="separate"/>
      </w:r>
      <w:r w:rsidRPr="00305E47">
        <w:rPr>
          <w:noProof/>
        </w:rPr>
        <w:t>(Spialek &amp; Houston, 2019)</w:t>
      </w:r>
      <w:r>
        <w:fldChar w:fldCharType="end"/>
      </w:r>
      <w:r w:rsidRPr="00305E47">
        <w:t xml:space="preserve">. The research highlights the importance of an intersectional approach to community work </w:t>
      </w:r>
      <w:r>
        <w:fldChar w:fldCharType="begin" w:fldLock="1"/>
      </w:r>
      <w:r w:rsidR="00844D9B">
        <w:instrText>ADDIN CSL_CITATION {"citationItems":[{"id":"ITEM-1","itemData":{"DOI":"10.1080/15358590903402200","ISBN":"1535859090340","author":[{"dropping-particle":"","family":"Sellnow","given":"Tim","non-dropping-particle":"","parse-names":false,"suffix":""},{"dropping-particle":"","family":"Sellnow","given":"Deanna","non-dropping-particle":"","parse-names":false,"suffix":""}],"container-title":"The Review of Communication","id":"ITEM-1","issue":"2","issued":{"date-parts":[["2010"]]},"page":"112-126","title":"The Instructional Dynamic of Risk and Crisis Communication: Distinguishing Instructional Messages from Dialogue","type":"article-journal","volume":"10"},"uris":["http://www.mendeley.com/documents/?uuid=1f43dade-4825-4b23-9f47-5994f8fc2ae0"]},{"id":"ITEM-2","itemData":{"DOI":"10.1080/20008198.2018.1425577","ISSN":"20008066","abstract":"Background: Millions of children are affected by disasters every year. Children need not be passive victims, however, but instead may contribute to disaster risk reduction activities. Objective: This paper provides a theoretical foundation for children’s involvement in disaster risk reduction activities. Method: The paper reviews and analyses the literature on children’s participation, on their developmental capacity to participate, and on disaster risk reduction activities involving children. Results: Participation yields numerous potential benefits for children, including enhanced personal development and skills, self-efficacy, and interpersonal relationships, and for communities through improved social connections and networks and disaster preparedness. Conclusions: Children are resources to be cultivated and mobilized for disaster preparedness, response, recovery, and resilience. Attention is needed to identify approaches to appropriately enlist, engage, and involve children in disaster risk reduction activities; to promote these efforts; and to evaluate these approaches.","author":[{"dropping-particle":"","family":"Pfefferbaum","given":"Betty","non-dropping-particle":"","parse-names":false,"suffix":""},{"dropping-particle":"","family":"Pfefferbaum","given":"Rose L.","non-dropping-particle":"","parse-names":false,"suffix":""},{"dropping-particle":"","family":"Horn","given":"Richard L.","non-dropping-particle":"Van","parse-names":false,"suffix":""}],"container-title":"European Journal of Psychotraumatology","id":"ITEM-2","issue":"S2","issued":{"date-parts":[["2018"]]},"publisher":"Taylor &amp; Francis","title":"Involving children in disaster risk reduction: the importance of participation","type":"article-journal","volume":"9"},"uris":["http://www.mendeley.com/documents/?uuid=57a03b69-eab3-498d-a8cc-6f486a5659e0"]},{"id":"ITEM-3","itemData":{"DOI":"10.1175/WCAS-D-13-00028.1","author":[{"dropping-particle":"","family":"Ripberger","given":"Joseph T.","non-dropping-particle":"","parse-names":false,"suffix":""},{"dropping-particle":"","family":"Jenkins-Smith","given":"Hank C.","non-dropping-particle":"","parse-names":false,"suffix":""},{"dropping-particle":"","family":"Silva","given":"Carol L.","non-dropping-particle":"","parse-names":false,"suffix":""},{"dropping-particle":"","family":"Carlson","given":"Deven E.","non-dropping-particle":"","parse-names":false,"suffix":""},{"dropping-particle":"","family":"Henderson","given":"Matthew","non-dropping-particle":"","parse-names":false,"suffix":""}],"container-title":"Weather, Climate, and Society","id":"ITEM-3","issue":"4","issued":{"date-parts":[["2014"]]},"page":"520-530","title":"Social Media and Severe Weather: Do Tweets Provide a Valid Indicator of Public Attention to Severe Weather Risk Communication?","type":"article-journal","volume":"6"},"uris":["http://www.mendeley.com/documents/?uuid=f5d26f9d-b985-4f38-b98f-abf14a62f51d"]},{"id":"ITEM-4","itemData":{"DOI":"10.1080/00909882.2018.1544718","ISSN":"14795752","abstract":"The Citizen Disaster Communication Assessment (CDCA) measures individual disaster communication activities that are intended to help communities cope across all phases of a disaster. Using the CDCA, this study examined associations among citizen disaster communication, neighborhood belonging, and community resilience using three different samples representing different disaster phases (Pre-event, Event, Post-event). Results indicate that more citizen disaster communication was associated with stronger perceptions of neighborhood belonging and community resilience at the Event and Post-event phases. In terms of specific citizen disaster communication processes that proved important, communication to correct disaster rumors and share stories was associated with greater feelings of belonging. Communication intended to confirm disaster information and tell stories was associated with stronger community resilience perceptions. Overall, results (a) confirm that citizen disaster communication is an important part of the disaster response and recovery ecosystem and (b) offer evidence of concurrent validity for the CDCA.","author":[{"dropping-particle":"","family":"Spialek","given":"Matthew L.","non-dropping-particle":"","parse-names":false,"suffix":""},{"dropping-particle":"","family":"Houston","given":"J. Brian","non-dropping-particle":"","parse-names":false,"suffix":""}],"container-title":"Journal of Applied Communication Research","id":"ITEM-4","issue":"1","issued":{"date-parts":[["2019"]]},"page":"1-23","publisher":"Taylor &amp; Francis","title":"The influence of citizen disaster communication on perceptions of neighborhood belonging and community resilience","type":"article-journal","volume":"47"},"uris":["http://www.mendeley.com/documents/?uuid=11f75a32-373b-460a-babe-f7b38e61611c"]}],"mendeley":{"formattedCitation":"(Spialek &amp; Houston, 2019; Pfefferbaum, Pfefferbaum, &amp; Van Horn, 2018; Ripberger et al., 2014; Sellnow &amp; Sellnow, 2010)","plainTextFormattedCitation":"(Spialek &amp; Houston, 2019; Pfefferbaum, Pfefferbaum, &amp; Van Horn, 2018; Ripberger et al., 2014; Sellnow &amp; Sellnow, 2010)","previouslyFormattedCitation":"(Spialek &amp; Houston, 2019; Pfefferbaum, Pfefferbaum, &amp; Van Horn, 2018; Ripberger et al., 2014; Sellnow &amp; Sellnow, 2010)"},"properties":{"noteIndex":0},"schema":"https://github.com/citation-style-language/schema/raw/master/csl-citation.json"}</w:instrText>
      </w:r>
      <w:r>
        <w:fldChar w:fldCharType="separate"/>
      </w:r>
      <w:r w:rsidRPr="00305E47">
        <w:rPr>
          <w:noProof/>
        </w:rPr>
        <w:t>(Spialek &amp; Houston, 2019; Pfefferbaum, Pfefferbaum, &amp; Van Horn, 2018; Ripberger et al., 2014; Sellnow &amp; Sellnow, 2010)</w:t>
      </w:r>
      <w:r>
        <w:fldChar w:fldCharType="end"/>
      </w:r>
      <w:r w:rsidRPr="00305E47">
        <w:t>. The self-selection of white women could indicate that the approach to recruitment could have been flawed. The post focused on “</w:t>
      </w:r>
      <w:r>
        <w:t>your community</w:t>
      </w:r>
      <w:r w:rsidRPr="00305E47">
        <w:t>” which means people will have only signed up if they already had a sense of community identity. Any future studies would benefit from framing the recruitment materials around a geographical location rather than “community”.</w:t>
      </w:r>
      <w:r w:rsidR="00394720">
        <w:t xml:space="preserve"> </w:t>
      </w:r>
      <w:r w:rsidR="003C5C75">
        <w:t xml:space="preserve"> While this data is limited, it still supports research question three (w</w:t>
      </w:r>
      <w:r w:rsidR="003C5C75" w:rsidRPr="003C5C75">
        <w:t>ho is engaging with SYFR’s content on social media and what implications are there for community resilience?</w:t>
      </w:r>
      <w:r w:rsidR="003C5C75">
        <w:t xml:space="preserve">) as it provides some contextual information for the communities as well as the participants interpretation of their community’s resilience. </w:t>
      </w:r>
    </w:p>
    <w:p w14:paraId="3AF8F394" w14:textId="77777777" w:rsidR="00057CAC" w:rsidRPr="00A0151B" w:rsidRDefault="00057CAC" w:rsidP="00596C9A">
      <w:pPr>
        <w:rPr>
          <w:rFonts w:cs="Calibri"/>
        </w:rPr>
      </w:pPr>
    </w:p>
    <w:p w14:paraId="1E20BACA" w14:textId="77777777" w:rsidR="00596C9A" w:rsidRPr="00A0151B" w:rsidRDefault="00057CAC" w:rsidP="00A0151B">
      <w:pPr>
        <w:pStyle w:val="Normal0"/>
        <w:spacing w:line="360" w:lineRule="auto"/>
        <w:rPr>
          <w:rFonts w:ascii="Calibri" w:hAnsi="Calibri" w:cs="Calibri"/>
        </w:rPr>
      </w:pPr>
      <w:r w:rsidRPr="00A0151B">
        <w:rPr>
          <w:rFonts w:ascii="Calibri" w:hAnsi="Calibri" w:cs="Calibri"/>
        </w:rPr>
        <w:t xml:space="preserve">The aim of this research was to </w:t>
      </w:r>
      <w:r w:rsidRPr="00A0151B">
        <w:rPr>
          <w:rFonts w:ascii="Calibri" w:hAnsi="Calibri" w:cs="Calibri"/>
          <w:i/>
          <w:iCs/>
        </w:rPr>
        <w:t>critically evaluate the use of social media and its ability to develop community disaster resilience (CDR)</w:t>
      </w:r>
      <w:r w:rsidRPr="00A0151B">
        <w:rPr>
          <w:rFonts w:ascii="Calibri" w:hAnsi="Calibri" w:cs="Calibri"/>
        </w:rPr>
        <w:t>. While the community data and social media data was limited, the thesis was still able to evaluate the use of social media. It would have been beneficial to included additional community voices, however the criticism of social media use for community disaster resilience was still evident from the data collected.</w:t>
      </w:r>
    </w:p>
    <w:p w14:paraId="33A62F9F" w14:textId="77777777" w:rsidR="00787F73" w:rsidRDefault="00742FB7" w:rsidP="00866155">
      <w:pPr>
        <w:pStyle w:val="Heading2"/>
      </w:pPr>
      <w:bookmarkStart w:id="1131" w:name="_Toc153488339"/>
      <w:bookmarkStart w:id="1132" w:name="_Toc156227665"/>
      <w:bookmarkStart w:id="1133" w:name="_Toc159424122"/>
      <w:bookmarkStart w:id="1134" w:name="_Toc193367271"/>
      <w:r>
        <w:lastRenderedPageBreak/>
        <w:t>7.6: Future research</w:t>
      </w:r>
      <w:bookmarkEnd w:id="1131"/>
      <w:bookmarkEnd w:id="1132"/>
      <w:bookmarkEnd w:id="1133"/>
      <w:bookmarkEnd w:id="1134"/>
    </w:p>
    <w:p w14:paraId="097DA362" w14:textId="77777777" w:rsidR="00787F73" w:rsidRDefault="00742FB7" w:rsidP="00866155">
      <w:r>
        <w:rPr>
          <w:rFonts w:cs="Calibri"/>
        </w:rPr>
        <w:t xml:space="preserve">Throughout this research there have been areas that could lead to further research. First, further research could be done examining the social media accounts of SYFR, due to the limitation of time and scope within this project, an in-depth analysis could be conducted of SYFR’s followers on their different social media platforms. This research could examine who is following their accounts, and then conduct a deeper qualitative study to assess if there is a link between their PIC and risk communication and any self-reported behaviour change. </w:t>
      </w:r>
    </w:p>
    <w:p w14:paraId="33F1980E" w14:textId="77777777" w:rsidR="00787F73" w:rsidRDefault="00787F73" w:rsidP="00866155">
      <w:pPr>
        <w:rPr>
          <w:rFonts w:cs="Calibri"/>
        </w:rPr>
      </w:pPr>
    </w:p>
    <w:p w14:paraId="5663266E" w14:textId="77777777" w:rsidR="00787F73" w:rsidRDefault="00742FB7" w:rsidP="00866155">
      <w:r>
        <w:rPr>
          <w:rFonts w:cs="Calibri"/>
        </w:rPr>
        <w:t xml:space="preserve">Second, due to the limitations from COVID-19, further research could be conducted with the communities of South Yorkshire. A Participatory Action Research project could be conducted to view community resilience from the perspective of the communities. This research could assess the risk communication they receive from a wider range of stakeholders, and then bring together all the community stakeholders to develop a plan to support the development of the community’s resilience.  Conducting research starting with the community’s perspective would enable an assessment of the role of the digital divide on community engagement, as well as if, and how, risk communication is shared with them via offline methods. </w:t>
      </w:r>
    </w:p>
    <w:p w14:paraId="34C61F88" w14:textId="77777777" w:rsidR="00787F73" w:rsidRDefault="00787F73" w:rsidP="00866155">
      <w:pPr>
        <w:rPr>
          <w:rFonts w:cs="Calibri"/>
        </w:rPr>
      </w:pPr>
    </w:p>
    <w:p w14:paraId="2FB46884" w14:textId="77777777" w:rsidR="00787F73" w:rsidRDefault="00742FB7" w:rsidP="00866155">
      <w:r>
        <w:rPr>
          <w:rFonts w:cs="Calibri"/>
        </w:rPr>
        <w:t xml:space="preserve">More widely, research could be conducted into the role of Local Resilience Forums, and if any LRFs across the UK are conducting risk communication with their surrounding communities. This research could examine any barriers or challenges associated with conducting this level of community engagement, which could be then used for future policy change. </w:t>
      </w:r>
    </w:p>
    <w:p w14:paraId="371A6E10" w14:textId="77777777" w:rsidR="00787F73" w:rsidRDefault="00787F73" w:rsidP="00866155">
      <w:pPr>
        <w:rPr>
          <w:rFonts w:cs="Calibri"/>
        </w:rPr>
      </w:pPr>
    </w:p>
    <w:p w14:paraId="0BFD3B0D" w14:textId="77777777" w:rsidR="00787F73" w:rsidRDefault="00742FB7" w:rsidP="00866155">
      <w:pPr>
        <w:pStyle w:val="Heading2"/>
      </w:pPr>
      <w:bookmarkStart w:id="1135" w:name="_Toc159424123"/>
      <w:bookmarkStart w:id="1136" w:name="_Toc153488340"/>
      <w:bookmarkStart w:id="1137" w:name="_Toc156227666"/>
      <w:bookmarkStart w:id="1138" w:name="_Toc193367272"/>
      <w:r>
        <w:t>7.7: Conclusion</w:t>
      </w:r>
      <w:bookmarkEnd w:id="1135"/>
      <w:bookmarkEnd w:id="1136"/>
      <w:bookmarkEnd w:id="1137"/>
      <w:bookmarkEnd w:id="1138"/>
    </w:p>
    <w:p w14:paraId="0CCF1008" w14:textId="77777777" w:rsidR="00787F73" w:rsidRDefault="00742FB7" w:rsidP="00866155">
      <w:r>
        <w:rPr>
          <w:rFonts w:cs="Calibri"/>
        </w:rPr>
        <w:t xml:space="preserve">This chapter has provided a summary of the thesis, drawing out the main findings and themes which have been interpreted within this research. It delved into the research aim and questions and suggested that social media can facilitate the development of community networks which support the building of community resilience. However, agencies such as SYFR must be mindful of communicating on social media, due to the digital divide, as well as the challenges associated with linking a communication strategy to the business model of </w:t>
      </w:r>
      <w:r>
        <w:rPr>
          <w:rFonts w:cs="Calibri"/>
        </w:rPr>
        <w:lastRenderedPageBreak/>
        <w:t>the social media companies. This thesis highlighted that community resilience is such a large and amorphous topic that linking risk communication from one agency to a community’s resilience is extremely challenging.</w:t>
      </w:r>
    </w:p>
    <w:p w14:paraId="7EA6C01F" w14:textId="77777777" w:rsidR="00787F73" w:rsidRDefault="00787F73" w:rsidP="00866155">
      <w:pPr>
        <w:rPr>
          <w:rFonts w:cs="Calibri"/>
        </w:rPr>
      </w:pPr>
    </w:p>
    <w:p w14:paraId="5E254E76" w14:textId="77777777" w:rsidR="00787F73" w:rsidRDefault="00742FB7" w:rsidP="00866155">
      <w:r>
        <w:rPr>
          <w:rFonts w:cs="Calibri"/>
        </w:rPr>
        <w:t>This chapter noted implications for future policy, including an increase in collaboration between agencies working toward the community’s resilience, not just the resilience of the LRF agencies. This then led into sections exploring the contributions and limitations of this project, and finally ending on suggestions for future research.</w:t>
      </w:r>
    </w:p>
    <w:p w14:paraId="583FDF9B" w14:textId="77777777" w:rsidR="00787F73" w:rsidRDefault="00787F73" w:rsidP="00866155">
      <w:pPr>
        <w:rPr>
          <w:rFonts w:cs="Calibri"/>
        </w:rPr>
      </w:pPr>
    </w:p>
    <w:p w14:paraId="257215E0" w14:textId="77C49FBE" w:rsidR="00787F73" w:rsidRDefault="00742FB7" w:rsidP="00866155">
      <w:r>
        <w:rPr>
          <w:rFonts w:cs="Calibri"/>
        </w:rPr>
        <w:t xml:space="preserve">This thesis has examined how, and why, SYFR communicates risk via social media and whether it can impact a community’s resilience. One of the larger themes of this research was the larger institutions which influenced this, namely the role of state and the growing influence of neoliberalism. This research has examined the impact of neoliberal policies and the consequent vulnerability of a </w:t>
      </w:r>
      <w:r w:rsidR="00AC1B06">
        <w:rPr>
          <w:rFonts w:cs="Calibri"/>
        </w:rPr>
        <w:t>community.</w:t>
      </w:r>
      <w:r>
        <w:rPr>
          <w:rFonts w:cs="Calibri"/>
        </w:rPr>
        <w:t xml:space="preserve">  There is an increased risk of disasters for the future  with climate change increasing the risk of hazards, such as flooding and droughts </w:t>
      </w:r>
      <w:r>
        <w:fldChar w:fldCharType="begin" w:fldLock="1"/>
      </w:r>
      <w:r>
        <w:rPr>
          <w:rFonts w:cs="Calibri"/>
        </w:rPr>
        <w:instrText>ADDIN CSL_CITATION {"citationItems":[{"id":"ITEM-1","itemData":{"DOI":"10.1002/eet.1806","ISSN":"17569338","abstract":"Scholarship around questions of climate change adaptation is increasingly concerned with ideas of transformative adaptation and its governance through critical re-evaluation of beliefs, values and associated institutions. For public policy sectors, the concept of transformative governance brings attention to their capacities for supporting and engaging in such governance. While much adaptation research and practice informs technical and structural understandings of these capacities (e.g., governance arrangements, learning systems and adaptation planning), most of this research (and practice) has ignored less formal, yet equally important dimensions of public administration and governance. Institutional scholarship highlights that dominant norms, beliefs, and philosophical ideas underpin how policy sectors structure their policy responses and engagement in governance. Discursive Institutionalism suggests that examining a sector's dominant discourse can provide insights into these “institutional logics”. This paper therefore argues that understanding a policy sector's institutional logics is a crucial part of working toward enabling transformative governance of adaptation. This argument is developed through a case study of the institutional logics operating in the fire management policy sector of Victoria, Australia, and the potential influence of these logics on that sector's capacities to engage in transformative governance. Findings suggest this sector's institutional logics may currently constrain its capacities to engage in transformative governance and highlight the need for greater attention to socioinstitutional dimensions of public administration to help catalyze transformative governance of (and for) adaptation.","author":[{"dropping-particle":"","family":"Bosomworth","given":"Karyn","non-dropping-particle":"","parse-names":false,"suffix":""}],"container-title":"Environmental Policy and Governance","id":"ITEM-1","issue":"6","issued":{"date-parts":[["2018"]]},"page":"415-425","title":"A discursive–institutional perspective on transformative governance: A case from a fire management policy sector","type":"article-journal","volume":"28"},"uris":["http://www.mendeley.com/documents/?uuid=8fcbef0f-fc3c-4653-aeb2-13d404d551e5"]},{"id":"ITEM-2","itemData":{"DOI":"10.1017/9781009325844.Front","ISBN":"9781009325844","abstract":"De la bataille de Poitiers aux croisades, des échanges intellectuels du Moyen Age à l'orientalisme, de la colonisation à la guerre d'Algérie jusqu'aux débats actuels sur l'immigration, plus de soixante-dix spécialistes, historiens ou grands témoins retracent treize siècles d'une histoire politique, sociale et culturelle tumultueuse et captivante. \" C'est l'histoire culturelle qui domine ici, écrit Jacques Le Goff dans sa préface, et plus largement une histoire de l'imaginaire qui nous livre les fluctuations de l'image de l'Autre... Il s'agit de faire passer le musulman de la situation d'Autre à celle de concitoyen à part entière. Il reste sans doute un long chemin à parcourir, et l'éclairage de l'histoire depuis le Moyen Age y est nécessaire. \" Un ouvrage de référence unique, passionnant et richement illustré.","author":[{"dropping-particle":"","family":"IPCC","given":"","non-dropping-particle":"","parse-names":false,"suffix":""}],"container-title":"Working Group II contribution to the Sixth Assessment Report of the Intergovernamental Panel on Climate Change","id":"ITEM-2","issue":"August","issued":{"date-parts":[["2022"]]},"number-of-pages":"37","publisher-place":"Cambridge","title":"Climate Change 2022: Impacts, Adaptation and Vulnerability","type":"report"},"uris":["http://www.mendeley.com/documents/?uuid=b7b215cd-8a6b-4747-ab0a-070c2ec4f3b3"]}],"mendeley":{"formattedCitation":"(IPCC, 2022; Bosomworth, 2018)","plainTextFormattedCitation":"(IPCC, 2022; Bosomworth, 2018)","previouslyFormattedCitation":"(IPCC, 2022; Bosomworth, 2018)"},"properties":{"noteIndex":0},"schema":"https://github.com/citation-style-language/schema/raw/master/csl-citation.json"}</w:instrText>
      </w:r>
      <w:r>
        <w:rPr>
          <w:rFonts w:cs="Calibri"/>
        </w:rPr>
        <w:fldChar w:fldCharType="separate"/>
      </w:r>
      <w:r>
        <w:rPr>
          <w:rFonts w:cs="Calibri"/>
          <w:noProof/>
        </w:rPr>
        <w:t>(IPCC, 2022; Bosomworth, 2018)</w:t>
      </w:r>
      <w:r>
        <w:rPr>
          <w:rFonts w:cs="Calibri"/>
        </w:rPr>
        <w:fldChar w:fldCharType="end"/>
      </w:r>
      <w:r>
        <w:rPr>
          <w:rFonts w:cs="Calibri"/>
        </w:rPr>
        <w:t xml:space="preserve">, combined with increased population putting pressure on resources </w:t>
      </w:r>
      <w:r>
        <w:fldChar w:fldCharType="begin" w:fldLock="1"/>
      </w:r>
      <w:r>
        <w:rPr>
          <w:rFonts w:cs="Calibri"/>
        </w:rPr>
        <w:instrText>ADDIN CSL_CITATION {"citationItems":[{"id":"ITEM-1","itemData":{"author":[{"dropping-particle":"","family":"Robards","given":"James","non-dropping-particle":"","parse-names":false,"suffix":""}],"id":"ITEM-1","issue":"January","issued":{"date-parts":[["2022"]]},"number-of-pages":"1-17","title":"National population projections: 2020-based interim","type":"report"},"uris":["http://www.mendeley.com/documents/?uuid=a5bb5e32-f4b3-4143-8983-97923ccdc14e"]}],"mendeley":{"formattedCitation":"(Robards, 2022)","plainTextFormattedCitation":"(Robards, 2022)","previouslyFormattedCitation":"(Robards, 2022)"},"properties":{"noteIndex":0},"schema":"https://github.com/citation-style-language/schema/raw/master/csl-citation.json"}</w:instrText>
      </w:r>
      <w:r>
        <w:rPr>
          <w:rFonts w:cs="Calibri"/>
        </w:rPr>
        <w:fldChar w:fldCharType="separate"/>
      </w:r>
      <w:r>
        <w:rPr>
          <w:rFonts w:cs="Calibri"/>
          <w:noProof/>
        </w:rPr>
        <w:t>(Robards, 2022)</w:t>
      </w:r>
      <w:r>
        <w:rPr>
          <w:rFonts w:cs="Calibri"/>
        </w:rPr>
        <w:fldChar w:fldCharType="end"/>
      </w:r>
      <w:r>
        <w:rPr>
          <w:rFonts w:cs="Calibri"/>
        </w:rPr>
        <w:t xml:space="preserve">. This suggests that </w:t>
      </w:r>
      <w:r w:rsidR="00C84401">
        <w:rPr>
          <w:rFonts w:cs="Calibri"/>
        </w:rPr>
        <w:t xml:space="preserve">while </w:t>
      </w:r>
      <w:r>
        <w:rPr>
          <w:rFonts w:cs="Calibri"/>
        </w:rPr>
        <w:t>community engagement is more costly and time consuming, it is important to invest in our communities to limit the future challenges that they may face.</w:t>
      </w:r>
    </w:p>
    <w:p w14:paraId="282CBF92" w14:textId="4D31248C" w:rsidR="006E36C4" w:rsidRPr="00A0151B" w:rsidRDefault="006E36C4" w:rsidP="006E36C4">
      <w:bookmarkStart w:id="1139" w:name="_Hlk1615125381"/>
      <w:bookmarkEnd w:id="1139"/>
    </w:p>
    <w:p w14:paraId="74C6C147" w14:textId="77777777" w:rsidR="00596C9A" w:rsidRDefault="00596C9A">
      <w:pPr>
        <w:overflowPunct/>
        <w:spacing w:line="240" w:lineRule="auto"/>
        <w:rPr>
          <w:rFonts w:eastAsia="DengXian Light" w:cs="Calibri"/>
          <w:color w:val="385623"/>
          <w:sz w:val="32"/>
          <w:szCs w:val="32"/>
        </w:rPr>
      </w:pPr>
      <w:r>
        <w:rPr>
          <w:rFonts w:cs="Calibri"/>
        </w:rPr>
        <w:br w:type="page"/>
      </w:r>
    </w:p>
    <w:p w14:paraId="57BE0BE5" w14:textId="07C3920D" w:rsidR="00787F73" w:rsidRDefault="00742FB7" w:rsidP="00866155">
      <w:pPr>
        <w:pStyle w:val="Heading1"/>
        <w:spacing w:before="0"/>
      </w:pPr>
      <w:bookmarkStart w:id="1140" w:name="_Toc193367273"/>
      <w:r>
        <w:rPr>
          <w:rFonts w:ascii="Calibri" w:hAnsi="Calibri" w:cs="Calibri"/>
        </w:rPr>
        <w:lastRenderedPageBreak/>
        <w:t>References</w:t>
      </w:r>
      <w:bookmarkEnd w:id="1140"/>
    </w:p>
    <w:p w14:paraId="5F014DC3" w14:textId="6208E09A" w:rsidR="00596C9A" w:rsidRPr="00596C9A" w:rsidRDefault="00742FB7" w:rsidP="00596C9A">
      <w:pPr>
        <w:widowControl w:val="0"/>
        <w:autoSpaceDE w:val="0"/>
        <w:autoSpaceDN w:val="0"/>
        <w:adjustRightInd w:val="0"/>
        <w:ind w:left="480" w:hanging="480"/>
        <w:rPr>
          <w:rFonts w:cs="Calibri"/>
          <w:noProof/>
        </w:rPr>
      </w:pPr>
      <w:r>
        <w:fldChar w:fldCharType="begin" w:fldLock="1"/>
      </w:r>
      <w:r>
        <w:instrText>ADDIN Mendeley Bibliography CSL_BIBLIOGRAPHY</w:instrText>
      </w:r>
      <w:r>
        <w:fldChar w:fldCharType="separate"/>
      </w:r>
      <w:r w:rsidR="00596C9A" w:rsidRPr="00596C9A">
        <w:rPr>
          <w:rFonts w:cs="Calibri"/>
          <w:noProof/>
        </w:rPr>
        <w:t xml:space="preserve">Abrams, K. M., Wang, Z., Song, Y. J. &amp; Galindo-Gonzalez, S. (2015). Data Richness Trade-Offs Between Face-to-Face, Online Audiovisual, and Online Text-Only Focus Groups. </w:t>
      </w:r>
      <w:r w:rsidR="00596C9A" w:rsidRPr="00596C9A">
        <w:rPr>
          <w:rFonts w:cs="Calibri"/>
          <w:i/>
          <w:iCs/>
          <w:noProof/>
        </w:rPr>
        <w:t>Social Science Computer Review</w:t>
      </w:r>
      <w:r w:rsidR="00596C9A" w:rsidRPr="00596C9A">
        <w:rPr>
          <w:rFonts w:cs="Calibri"/>
          <w:noProof/>
        </w:rPr>
        <w:t>, 33(1), 80–96.</w:t>
      </w:r>
    </w:p>
    <w:p w14:paraId="5011093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Abunyewah, M., Gajendran, T. &amp; Maund, K. (2018). Conceptual Framework for Motivating Actions towards Disaster Preparedness Through Risk Communication. </w:t>
      </w:r>
      <w:r w:rsidRPr="00596C9A">
        <w:rPr>
          <w:rFonts w:cs="Calibri"/>
          <w:i/>
          <w:iCs/>
          <w:noProof/>
        </w:rPr>
        <w:t>Procedia Engineering</w:t>
      </w:r>
      <w:r w:rsidRPr="00596C9A">
        <w:rPr>
          <w:rFonts w:cs="Calibri"/>
          <w:noProof/>
        </w:rPr>
        <w:t>, 212, 246–253.</w:t>
      </w:r>
    </w:p>
    <w:p w14:paraId="389B082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Acar, D. &amp; Kıcali, Ü. Ö. (2022). An Integrated Approach to COVID-19 Preventive Behaviour Intentions: Protection Motivation Theory, Information Acquisition, and Trust. </w:t>
      </w:r>
      <w:r w:rsidRPr="00596C9A">
        <w:rPr>
          <w:rFonts w:cs="Calibri"/>
          <w:i/>
          <w:iCs/>
          <w:noProof/>
        </w:rPr>
        <w:t>Social Work in Public Health</w:t>
      </w:r>
      <w:r w:rsidRPr="00596C9A">
        <w:rPr>
          <w:rFonts w:cs="Calibri"/>
          <w:noProof/>
        </w:rPr>
        <w:t>, 37(5), 419–434.</w:t>
      </w:r>
    </w:p>
    <w:p w14:paraId="2E94881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Acilar, A. &amp; Sæbø, Ø. (2023). Towards Understanding the Gender Digital Divide: A Systematic Literature Review. </w:t>
      </w:r>
      <w:r w:rsidRPr="00596C9A">
        <w:rPr>
          <w:rFonts w:cs="Calibri"/>
          <w:i/>
          <w:iCs/>
          <w:noProof/>
        </w:rPr>
        <w:t>Global Knowledge, Memory and Communication</w:t>
      </w:r>
      <w:r w:rsidRPr="00596C9A">
        <w:rPr>
          <w:rFonts w:cs="Calibri"/>
          <w:noProof/>
        </w:rPr>
        <w:t>, 72(3), 233–249.</w:t>
      </w:r>
    </w:p>
    <w:p w14:paraId="13360F4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Adeoye-Olatunde, O. A. &amp; Olenik, N. L. (2021). Research and Scholarly Methods: Semi-Structured Interviews. </w:t>
      </w:r>
      <w:r w:rsidRPr="00596C9A">
        <w:rPr>
          <w:rFonts w:cs="Calibri"/>
          <w:i/>
          <w:iCs/>
          <w:noProof/>
        </w:rPr>
        <w:t>Journal of the American College of Clinical Pharmacy</w:t>
      </w:r>
      <w:r w:rsidRPr="00596C9A">
        <w:rPr>
          <w:rFonts w:cs="Calibri"/>
          <w:noProof/>
        </w:rPr>
        <w:t>, 4(10), 1358–1367.</w:t>
      </w:r>
    </w:p>
    <w:p w14:paraId="1BF6169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Adger, W. N. (2000). Social and Ecological Resilience: Are They Related? </w:t>
      </w:r>
      <w:r w:rsidRPr="00596C9A">
        <w:rPr>
          <w:rFonts w:cs="Calibri"/>
          <w:i/>
          <w:iCs/>
          <w:noProof/>
        </w:rPr>
        <w:t>Progress in Human Geography</w:t>
      </w:r>
      <w:r w:rsidRPr="00596C9A">
        <w:rPr>
          <w:rFonts w:cs="Calibri"/>
          <w:noProof/>
        </w:rPr>
        <w:t>, 24(3), 347–364.</w:t>
      </w:r>
    </w:p>
    <w:p w14:paraId="4ACCED2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Adger, W. N. (2006). Vulnerability. </w:t>
      </w:r>
      <w:r w:rsidRPr="00596C9A">
        <w:rPr>
          <w:rFonts w:cs="Calibri"/>
          <w:i/>
          <w:iCs/>
          <w:noProof/>
        </w:rPr>
        <w:t>Global Environmental Change</w:t>
      </w:r>
      <w:r w:rsidRPr="00596C9A">
        <w:rPr>
          <w:rFonts w:cs="Calibri"/>
          <w:noProof/>
        </w:rPr>
        <w:t>, 16(3), 268–281.</w:t>
      </w:r>
    </w:p>
    <w:p w14:paraId="32B3C72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Ahmed, W., Bath, P. A. &amp; Demartini, G. (2017). Chapter 4: Using Twitter as a Data Source: An Overview of Ethical, Legal, and Methodological Challenges, in: Kandy Woodfield (Ed.), </w:t>
      </w:r>
      <w:r w:rsidRPr="00596C9A">
        <w:rPr>
          <w:rFonts w:cs="Calibri"/>
          <w:i/>
          <w:iCs/>
          <w:noProof/>
        </w:rPr>
        <w:t>The Ethics of Online Research: Volume 2</w:t>
      </w:r>
      <w:r w:rsidRPr="00596C9A">
        <w:rPr>
          <w:rFonts w:cs="Calibri"/>
          <w:noProof/>
        </w:rPr>
        <w:t>, (pp. 79–107). Bingley: Emerald Publishing Limited.</w:t>
      </w:r>
    </w:p>
    <w:p w14:paraId="35EB8A3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Ajao, O., Hong, J. &amp; Liu, W. (2015). A Survey of Location Inference Techniques on Twitter. </w:t>
      </w:r>
      <w:r w:rsidRPr="00596C9A">
        <w:rPr>
          <w:rFonts w:cs="Calibri"/>
          <w:i/>
          <w:iCs/>
          <w:noProof/>
        </w:rPr>
        <w:t>Journal of Information Science</w:t>
      </w:r>
      <w:r w:rsidRPr="00596C9A">
        <w:rPr>
          <w:rFonts w:cs="Calibri"/>
          <w:noProof/>
        </w:rPr>
        <w:t>, 41(6), 855–864.</w:t>
      </w:r>
    </w:p>
    <w:p w14:paraId="28224D8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Alcock, P. (2016). From Partnership to the Big Society: The Third Sector Policy Regime in the UK. </w:t>
      </w:r>
      <w:r w:rsidRPr="00596C9A">
        <w:rPr>
          <w:rFonts w:cs="Calibri"/>
          <w:i/>
          <w:iCs/>
          <w:noProof/>
        </w:rPr>
        <w:t>Nonprofit Policy Forum</w:t>
      </w:r>
      <w:r w:rsidRPr="00596C9A">
        <w:rPr>
          <w:rFonts w:cs="Calibri"/>
          <w:noProof/>
        </w:rPr>
        <w:t>, 7(2), 95–116.</w:t>
      </w:r>
    </w:p>
    <w:p w14:paraId="4704FCF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Alvesson, M. &amp; Spicer, A. (2018). Neo-Institutional Theory and Organization Studies: A Mid-Life Crisis? </w:t>
      </w:r>
      <w:r w:rsidRPr="00596C9A">
        <w:rPr>
          <w:rFonts w:cs="Calibri"/>
          <w:i/>
          <w:iCs/>
          <w:noProof/>
        </w:rPr>
        <w:t>Organization Studies</w:t>
      </w:r>
      <w:r w:rsidRPr="00596C9A">
        <w:rPr>
          <w:rFonts w:cs="Calibri"/>
          <w:noProof/>
        </w:rPr>
        <w:t>, 40(2), 199–218.</w:t>
      </w:r>
    </w:p>
    <w:p w14:paraId="2568C60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Anderson-Gough, F., Edgley, C., Robson, K. &amp; Sharma, N. (2022). Organizational Responses to Multiple Logics: Diversity, Identity and the Professional Service Firm. </w:t>
      </w:r>
      <w:r w:rsidRPr="00596C9A">
        <w:rPr>
          <w:rFonts w:cs="Calibri"/>
          <w:i/>
          <w:iCs/>
          <w:noProof/>
        </w:rPr>
        <w:t>Accounting, Organizations and Society</w:t>
      </w:r>
      <w:r w:rsidRPr="00596C9A">
        <w:rPr>
          <w:rFonts w:cs="Calibri"/>
          <w:noProof/>
        </w:rPr>
        <w:t>, 103, 1–21.</w:t>
      </w:r>
    </w:p>
    <w:p w14:paraId="3F80D20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lastRenderedPageBreak/>
        <w:t xml:space="preserve">Andrews, R. (2010). The Impact of Modernisation on Fire Authority Performance: An Empirical Evaluation. </w:t>
      </w:r>
      <w:r w:rsidRPr="00596C9A">
        <w:rPr>
          <w:rFonts w:cs="Calibri"/>
          <w:i/>
          <w:iCs/>
          <w:noProof/>
        </w:rPr>
        <w:t>Policy and politics</w:t>
      </w:r>
      <w:r w:rsidRPr="00596C9A">
        <w:rPr>
          <w:rFonts w:cs="Calibri"/>
          <w:noProof/>
        </w:rPr>
        <w:t>, 38(4), 599–617.</w:t>
      </w:r>
    </w:p>
    <w:p w14:paraId="4C06433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Anson, S., Watson, H., Wadhwa, K. &amp; Metz, K. (2017). Analysing Social Media Data for Disaster Preparedness: Understanding the Opportunities and Barriers Faced by Humanitarian Actors. </w:t>
      </w:r>
      <w:r w:rsidRPr="00596C9A">
        <w:rPr>
          <w:rFonts w:cs="Calibri"/>
          <w:i/>
          <w:iCs/>
          <w:noProof/>
        </w:rPr>
        <w:t>International Journal of Disaster Risk Reduction</w:t>
      </w:r>
      <w:r w:rsidRPr="00596C9A">
        <w:rPr>
          <w:rFonts w:cs="Calibri"/>
          <w:noProof/>
        </w:rPr>
        <w:t>, 21, 131–139.</w:t>
      </w:r>
    </w:p>
    <w:p w14:paraId="274C70D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Arayankalam, J., Krishnan, S., Ractham, P. &amp; Papa, A. (2023). Social Media as an Amplifier or Attenuator: How Does Social Media Diffusion Shape the Influence of Culture on Subjective Well-Being. </w:t>
      </w:r>
      <w:r w:rsidRPr="00596C9A">
        <w:rPr>
          <w:rFonts w:cs="Calibri"/>
          <w:i/>
          <w:iCs/>
          <w:noProof/>
        </w:rPr>
        <w:t>IEEE Transactions on Engineering Management</w:t>
      </w:r>
      <w:r w:rsidRPr="00596C9A">
        <w:rPr>
          <w:rFonts w:cs="Calibri"/>
          <w:noProof/>
        </w:rPr>
        <w:t>, 1–17.</w:t>
      </w:r>
    </w:p>
    <w:p w14:paraId="3A90B66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Arnstein, S. R. (1969). A Ladder Of Citizen Participation. </w:t>
      </w:r>
      <w:r w:rsidRPr="00596C9A">
        <w:rPr>
          <w:rFonts w:cs="Calibri"/>
          <w:i/>
          <w:iCs/>
          <w:noProof/>
        </w:rPr>
        <w:t>Journal of the American Institute of Planners</w:t>
      </w:r>
      <w:r w:rsidRPr="00596C9A">
        <w:rPr>
          <w:rFonts w:cs="Calibri"/>
          <w:noProof/>
        </w:rPr>
        <w:t>, 35(4), 216–224.</w:t>
      </w:r>
    </w:p>
    <w:p w14:paraId="5CB1606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Attems, M. S., Thaler, T., Genovese, E. &amp; Fuchs, S. (2020). Implementation of Property-Level Flood Risk Adaptation (PLFRA) Measures: Choices and Decisions. </w:t>
      </w:r>
      <w:r w:rsidRPr="00596C9A">
        <w:rPr>
          <w:rFonts w:cs="Calibri"/>
          <w:i/>
          <w:iCs/>
          <w:noProof/>
        </w:rPr>
        <w:t>Wiley Interdisciplinary Reviews: Water</w:t>
      </w:r>
      <w:r w:rsidRPr="00596C9A">
        <w:rPr>
          <w:rFonts w:cs="Calibri"/>
          <w:noProof/>
        </w:rPr>
        <w:t>, 7(1), 1–19.</w:t>
      </w:r>
    </w:p>
    <w:p w14:paraId="1BCC665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Babcicky, P. &amp; Seebauer, S. (2019). Unpacking Protection Motivation Theory: Evidence for a Separate Protective and Non-Protective Route in Private Flood Mitigation Behavior. </w:t>
      </w:r>
      <w:r w:rsidRPr="00596C9A">
        <w:rPr>
          <w:rFonts w:cs="Calibri"/>
          <w:i/>
          <w:iCs/>
          <w:noProof/>
        </w:rPr>
        <w:t>Journal of Risk Research</w:t>
      </w:r>
      <w:r w:rsidRPr="00596C9A">
        <w:rPr>
          <w:rFonts w:cs="Calibri"/>
          <w:noProof/>
        </w:rPr>
        <w:t>, 22(12), 1503–1521.</w:t>
      </w:r>
    </w:p>
    <w:p w14:paraId="0B7E514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Baggio, J. A., Brown, K. &amp; Hellebrandt, D. (2015). Boundary Object or Bridging Concept? A Citation Network Analysis of Resilience. </w:t>
      </w:r>
      <w:r w:rsidRPr="00596C9A">
        <w:rPr>
          <w:rFonts w:cs="Calibri"/>
          <w:i/>
          <w:iCs/>
          <w:noProof/>
        </w:rPr>
        <w:t>Ecology and Society</w:t>
      </w:r>
      <w:r w:rsidRPr="00596C9A">
        <w:rPr>
          <w:rFonts w:cs="Calibri"/>
          <w:noProof/>
        </w:rPr>
        <w:t>, 20(2), 1–12.</w:t>
      </w:r>
    </w:p>
    <w:p w14:paraId="07FFC89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Bagnoli, A. &amp; Clark, A. (2010). Focus Groups with Young People: A Participatory Approach to Research Planning. </w:t>
      </w:r>
      <w:r w:rsidRPr="00596C9A">
        <w:rPr>
          <w:rFonts w:cs="Calibri"/>
          <w:i/>
          <w:iCs/>
          <w:noProof/>
        </w:rPr>
        <w:t>Journal of Youth Studies</w:t>
      </w:r>
      <w:r w:rsidRPr="00596C9A">
        <w:rPr>
          <w:rFonts w:cs="Calibri"/>
          <w:noProof/>
        </w:rPr>
        <w:t>, 13(1), 101–119.</w:t>
      </w:r>
    </w:p>
    <w:p w14:paraId="7ABEEF2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Bailenson, J. N. (2021). Nonverbal Overload: A Theoretical Argument for the Causes of Zoom Fatigue. </w:t>
      </w:r>
      <w:r w:rsidRPr="00596C9A">
        <w:rPr>
          <w:rFonts w:cs="Calibri"/>
          <w:i/>
          <w:iCs/>
          <w:noProof/>
        </w:rPr>
        <w:t>Technology, Mind, and Behavior</w:t>
      </w:r>
      <w:r w:rsidRPr="00596C9A">
        <w:rPr>
          <w:rFonts w:cs="Calibri"/>
          <w:noProof/>
        </w:rPr>
        <w:t>, 2(1), 1–6.</w:t>
      </w:r>
    </w:p>
    <w:p w14:paraId="09E9315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Bain, G., Lyons., M. &amp; Young, A. (2002). </w:t>
      </w:r>
      <w:r w:rsidRPr="00596C9A">
        <w:rPr>
          <w:rFonts w:cs="Calibri"/>
          <w:i/>
          <w:iCs/>
          <w:noProof/>
        </w:rPr>
        <w:t>The Future of the Fire Service: Reducing Risk , Saving Lives</w:t>
      </w:r>
      <w:r w:rsidRPr="00596C9A">
        <w:rPr>
          <w:rFonts w:cs="Calibri"/>
          <w:noProof/>
        </w:rPr>
        <w:t>. London.</w:t>
      </w:r>
    </w:p>
    <w:p w14:paraId="5215A00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Baker, C., Ferguson, D., Brown, J. &amp; Barber, S. (2021). Lockdown Laws in England: One Year On. </w:t>
      </w:r>
      <w:r w:rsidRPr="00596C9A">
        <w:rPr>
          <w:rFonts w:cs="Calibri"/>
          <w:i/>
          <w:iCs/>
          <w:noProof/>
        </w:rPr>
        <w:t>House of Commons Library</w:t>
      </w:r>
      <w:r w:rsidRPr="00596C9A">
        <w:rPr>
          <w:rFonts w:cs="Calibri"/>
          <w:noProof/>
        </w:rPr>
        <w:t>. Retrieved March 28, 2024, from https://commonslibrary.parliament.uk/lockdown-laws-in-england-one-year-on/</w:t>
      </w:r>
    </w:p>
    <w:p w14:paraId="22A82D5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Balog-Way, D., McComas, K. &amp; Besley, J. (2020). The Evolving Field of Risk Communication. </w:t>
      </w:r>
      <w:r w:rsidRPr="00596C9A">
        <w:rPr>
          <w:rFonts w:cs="Calibri"/>
          <w:i/>
          <w:iCs/>
          <w:noProof/>
        </w:rPr>
        <w:t>Risk Analysis</w:t>
      </w:r>
      <w:r w:rsidRPr="00596C9A">
        <w:rPr>
          <w:rFonts w:cs="Calibri"/>
          <w:noProof/>
        </w:rPr>
        <w:t>, 40(S1), 2240–2262.</w:t>
      </w:r>
    </w:p>
    <w:p w14:paraId="28DF45E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Barge, J. K. &amp; Shockley-Zalabak, P. (2008). Engaged Scholarship and the Creation of Useful Organizational Knowledge. </w:t>
      </w:r>
      <w:r w:rsidRPr="00596C9A">
        <w:rPr>
          <w:rFonts w:cs="Calibri"/>
          <w:i/>
          <w:iCs/>
          <w:noProof/>
        </w:rPr>
        <w:t>Journal of Applied Communication Research</w:t>
      </w:r>
      <w:r w:rsidRPr="00596C9A">
        <w:rPr>
          <w:rFonts w:cs="Calibri"/>
          <w:noProof/>
        </w:rPr>
        <w:t>, 36(3), 251–265.</w:t>
      </w:r>
    </w:p>
    <w:p w14:paraId="188A9C9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lastRenderedPageBreak/>
        <w:t xml:space="preserve">Barry, A. &amp; Born, G. (2013). Interdisciplinarity, in: Barry, A. and Born, G. (Eds.), </w:t>
      </w:r>
      <w:r w:rsidRPr="00596C9A">
        <w:rPr>
          <w:rFonts w:cs="Calibri"/>
          <w:i/>
          <w:iCs/>
          <w:noProof/>
        </w:rPr>
        <w:t>Interdisciplinarity: Reconfigurations of the social and natural sciences</w:t>
      </w:r>
      <w:r w:rsidRPr="00596C9A">
        <w:rPr>
          <w:rFonts w:cs="Calibri"/>
          <w:noProof/>
        </w:rPr>
        <w:t>. Abingdon: Routledge.</w:t>
      </w:r>
    </w:p>
    <w:p w14:paraId="18A5501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Baumeister, R. F. &amp; Leary, M. R. (1997). Writing Narrative Literature Reviews. </w:t>
      </w:r>
      <w:r w:rsidRPr="00596C9A">
        <w:rPr>
          <w:rFonts w:cs="Calibri"/>
          <w:i/>
          <w:iCs/>
          <w:noProof/>
        </w:rPr>
        <w:t>Review of General Psychology</w:t>
      </w:r>
      <w:r w:rsidRPr="00596C9A">
        <w:rPr>
          <w:rFonts w:cs="Calibri"/>
          <w:noProof/>
        </w:rPr>
        <w:t>, 1(3), 311–320.</w:t>
      </w:r>
    </w:p>
    <w:p w14:paraId="18FEBEB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Baym, N. K. (2015). </w:t>
      </w:r>
      <w:r w:rsidRPr="00596C9A">
        <w:rPr>
          <w:rFonts w:cs="Calibri"/>
          <w:i/>
          <w:iCs/>
          <w:noProof/>
        </w:rPr>
        <w:t>Personal Connections in the Digital Age</w:t>
      </w:r>
      <w:r w:rsidRPr="00596C9A">
        <w:rPr>
          <w:rFonts w:cs="Calibri"/>
          <w:noProof/>
        </w:rPr>
        <w:t>. Cambridge: Polity Press.</w:t>
      </w:r>
    </w:p>
    <w:p w14:paraId="7FE7B1C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Bechara, J. P. &amp; Van De Ven, A. H. (2007). Philosophy of Science Underlying Engaged Scholarship*, in: Van De Ven, A. H. (Ed.), </w:t>
      </w:r>
      <w:r w:rsidRPr="00596C9A">
        <w:rPr>
          <w:rFonts w:cs="Calibri"/>
          <w:i/>
          <w:iCs/>
          <w:noProof/>
        </w:rPr>
        <w:t>Engaged Scholarship: A Guide for Organizational and Social Research</w:t>
      </w:r>
      <w:r w:rsidRPr="00596C9A">
        <w:rPr>
          <w:rFonts w:cs="Calibri"/>
          <w:noProof/>
        </w:rPr>
        <w:t>, (pp. 36–70). Oxford: Oxford University Press.</w:t>
      </w:r>
    </w:p>
    <w:p w14:paraId="769BC85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Benish, A. (2020). The Logics of Hybrid Accountability: When the State, the Market, and Professionalism Interact. </w:t>
      </w:r>
      <w:r w:rsidRPr="00596C9A">
        <w:rPr>
          <w:rFonts w:cs="Calibri"/>
          <w:i/>
          <w:iCs/>
          <w:noProof/>
        </w:rPr>
        <w:t>Annals of the American Academy of Political and Social Science</w:t>
      </w:r>
      <w:r w:rsidRPr="00596C9A">
        <w:rPr>
          <w:rFonts w:cs="Calibri"/>
          <w:noProof/>
        </w:rPr>
        <w:t>, 691(1), 295–310.</w:t>
      </w:r>
    </w:p>
    <w:p w14:paraId="5162133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Bennett, W. L. &amp; Manheim, J. B. (2006). The One-Step Flow of Communication. </w:t>
      </w:r>
      <w:r w:rsidRPr="00596C9A">
        <w:rPr>
          <w:rFonts w:cs="Calibri"/>
          <w:i/>
          <w:iCs/>
          <w:noProof/>
        </w:rPr>
        <w:t>The Annals Of The American Academy</w:t>
      </w:r>
      <w:r w:rsidRPr="00596C9A">
        <w:rPr>
          <w:rFonts w:cs="Calibri"/>
          <w:noProof/>
        </w:rPr>
        <w:t>, 608(1), 213–232.</w:t>
      </w:r>
    </w:p>
    <w:p w14:paraId="3A87FBD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Bennett, W. L. &amp; Segerberg, A. (2012). The Logic of Connective Action. </w:t>
      </w:r>
      <w:r w:rsidRPr="00596C9A">
        <w:rPr>
          <w:rFonts w:cs="Calibri"/>
          <w:i/>
          <w:iCs/>
          <w:noProof/>
        </w:rPr>
        <w:t>Information, Communication &amp; Society</w:t>
      </w:r>
      <w:r w:rsidRPr="00596C9A">
        <w:rPr>
          <w:rFonts w:cs="Calibri"/>
          <w:noProof/>
        </w:rPr>
        <w:t>, 15(5), 739–768.</w:t>
      </w:r>
    </w:p>
    <w:p w14:paraId="0DD4952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Berkes, F. &amp; Ross, H. (2013). Community Resilience: Toward an Integrated Approach. </w:t>
      </w:r>
      <w:r w:rsidRPr="00596C9A">
        <w:rPr>
          <w:rFonts w:cs="Calibri"/>
          <w:i/>
          <w:iCs/>
          <w:noProof/>
        </w:rPr>
        <w:t>Society and Natural Resources</w:t>
      </w:r>
      <w:r w:rsidRPr="00596C9A">
        <w:rPr>
          <w:rFonts w:cs="Calibri"/>
          <w:noProof/>
        </w:rPr>
        <w:t>, 26(1), 5–20.</w:t>
      </w:r>
    </w:p>
    <w:p w14:paraId="2F6A1E2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Besharov, M. L. &amp; Smith, W. K. (2014). Multiple Institutional Logics In Organizations: Explaining Their Varied Nature And Implications. </w:t>
      </w:r>
      <w:r w:rsidRPr="00596C9A">
        <w:rPr>
          <w:rFonts w:cs="Calibri"/>
          <w:i/>
          <w:iCs/>
          <w:noProof/>
        </w:rPr>
        <w:t>The Academy of Management Review</w:t>
      </w:r>
      <w:r w:rsidRPr="00596C9A">
        <w:rPr>
          <w:rFonts w:cs="Calibri"/>
          <w:noProof/>
        </w:rPr>
        <w:t>, 39(3), 364–381.</w:t>
      </w:r>
    </w:p>
    <w:p w14:paraId="1512BD9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Best, P., Manktelow, R. &amp; Taylor, B. (2014). Online Communication, Social Media and Adolescent Wellbeing: A Systematic Narrative Review. </w:t>
      </w:r>
      <w:r w:rsidRPr="00596C9A">
        <w:rPr>
          <w:rFonts w:cs="Calibri"/>
          <w:i/>
          <w:iCs/>
          <w:noProof/>
        </w:rPr>
        <w:t>Children and Youth Services Review</w:t>
      </w:r>
      <w:r w:rsidRPr="00596C9A">
        <w:rPr>
          <w:rFonts w:cs="Calibri"/>
          <w:noProof/>
        </w:rPr>
        <w:t>, 41, 27–36.</w:t>
      </w:r>
    </w:p>
    <w:p w14:paraId="0B002F6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Bhamra, R., Dani, S. &amp; Burnard, K. (2011). Resilience: The Concept, a Literature Review and Future Directions. </w:t>
      </w:r>
      <w:r w:rsidRPr="00596C9A">
        <w:rPr>
          <w:rFonts w:cs="Calibri"/>
          <w:i/>
          <w:iCs/>
          <w:noProof/>
        </w:rPr>
        <w:t>International Journal of Production Research</w:t>
      </w:r>
      <w:r w:rsidRPr="00596C9A">
        <w:rPr>
          <w:rFonts w:cs="Calibri"/>
          <w:noProof/>
        </w:rPr>
        <w:t>, 49(18), 5375–5393.</w:t>
      </w:r>
    </w:p>
    <w:p w14:paraId="2126A12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Bharosa, N., Lee, J. &amp; Janssen, M. (2010). Challenges and Obstacles in Sharing and Coordinating Information during Multi-Agency Disaster Response: Propositions from Field Exercises. </w:t>
      </w:r>
      <w:r w:rsidRPr="00596C9A">
        <w:rPr>
          <w:rFonts w:cs="Calibri"/>
          <w:i/>
          <w:iCs/>
          <w:noProof/>
        </w:rPr>
        <w:t>Information Systems Frontiers</w:t>
      </w:r>
      <w:r w:rsidRPr="00596C9A">
        <w:rPr>
          <w:rFonts w:cs="Calibri"/>
          <w:noProof/>
        </w:rPr>
        <w:t>, 12, 49–65.</w:t>
      </w:r>
    </w:p>
    <w:p w14:paraId="6201849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Billo, E. &amp; Mountz, A. (2016). For Institutional Ethnography: Geographical Approaches to Institutions and the Everyday. </w:t>
      </w:r>
      <w:r w:rsidRPr="00596C9A">
        <w:rPr>
          <w:rFonts w:cs="Calibri"/>
          <w:i/>
          <w:iCs/>
          <w:noProof/>
        </w:rPr>
        <w:t>Progress in Human Geography</w:t>
      </w:r>
      <w:r w:rsidRPr="00596C9A">
        <w:rPr>
          <w:rFonts w:cs="Calibri"/>
          <w:noProof/>
        </w:rPr>
        <w:t>, 40(2), 199–220.</w:t>
      </w:r>
    </w:p>
    <w:p w14:paraId="6F47DDB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Bineham, J. L. (1988). A Historical Account Of The Hypodermic Model In Mass </w:t>
      </w:r>
      <w:r w:rsidRPr="00596C9A">
        <w:rPr>
          <w:rFonts w:cs="Calibri"/>
          <w:noProof/>
        </w:rPr>
        <w:lastRenderedPageBreak/>
        <w:t xml:space="preserve">Communication. </w:t>
      </w:r>
      <w:r w:rsidRPr="00596C9A">
        <w:rPr>
          <w:rFonts w:cs="Calibri"/>
          <w:i/>
          <w:iCs/>
          <w:noProof/>
        </w:rPr>
        <w:t>Communication Monographs</w:t>
      </w:r>
      <w:r w:rsidRPr="00596C9A">
        <w:rPr>
          <w:rFonts w:cs="Calibri"/>
          <w:noProof/>
        </w:rPr>
        <w:t>, 55(3), 230–246.</w:t>
      </w:r>
    </w:p>
    <w:p w14:paraId="33114E9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Bodoque, J. M., Díez-Herrero, A., Amerigo, M., García, J. A. &amp; Olcina, J. (2019). Enhancing Flash Flood Risk Perception and Awareness of Mitigation Actions through Risk Communication: A Pre-Post Survey Design. </w:t>
      </w:r>
      <w:r w:rsidRPr="00596C9A">
        <w:rPr>
          <w:rFonts w:cs="Calibri"/>
          <w:i/>
          <w:iCs/>
          <w:noProof/>
        </w:rPr>
        <w:t>Journal of Hydrology</w:t>
      </w:r>
      <w:r w:rsidRPr="00596C9A">
        <w:rPr>
          <w:rFonts w:cs="Calibri"/>
          <w:noProof/>
        </w:rPr>
        <w:t>, 568, 769–779.</w:t>
      </w:r>
    </w:p>
    <w:p w14:paraId="3A007E4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Bosher, L., Chmutina, K. &amp; van Niekerk, D. (2021). Stop Going around in Circles: Towards a Reconceptualisation of Disaster Risk Management Phases. </w:t>
      </w:r>
      <w:r w:rsidRPr="00596C9A">
        <w:rPr>
          <w:rFonts w:cs="Calibri"/>
          <w:i/>
          <w:iCs/>
          <w:noProof/>
        </w:rPr>
        <w:t>Disaster Prevention and Management: An International Journal</w:t>
      </w:r>
      <w:r w:rsidRPr="00596C9A">
        <w:rPr>
          <w:rFonts w:cs="Calibri"/>
          <w:noProof/>
        </w:rPr>
        <w:t>, 30(4–5), 525–537.</w:t>
      </w:r>
    </w:p>
    <w:p w14:paraId="3FF91C9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Bosomworth, K. (2018). A Discursive–Institutional Perspective on Transformative Governance: A Case from a Fire Management Policy Sector. </w:t>
      </w:r>
      <w:r w:rsidRPr="00596C9A">
        <w:rPr>
          <w:rFonts w:cs="Calibri"/>
          <w:i/>
          <w:iCs/>
          <w:noProof/>
        </w:rPr>
        <w:t>Environmental Policy and Governance</w:t>
      </w:r>
      <w:r w:rsidRPr="00596C9A">
        <w:rPr>
          <w:rFonts w:cs="Calibri"/>
          <w:noProof/>
        </w:rPr>
        <w:t>, 28(6), 415–425.</w:t>
      </w:r>
    </w:p>
    <w:p w14:paraId="52CAD2E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boyd, D. (2014). </w:t>
      </w:r>
      <w:r w:rsidRPr="00596C9A">
        <w:rPr>
          <w:rFonts w:cs="Calibri"/>
          <w:i/>
          <w:iCs/>
          <w:noProof/>
        </w:rPr>
        <w:t>It’s Complicated: The Social Lives of Networked Teens</w:t>
      </w:r>
      <w:r w:rsidRPr="00596C9A">
        <w:rPr>
          <w:rFonts w:cs="Calibri"/>
          <w:noProof/>
        </w:rPr>
        <w:t>. New Haven: Yale University Press.</w:t>
      </w:r>
    </w:p>
    <w:p w14:paraId="4A09C00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Brand, F. S. &amp; Jax, K. (2007). Focusing the Meaning(s) of Resilience: Resilience as a Descriptive Concept and a Boundary Object. </w:t>
      </w:r>
      <w:r w:rsidRPr="00596C9A">
        <w:rPr>
          <w:rFonts w:cs="Calibri"/>
          <w:i/>
          <w:iCs/>
          <w:noProof/>
        </w:rPr>
        <w:t>Ecology and Society</w:t>
      </w:r>
      <w:r w:rsidRPr="00596C9A">
        <w:rPr>
          <w:rFonts w:cs="Calibri"/>
          <w:noProof/>
        </w:rPr>
        <w:t>, 12(1), 1–16.</w:t>
      </w:r>
    </w:p>
    <w:p w14:paraId="7318E41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Braun, V. &amp; Clarke, V. (2021a). To Saturate or Not to Saturate? Questioning Data Saturation as a Useful Concept for Thematic Analysis and Sample-Size Rationales. </w:t>
      </w:r>
      <w:r w:rsidRPr="00596C9A">
        <w:rPr>
          <w:rFonts w:cs="Calibri"/>
          <w:i/>
          <w:iCs/>
          <w:noProof/>
        </w:rPr>
        <w:t>Qualitative Research in Sport, Exercise and Health</w:t>
      </w:r>
      <w:r w:rsidRPr="00596C9A">
        <w:rPr>
          <w:rFonts w:cs="Calibri"/>
          <w:noProof/>
        </w:rPr>
        <w:t>, 13(2), 201–216.</w:t>
      </w:r>
    </w:p>
    <w:p w14:paraId="1CF464B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Braun, V. &amp; Clarke, V. (2021b). One Size Fits All? What Counts as Quality Practice in (Reflexive) Thematic Analysis? </w:t>
      </w:r>
      <w:r w:rsidRPr="00596C9A">
        <w:rPr>
          <w:rFonts w:cs="Calibri"/>
          <w:i/>
          <w:iCs/>
          <w:noProof/>
        </w:rPr>
        <w:t>Qualitative Research in Psychology</w:t>
      </w:r>
      <w:r w:rsidRPr="00596C9A">
        <w:rPr>
          <w:rFonts w:cs="Calibri"/>
          <w:noProof/>
        </w:rPr>
        <w:t>, 18(3), 328–352.</w:t>
      </w:r>
    </w:p>
    <w:p w14:paraId="66C85FE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Braun, V. &amp; Clarke, V. (2023). Toward Good Practice in Thematic Analysis: Avoiding Common Problems and Be(Com)Ing a Knowing Researcher. </w:t>
      </w:r>
      <w:r w:rsidRPr="00596C9A">
        <w:rPr>
          <w:rFonts w:cs="Calibri"/>
          <w:i/>
          <w:iCs/>
          <w:noProof/>
        </w:rPr>
        <w:t>International Journal of Transgender Health</w:t>
      </w:r>
      <w:r w:rsidRPr="00596C9A">
        <w:rPr>
          <w:rFonts w:cs="Calibri"/>
          <w:noProof/>
        </w:rPr>
        <w:t>, 24(1), 1–6.</w:t>
      </w:r>
    </w:p>
    <w:p w14:paraId="3012F25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Braun, V., Clarke, V., Hayfield, N. &amp; Terry, G. (2018). Thematic Analysis, in: Liamputtong, P. (Ed.), </w:t>
      </w:r>
      <w:r w:rsidRPr="00596C9A">
        <w:rPr>
          <w:rFonts w:cs="Calibri"/>
          <w:i/>
          <w:iCs/>
          <w:noProof/>
        </w:rPr>
        <w:t>Handbook of Research Methods in Health Social Sciences</w:t>
      </w:r>
      <w:r w:rsidRPr="00596C9A">
        <w:rPr>
          <w:rFonts w:cs="Calibri"/>
          <w:noProof/>
        </w:rPr>
        <w:t>, (pp. 1–18). Singapore: Springer.</w:t>
      </w:r>
    </w:p>
    <w:p w14:paraId="61E79E8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Breitbart, E. W., Greinert, R. &amp; Volkmer, B. (2006). Effectiveness of Information Campaigns. </w:t>
      </w:r>
      <w:r w:rsidRPr="00596C9A">
        <w:rPr>
          <w:rFonts w:cs="Calibri"/>
          <w:i/>
          <w:iCs/>
          <w:noProof/>
        </w:rPr>
        <w:t>Progress in Biophysics and Molecular Biology</w:t>
      </w:r>
      <w:r w:rsidRPr="00596C9A">
        <w:rPr>
          <w:rFonts w:cs="Calibri"/>
          <w:noProof/>
        </w:rPr>
        <w:t>, 92(1), 167–172.</w:t>
      </w:r>
    </w:p>
    <w:p w14:paraId="0DB9F10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Breslin, D., Burkitt, M., Dobson, S. &amp; Romano, D. (2016). Modelling Connectivity and Co-Evolution : The ‘ Premonition ’ Study of Domestic Fire Risk Behaviours, in: </w:t>
      </w:r>
      <w:r w:rsidRPr="00596C9A">
        <w:rPr>
          <w:rFonts w:cs="Calibri"/>
          <w:i/>
          <w:iCs/>
          <w:noProof/>
        </w:rPr>
        <w:t>European Academy of Management Conference</w:t>
      </w:r>
      <w:r w:rsidRPr="00596C9A">
        <w:rPr>
          <w:rFonts w:cs="Calibri"/>
          <w:noProof/>
        </w:rPr>
        <w:t>, (pp. 1–16). Paris: European Academy of Management Conference.</w:t>
      </w:r>
    </w:p>
    <w:p w14:paraId="316115D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Bridle, H., Vrieling, A., Cardillo, M., Araya, Y. &amp; Hinojosa, L. (2013). Preparing for an </w:t>
      </w:r>
      <w:r w:rsidRPr="00596C9A">
        <w:rPr>
          <w:rFonts w:cs="Calibri"/>
          <w:noProof/>
        </w:rPr>
        <w:lastRenderedPageBreak/>
        <w:t xml:space="preserve">Interdisciplinary Future: A Perspective from Early-Career Researchers. </w:t>
      </w:r>
      <w:r w:rsidRPr="00596C9A">
        <w:rPr>
          <w:rFonts w:cs="Calibri"/>
          <w:i/>
          <w:iCs/>
          <w:noProof/>
        </w:rPr>
        <w:t>Futures</w:t>
      </w:r>
      <w:r w:rsidRPr="00596C9A">
        <w:rPr>
          <w:rFonts w:cs="Calibri"/>
          <w:noProof/>
        </w:rPr>
        <w:t>, 53, 22–32.</w:t>
      </w:r>
    </w:p>
    <w:p w14:paraId="748F2FE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British Psychological Society. (2017). </w:t>
      </w:r>
      <w:r w:rsidRPr="00596C9A">
        <w:rPr>
          <w:rFonts w:cs="Calibri"/>
          <w:i/>
          <w:iCs/>
          <w:noProof/>
        </w:rPr>
        <w:t>Ethics Guidelines for Internet-Mediated Research</w:t>
      </w:r>
      <w:r w:rsidRPr="00596C9A">
        <w:rPr>
          <w:rFonts w:cs="Calibri"/>
          <w:noProof/>
        </w:rPr>
        <w:t>. Leicester.</w:t>
      </w:r>
    </w:p>
    <w:p w14:paraId="342D41C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Britt, B. C., Britt, R. K., Anderson, J., Fahrenwald, N. &amp; Harming, S. (2022). Finding the Invisible Leader: When A Priori Opinion Leader Identification Is Impossible. </w:t>
      </w:r>
      <w:r w:rsidRPr="00596C9A">
        <w:rPr>
          <w:rFonts w:cs="Calibri"/>
          <w:i/>
          <w:iCs/>
          <w:noProof/>
        </w:rPr>
        <w:t>Communication Reports</w:t>
      </w:r>
      <w:r w:rsidRPr="00596C9A">
        <w:rPr>
          <w:rFonts w:cs="Calibri"/>
          <w:noProof/>
        </w:rPr>
        <w:t>, 35(1), 38–52.</w:t>
      </w:r>
    </w:p>
    <w:p w14:paraId="4741443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Broadhead, R. S. &amp; Rist, R. C. (1976). Gatekeepers and the Social Control of Social Research. </w:t>
      </w:r>
      <w:r w:rsidRPr="00596C9A">
        <w:rPr>
          <w:rFonts w:cs="Calibri"/>
          <w:i/>
          <w:iCs/>
          <w:noProof/>
        </w:rPr>
        <w:t>Social Problems</w:t>
      </w:r>
      <w:r w:rsidRPr="00596C9A">
        <w:rPr>
          <w:rFonts w:cs="Calibri"/>
          <w:noProof/>
        </w:rPr>
        <w:t>, 23(3), 325–336.</w:t>
      </w:r>
    </w:p>
    <w:p w14:paraId="2DE1B78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Broto, V. C., Gislason, M. &amp; Ehlers, M. H. (2009). Practising Interdisciplinarity in the Interplay between Disciplines: Experiences of Established Researchers. </w:t>
      </w:r>
      <w:r w:rsidRPr="00596C9A">
        <w:rPr>
          <w:rFonts w:cs="Calibri"/>
          <w:i/>
          <w:iCs/>
          <w:noProof/>
        </w:rPr>
        <w:t>Environmental Science and Policy</w:t>
      </w:r>
      <w:r w:rsidRPr="00596C9A">
        <w:rPr>
          <w:rFonts w:cs="Calibri"/>
          <w:noProof/>
        </w:rPr>
        <w:t>, 12(7), 922–933.</w:t>
      </w:r>
    </w:p>
    <w:p w14:paraId="474BC5C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Bruns, A. (2008). The Key Characteristics of Produsage, in: </w:t>
      </w:r>
      <w:r w:rsidRPr="00596C9A">
        <w:rPr>
          <w:rFonts w:cs="Calibri"/>
          <w:i/>
          <w:iCs/>
          <w:noProof/>
        </w:rPr>
        <w:t>Blogs, Wikipedia, Second life, and Beyond: from production to produsage</w:t>
      </w:r>
      <w:r w:rsidRPr="00596C9A">
        <w:rPr>
          <w:rFonts w:cs="Calibri"/>
          <w:noProof/>
        </w:rPr>
        <w:t>, (pp. 9–36). Peter Lang.</w:t>
      </w:r>
    </w:p>
    <w:p w14:paraId="40EF8BE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Bruton, G. D., Ahlstrom, D. &amp; Li, H. L. (2010). Institutional Theory and Entrepreneurship: Where Are We Now and Where Do We Need to Move in the Future? </w:t>
      </w:r>
      <w:r w:rsidRPr="00596C9A">
        <w:rPr>
          <w:rFonts w:cs="Calibri"/>
          <w:i/>
          <w:iCs/>
          <w:noProof/>
        </w:rPr>
        <w:t>Entrepreneurship: Theory and Practice</w:t>
      </w:r>
      <w:r w:rsidRPr="00596C9A">
        <w:rPr>
          <w:rFonts w:cs="Calibri"/>
          <w:noProof/>
        </w:rPr>
        <w:t>, 34(3), 421–440.</w:t>
      </w:r>
    </w:p>
    <w:p w14:paraId="40D62B1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Bryman, A. (2016). </w:t>
      </w:r>
      <w:r w:rsidRPr="00596C9A">
        <w:rPr>
          <w:rFonts w:cs="Calibri"/>
          <w:i/>
          <w:iCs/>
          <w:noProof/>
        </w:rPr>
        <w:t>Social Research Methods</w:t>
      </w:r>
      <w:r w:rsidRPr="00596C9A">
        <w:rPr>
          <w:rFonts w:cs="Calibri"/>
          <w:noProof/>
        </w:rPr>
        <w:t>. Oxford: Oxford University Press.</w:t>
      </w:r>
    </w:p>
    <w:p w14:paraId="734061A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Brynielsson, J., Granåsen, M., Lindquist, S., Narganes Quijano, M., Nilsson, S. &amp; Trnka, J. (2018). Informing Crisis Alerts Using Social Media: Best Practices and Proof of Concept. </w:t>
      </w:r>
      <w:r w:rsidRPr="00596C9A">
        <w:rPr>
          <w:rFonts w:cs="Calibri"/>
          <w:i/>
          <w:iCs/>
          <w:noProof/>
        </w:rPr>
        <w:t>Journal of Contingencies and Crisis Management</w:t>
      </w:r>
      <w:r w:rsidRPr="00596C9A">
        <w:rPr>
          <w:rFonts w:cs="Calibri"/>
          <w:noProof/>
        </w:rPr>
        <w:t>, 26(1), 28–40.</w:t>
      </w:r>
    </w:p>
    <w:p w14:paraId="07EF426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Bubeck, P., Botzen, W. J. W., Kreibich, H. &amp; Aerts, J. C. J. H. (2013). Detailed Insights into the Influence of Flood-Coping Appraisals on Mitigation Behaviour. </w:t>
      </w:r>
      <w:r w:rsidRPr="00596C9A">
        <w:rPr>
          <w:rFonts w:cs="Calibri"/>
          <w:i/>
          <w:iCs/>
          <w:noProof/>
        </w:rPr>
        <w:t>Global Environmental Change</w:t>
      </w:r>
      <w:r w:rsidRPr="00596C9A">
        <w:rPr>
          <w:rFonts w:cs="Calibri"/>
          <w:noProof/>
        </w:rPr>
        <w:t>, 23(5), 1327–1338.</w:t>
      </w:r>
    </w:p>
    <w:p w14:paraId="00D2165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Burgess, R. G. (1981). Keeping a Research Diary. </w:t>
      </w:r>
      <w:r w:rsidRPr="00596C9A">
        <w:rPr>
          <w:rFonts w:cs="Calibri"/>
          <w:i/>
          <w:iCs/>
          <w:noProof/>
        </w:rPr>
        <w:t>Cambridge Journal of Education</w:t>
      </w:r>
      <w:r w:rsidRPr="00596C9A">
        <w:rPr>
          <w:rFonts w:cs="Calibri"/>
          <w:noProof/>
        </w:rPr>
        <w:t>, 11(1), 75–83.</w:t>
      </w:r>
    </w:p>
    <w:p w14:paraId="16B0140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Burns, W. J., Peters, E. &amp; Slovic, P. (2012). Risk Perception and the Economic Crisis: A Longitudinal Study of the Trajectory of Perceived Risk. </w:t>
      </w:r>
      <w:r w:rsidRPr="00596C9A">
        <w:rPr>
          <w:rFonts w:cs="Calibri"/>
          <w:i/>
          <w:iCs/>
          <w:noProof/>
        </w:rPr>
        <w:t>Risk Analysis</w:t>
      </w:r>
      <w:r w:rsidRPr="00596C9A">
        <w:rPr>
          <w:rFonts w:cs="Calibri"/>
          <w:noProof/>
        </w:rPr>
        <w:t>, 32(4), 659–677.</w:t>
      </w:r>
    </w:p>
    <w:p w14:paraId="7BFCECC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Busch, P. A., Henriksen, H. Z. &amp; Sæbø, Ø. (2018). Opportunities and Challenges of Digitized Discretionary Practices: A Public Service Worker Perspective. </w:t>
      </w:r>
      <w:r w:rsidRPr="00596C9A">
        <w:rPr>
          <w:rFonts w:cs="Calibri"/>
          <w:i/>
          <w:iCs/>
          <w:noProof/>
        </w:rPr>
        <w:t>Government Information Quarterly</w:t>
      </w:r>
      <w:r w:rsidRPr="00596C9A">
        <w:rPr>
          <w:rFonts w:cs="Calibri"/>
          <w:noProof/>
        </w:rPr>
        <w:t>, 35(4), 547–556.</w:t>
      </w:r>
    </w:p>
    <w:p w14:paraId="3114F91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Cabinet Office. (2012). </w:t>
      </w:r>
      <w:r w:rsidRPr="00596C9A">
        <w:rPr>
          <w:rFonts w:cs="Calibri"/>
          <w:i/>
          <w:iCs/>
          <w:noProof/>
        </w:rPr>
        <w:t>Chapter 7 Communicating with the Public</w:t>
      </w:r>
      <w:r w:rsidRPr="00596C9A">
        <w:rPr>
          <w:rFonts w:cs="Calibri"/>
          <w:noProof/>
        </w:rPr>
        <w:t>. Cabinet Office.</w:t>
      </w:r>
    </w:p>
    <w:p w14:paraId="0CA467E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lastRenderedPageBreak/>
        <w:t xml:space="preserve">Cabinet Office. (2013). </w:t>
      </w:r>
      <w:r w:rsidRPr="00596C9A">
        <w:rPr>
          <w:rFonts w:cs="Calibri"/>
          <w:i/>
          <w:iCs/>
          <w:noProof/>
        </w:rPr>
        <w:t>The Role of Local Resilience Forums: A Reference Document</w:t>
      </w:r>
      <w:r w:rsidRPr="00596C9A">
        <w:rPr>
          <w:rFonts w:cs="Calibri"/>
          <w:noProof/>
        </w:rPr>
        <w:t>. London. Retrieved from https://www.gov.uk/government/publications/the-role-of-local-resilience-forums-a-reference-document</w:t>
      </w:r>
    </w:p>
    <w:p w14:paraId="1A3206F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Cabinet Office. (2020). </w:t>
      </w:r>
      <w:r w:rsidRPr="00596C9A">
        <w:rPr>
          <w:rFonts w:cs="Calibri"/>
          <w:i/>
          <w:iCs/>
          <w:noProof/>
        </w:rPr>
        <w:t>National Risk Register</w:t>
      </w:r>
      <w:r w:rsidRPr="00596C9A">
        <w:rPr>
          <w:rFonts w:cs="Calibri"/>
          <w:noProof/>
        </w:rPr>
        <w:t>.</w:t>
      </w:r>
    </w:p>
    <w:p w14:paraId="0C43197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Cabinet Office. (2023). National Risk Register. , 1–52.</w:t>
      </w:r>
    </w:p>
    <w:p w14:paraId="05349FE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Cai, Y. &amp; Mountford, N. (2022). Institutional Logics Analysis in Higher Education Research. </w:t>
      </w:r>
      <w:r w:rsidRPr="00596C9A">
        <w:rPr>
          <w:rFonts w:cs="Calibri"/>
          <w:i/>
          <w:iCs/>
          <w:noProof/>
        </w:rPr>
        <w:t>Studies in Higher Education</w:t>
      </w:r>
      <w:r w:rsidRPr="00596C9A">
        <w:rPr>
          <w:rFonts w:cs="Calibri"/>
          <w:noProof/>
        </w:rPr>
        <w:t>, 47(8), 1627–1651.</w:t>
      </w:r>
    </w:p>
    <w:p w14:paraId="4EE656A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Campbell L, M. (1998). Institutional Ethnography and Experience as Data. </w:t>
      </w:r>
      <w:r w:rsidRPr="00596C9A">
        <w:rPr>
          <w:rFonts w:cs="Calibri"/>
          <w:i/>
          <w:iCs/>
          <w:noProof/>
        </w:rPr>
        <w:t>Qualitative Sociology</w:t>
      </w:r>
      <w:r w:rsidRPr="00596C9A">
        <w:rPr>
          <w:rFonts w:cs="Calibri"/>
          <w:noProof/>
        </w:rPr>
        <w:t>, 21(1), 55–73.</w:t>
      </w:r>
    </w:p>
    <w:p w14:paraId="7597FFD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Cannon, T. (1994). Vulnerability Analysis and the Explanation of ‘Natural’ Disasters, in: Varley, A. (Ed.), </w:t>
      </w:r>
      <w:r w:rsidRPr="00596C9A">
        <w:rPr>
          <w:rFonts w:cs="Calibri"/>
          <w:i/>
          <w:iCs/>
          <w:noProof/>
        </w:rPr>
        <w:t>Disasters, Development and Environment</w:t>
      </w:r>
      <w:r w:rsidRPr="00596C9A">
        <w:rPr>
          <w:rFonts w:cs="Calibri"/>
          <w:noProof/>
        </w:rPr>
        <w:t>, (pp. 13–30). John Wiley &amp; Sons Ltd.</w:t>
      </w:r>
    </w:p>
    <w:p w14:paraId="633DCE0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Cardinale, I. (2018). Beyond Constraining and Enabling: Toward New Microfoundations for Institutional Theory. </w:t>
      </w:r>
      <w:r w:rsidRPr="00596C9A">
        <w:rPr>
          <w:rFonts w:cs="Calibri"/>
          <w:i/>
          <w:iCs/>
          <w:noProof/>
        </w:rPr>
        <w:t>Academy of Management Review</w:t>
      </w:r>
      <w:r w:rsidRPr="00596C9A">
        <w:rPr>
          <w:rFonts w:cs="Calibri"/>
          <w:noProof/>
        </w:rPr>
        <w:t>, 43(1), 132–155.</w:t>
      </w:r>
    </w:p>
    <w:p w14:paraId="5515483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Carmen, E., Fazey, I., Ross, H., Bedinger, M., Smith, F. M., Prager, K., McClymont, K. &amp; Morrison, D. (2022). Building Community Resilience in a Context of Climate Change: The Role of Social Capital. </w:t>
      </w:r>
      <w:r w:rsidRPr="00596C9A">
        <w:rPr>
          <w:rFonts w:cs="Calibri"/>
          <w:i/>
          <w:iCs/>
          <w:noProof/>
        </w:rPr>
        <w:t>Ambio</w:t>
      </w:r>
      <w:r w:rsidRPr="00596C9A">
        <w:rPr>
          <w:rFonts w:cs="Calibri"/>
          <w:noProof/>
        </w:rPr>
        <w:t>, 51(6), 1371–1387.</w:t>
      </w:r>
    </w:p>
    <w:p w14:paraId="2C8155B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Caspar, S., Ratner, P. A., Phinney, A. &amp; MacKinnon, K. (2016). The Influence of Organizational Systems on Information Exchange in Long-Term Care Facilities: An Institutional Ethnography. </w:t>
      </w:r>
      <w:r w:rsidRPr="00596C9A">
        <w:rPr>
          <w:rFonts w:cs="Calibri"/>
          <w:i/>
          <w:iCs/>
          <w:noProof/>
        </w:rPr>
        <w:t>Qualitative Health Research</w:t>
      </w:r>
      <w:r w:rsidRPr="00596C9A">
        <w:rPr>
          <w:rFonts w:cs="Calibri"/>
          <w:noProof/>
        </w:rPr>
        <w:t>, 26(7), 951–965.</w:t>
      </w:r>
    </w:p>
    <w:p w14:paraId="78C2AD4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Chadwick, A. (2017). </w:t>
      </w:r>
      <w:r w:rsidRPr="00596C9A">
        <w:rPr>
          <w:rFonts w:cs="Calibri"/>
          <w:i/>
          <w:iCs/>
          <w:noProof/>
        </w:rPr>
        <w:t>The Hybrid Media System: Politics and Power</w:t>
      </w:r>
      <w:r w:rsidRPr="00596C9A">
        <w:rPr>
          <w:rFonts w:cs="Calibri"/>
          <w:noProof/>
        </w:rPr>
        <w:t>. Oxford: Oxford University Press.</w:t>
      </w:r>
    </w:p>
    <w:p w14:paraId="5F7EDF3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Chadwick, A., Dennis, J. &amp; Smith, A. (2016). Politics in the Age of Hybrid Media: Power, Systems, and Media Logics, in: A Bruns (Ed.), </w:t>
      </w:r>
      <w:r w:rsidRPr="00596C9A">
        <w:rPr>
          <w:rFonts w:cs="Calibri"/>
          <w:i/>
          <w:iCs/>
          <w:noProof/>
        </w:rPr>
        <w:t>The Routledge Companion to Social Media and Politics</w:t>
      </w:r>
      <w:r w:rsidRPr="00596C9A">
        <w:rPr>
          <w:rFonts w:cs="Calibri"/>
          <w:noProof/>
        </w:rPr>
        <w:t>, (pp. 7–22). New York: Routledge.</w:t>
      </w:r>
    </w:p>
    <w:p w14:paraId="21468AE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Chisty, M. A., Muhtasim, M., Biva, F. J., Dola, S. E. A. &amp; Khan, N. A. (2022). Sendai Framework for Disaster Risk Reduction (SFDRR) and Disaster Management Policies in Bangladesh: How Far We Have Come to Make Communities Resilient? </w:t>
      </w:r>
      <w:r w:rsidRPr="00596C9A">
        <w:rPr>
          <w:rFonts w:cs="Calibri"/>
          <w:i/>
          <w:iCs/>
          <w:noProof/>
        </w:rPr>
        <w:t>International Journal of Disaster Risk Reduction</w:t>
      </w:r>
      <w:r w:rsidRPr="00596C9A">
        <w:rPr>
          <w:rFonts w:cs="Calibri"/>
          <w:noProof/>
        </w:rPr>
        <w:t>, 76, 1–9.</w:t>
      </w:r>
    </w:p>
    <w:p w14:paraId="2A4BFA7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Cho, S., Crenshaw, K. W. &amp; McCall, L. (2013). Toward a Field of Intersectionality Studies: Theory, Applications, and Praxis. </w:t>
      </w:r>
      <w:r w:rsidRPr="00596C9A">
        <w:rPr>
          <w:rFonts w:cs="Calibri"/>
          <w:i/>
          <w:iCs/>
          <w:noProof/>
        </w:rPr>
        <w:t>Signs</w:t>
      </w:r>
      <w:r w:rsidRPr="00596C9A">
        <w:rPr>
          <w:rFonts w:cs="Calibri"/>
          <w:noProof/>
        </w:rPr>
        <w:t>, 38(4), 785–810.</w:t>
      </w:r>
    </w:p>
    <w:p w14:paraId="3FD5723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Choi, S. (2015). The Two-Step Flow of Communication in Twitter-Based Public Forums. </w:t>
      </w:r>
      <w:r w:rsidRPr="00596C9A">
        <w:rPr>
          <w:rFonts w:cs="Calibri"/>
          <w:i/>
          <w:iCs/>
          <w:noProof/>
        </w:rPr>
        <w:t xml:space="preserve">Social </w:t>
      </w:r>
      <w:r w:rsidRPr="00596C9A">
        <w:rPr>
          <w:rFonts w:cs="Calibri"/>
          <w:i/>
          <w:iCs/>
          <w:noProof/>
        </w:rPr>
        <w:lastRenderedPageBreak/>
        <w:t>Science Computer Review</w:t>
      </w:r>
      <w:r w:rsidRPr="00596C9A">
        <w:rPr>
          <w:rFonts w:cs="Calibri"/>
          <w:noProof/>
        </w:rPr>
        <w:t>, 33(6), 696–711.</w:t>
      </w:r>
    </w:p>
    <w:p w14:paraId="7A8A810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Choudrie, J., Ghinea, G. &amp; Songonuga, V. N. (2013). Silver Surfers, E-Government and the Digital Divide: An Exploratory Study of UK Local Authority Websites and Older Citizens. </w:t>
      </w:r>
      <w:r w:rsidRPr="00596C9A">
        <w:rPr>
          <w:rFonts w:cs="Calibri"/>
          <w:i/>
          <w:iCs/>
          <w:noProof/>
        </w:rPr>
        <w:t>Interacting with Computers</w:t>
      </w:r>
      <w:r w:rsidRPr="00596C9A">
        <w:rPr>
          <w:rFonts w:cs="Calibri"/>
          <w:noProof/>
        </w:rPr>
        <w:t>, 25(6), 417–442.</w:t>
      </w:r>
    </w:p>
    <w:p w14:paraId="2E85422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Ciccaglione, R. (2019). Resilience and Resisting Resilience: Ethnographies in Neoliberal L’Aquila Post-Earthquake. </w:t>
      </w:r>
      <w:r w:rsidRPr="00596C9A">
        <w:rPr>
          <w:rFonts w:cs="Calibri"/>
          <w:i/>
          <w:iCs/>
          <w:noProof/>
        </w:rPr>
        <w:t>Disaster Prevention and Management</w:t>
      </w:r>
      <w:r w:rsidRPr="00596C9A">
        <w:rPr>
          <w:rFonts w:cs="Calibri"/>
          <w:noProof/>
        </w:rPr>
        <w:t>, 28(4), 501–512.</w:t>
      </w:r>
    </w:p>
    <w:p w14:paraId="4947FD8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Cingel, D. P., Carter, M. C. &amp; Krause, H.-V. (2022). Social Media and Self-Esteem. </w:t>
      </w:r>
      <w:r w:rsidRPr="00596C9A">
        <w:rPr>
          <w:rFonts w:cs="Calibri"/>
          <w:i/>
          <w:iCs/>
          <w:noProof/>
        </w:rPr>
        <w:t>Current Opinion in Psychology</w:t>
      </w:r>
      <w:r w:rsidRPr="00596C9A">
        <w:rPr>
          <w:rFonts w:cs="Calibri"/>
          <w:noProof/>
        </w:rPr>
        <w:t>, 45, 1–6.</w:t>
      </w:r>
    </w:p>
    <w:p w14:paraId="69D60DB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Civil Contingencies Act. (2004). </w:t>
      </w:r>
      <w:r w:rsidRPr="00596C9A">
        <w:rPr>
          <w:rFonts w:cs="Calibri"/>
          <w:i/>
          <w:iCs/>
          <w:noProof/>
        </w:rPr>
        <w:t>Civil Contingencies Act</w:t>
      </w:r>
      <w:r w:rsidRPr="00596C9A">
        <w:rPr>
          <w:rFonts w:cs="Calibri"/>
          <w:noProof/>
        </w:rPr>
        <w:t>. Great Britain.</w:t>
      </w:r>
    </w:p>
    <w:p w14:paraId="53D81D7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Claeys, A. S. &amp; Opgenhaffen, M. (2016). Why Practitioners Do (Not) Apply Crisis Communication Theory in Practice. </w:t>
      </w:r>
      <w:r w:rsidRPr="00596C9A">
        <w:rPr>
          <w:rFonts w:cs="Calibri"/>
          <w:i/>
          <w:iCs/>
          <w:noProof/>
        </w:rPr>
        <w:t>Journal of Public Relations Research</w:t>
      </w:r>
      <w:r w:rsidRPr="00596C9A">
        <w:rPr>
          <w:rFonts w:cs="Calibri"/>
          <w:noProof/>
        </w:rPr>
        <w:t>, 28(5–6), 232–247.</w:t>
      </w:r>
    </w:p>
    <w:p w14:paraId="24F0044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Coetzee, C. &amp; Van Niekerk, D. (2012). Tracking the Evolution of the Disaster Management Cycle: A General System Theory Approach. </w:t>
      </w:r>
      <w:r w:rsidRPr="00596C9A">
        <w:rPr>
          <w:rFonts w:cs="Calibri"/>
          <w:i/>
          <w:iCs/>
          <w:noProof/>
        </w:rPr>
        <w:t>Jàmbá: Journal of Disaster Risk Studies</w:t>
      </w:r>
      <w:r w:rsidRPr="00596C9A">
        <w:rPr>
          <w:rFonts w:cs="Calibri"/>
          <w:noProof/>
        </w:rPr>
        <w:t>, 4(1), 1–9.</w:t>
      </w:r>
    </w:p>
    <w:p w14:paraId="26DFDBC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Cohen-Hatton, S. R., Butler, P. C. &amp; Honey, R. C. (2015). An Investigation of Operational Decision Making in Situ: Incident Command in the U.K. Fire and Rescue Service. </w:t>
      </w:r>
      <w:r w:rsidRPr="00596C9A">
        <w:rPr>
          <w:rFonts w:cs="Calibri"/>
          <w:i/>
          <w:iCs/>
          <w:noProof/>
        </w:rPr>
        <w:t>Human Factors</w:t>
      </w:r>
      <w:r w:rsidRPr="00596C9A">
        <w:rPr>
          <w:rFonts w:cs="Calibri"/>
          <w:noProof/>
        </w:rPr>
        <w:t>, 57(5), 793–804.</w:t>
      </w:r>
    </w:p>
    <w:p w14:paraId="7500051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Cohen-Hatton, S. R. &amp; Honey, R. C. (2015). Goal-Oriented Training Affects Decision-Making Processes in Virtual and Simulated Fire and Rescue Environments. </w:t>
      </w:r>
      <w:r w:rsidRPr="00596C9A">
        <w:rPr>
          <w:rFonts w:cs="Calibri"/>
          <w:i/>
          <w:iCs/>
          <w:noProof/>
        </w:rPr>
        <w:t>Journal of Experimental Psychology: Applied</w:t>
      </w:r>
      <w:r w:rsidRPr="00596C9A">
        <w:rPr>
          <w:rFonts w:cs="Calibri"/>
          <w:noProof/>
        </w:rPr>
        <w:t>, 21(4), 395–406.</w:t>
      </w:r>
    </w:p>
    <w:p w14:paraId="1CCF1C7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Colgan, F. &amp; Wright, T. (2011). Lesbian, Gay and Bisexual Equality in a Modernizing Public Sector 1997-2010: Opportunities and Threats. </w:t>
      </w:r>
      <w:r w:rsidRPr="00596C9A">
        <w:rPr>
          <w:rFonts w:cs="Calibri"/>
          <w:i/>
          <w:iCs/>
          <w:noProof/>
        </w:rPr>
        <w:t>Gender, Work and Organization</w:t>
      </w:r>
      <w:r w:rsidRPr="00596C9A">
        <w:rPr>
          <w:rFonts w:cs="Calibri"/>
          <w:noProof/>
        </w:rPr>
        <w:t>, 18(5), 548–570.</w:t>
      </w:r>
    </w:p>
    <w:p w14:paraId="5084D3F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Comfort, L., Wisner, B., Cutter, S., Pulwarty, R., Hewitt, K., Oliver-Smith, A., Wiener, J., Fordham, M., Peacock, W. &amp; Krimgold, F. (1999). Reframing Disaster Policy: The Global Evolution of Vulnerable Communities. </w:t>
      </w:r>
      <w:r w:rsidRPr="00596C9A">
        <w:rPr>
          <w:rFonts w:cs="Calibri"/>
          <w:i/>
          <w:iCs/>
          <w:noProof/>
        </w:rPr>
        <w:t>Global Environmental Change Part B: Environmental Hazards</w:t>
      </w:r>
      <w:r w:rsidRPr="00596C9A">
        <w:rPr>
          <w:rFonts w:cs="Calibri"/>
          <w:noProof/>
        </w:rPr>
        <w:t>, 1(1), 39–44.</w:t>
      </w:r>
    </w:p>
    <w:p w14:paraId="12C5259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Connell, R., Fawcett, B. &amp; Meagher, G. (2009). Neoliberalism, New Public Management and the Human Service Professions. </w:t>
      </w:r>
      <w:r w:rsidRPr="00596C9A">
        <w:rPr>
          <w:rFonts w:cs="Calibri"/>
          <w:i/>
          <w:iCs/>
          <w:noProof/>
        </w:rPr>
        <w:t>Journal of Sociology</w:t>
      </w:r>
      <w:r w:rsidRPr="00596C9A">
        <w:rPr>
          <w:rFonts w:cs="Calibri"/>
          <w:noProof/>
        </w:rPr>
        <w:t>, 45(4), 331–338.</w:t>
      </w:r>
    </w:p>
    <w:p w14:paraId="303FF0C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Cook, B. R. &amp; Melo Zurita, M. de L. (2019). Fulfilling the Promise of Participation by Not Resuscitating the Deficit Model. </w:t>
      </w:r>
      <w:r w:rsidRPr="00596C9A">
        <w:rPr>
          <w:rFonts w:cs="Calibri"/>
          <w:i/>
          <w:iCs/>
          <w:noProof/>
        </w:rPr>
        <w:t>Global Environmental Change</w:t>
      </w:r>
      <w:r w:rsidRPr="00596C9A">
        <w:rPr>
          <w:rFonts w:cs="Calibri"/>
          <w:noProof/>
        </w:rPr>
        <w:t>, 56(May), 56–65.</w:t>
      </w:r>
    </w:p>
    <w:p w14:paraId="2005548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lastRenderedPageBreak/>
        <w:t xml:space="preserve">Cornelissen, J. P., Durand, R., Fiss, P. C., Lammers, J. C. &amp; Vaara, E. (2015). Putting Communication Front and Center in Institutional Theory and Analysis. </w:t>
      </w:r>
      <w:r w:rsidRPr="00596C9A">
        <w:rPr>
          <w:rFonts w:cs="Calibri"/>
          <w:i/>
          <w:iCs/>
          <w:noProof/>
        </w:rPr>
        <w:t>Academy of Management Review</w:t>
      </w:r>
      <w:r w:rsidRPr="00596C9A">
        <w:rPr>
          <w:rFonts w:cs="Calibri"/>
          <w:noProof/>
        </w:rPr>
        <w:t>, 40(1), 10–27.</w:t>
      </w:r>
    </w:p>
    <w:p w14:paraId="0789263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Cornia, A., Dressel, K. &amp; Pfeil, P. (2016). Risk Cultures and Dominant Approaches towards Disasters in Seven European Countries. </w:t>
      </w:r>
      <w:r w:rsidRPr="00596C9A">
        <w:rPr>
          <w:rFonts w:cs="Calibri"/>
          <w:i/>
          <w:iCs/>
          <w:noProof/>
        </w:rPr>
        <w:t>Journal of Risk Research</w:t>
      </w:r>
      <w:r w:rsidRPr="00596C9A">
        <w:rPr>
          <w:rFonts w:cs="Calibri"/>
          <w:noProof/>
        </w:rPr>
        <w:t>, 19(3), 288–304.</w:t>
      </w:r>
    </w:p>
    <w:p w14:paraId="338B33D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Correa, T. (2016). Digital Skills and Social Media Use: How Internet Skills Are Related to Different Types of Facebook Use among ‘Digital Natives’. </w:t>
      </w:r>
      <w:r w:rsidRPr="00596C9A">
        <w:rPr>
          <w:rFonts w:cs="Calibri"/>
          <w:i/>
          <w:iCs/>
          <w:noProof/>
        </w:rPr>
        <w:t>Information Communication and Society</w:t>
      </w:r>
      <w:r w:rsidRPr="00596C9A">
        <w:rPr>
          <w:rFonts w:cs="Calibri"/>
          <w:noProof/>
        </w:rPr>
        <w:t>, 19(8), 1095–1107.</w:t>
      </w:r>
    </w:p>
    <w:p w14:paraId="7E518E1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Coule, T. &amp; Patmore, B. (2013). Institutional Logics, Institutional Work, and Public Service Innovation in Non-Profit Organizations. </w:t>
      </w:r>
      <w:r w:rsidRPr="00596C9A">
        <w:rPr>
          <w:rFonts w:cs="Calibri"/>
          <w:i/>
          <w:iCs/>
          <w:noProof/>
        </w:rPr>
        <w:t>Public Administration</w:t>
      </w:r>
      <w:r w:rsidRPr="00596C9A">
        <w:rPr>
          <w:rFonts w:cs="Calibri"/>
          <w:noProof/>
        </w:rPr>
        <w:t>, 91(4), 980–997.</w:t>
      </w:r>
    </w:p>
    <w:p w14:paraId="19C5A66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Covello, V. T., von Winterfeldt, D. &amp; Slovic, P. (1986). Risk Communication: A Review of the Literature. </w:t>
      </w:r>
      <w:r w:rsidRPr="00596C9A">
        <w:rPr>
          <w:rFonts w:cs="Calibri"/>
          <w:i/>
          <w:iCs/>
          <w:noProof/>
        </w:rPr>
        <w:t>Risk Abstracts</w:t>
      </w:r>
      <w:r w:rsidRPr="00596C9A">
        <w:rPr>
          <w:rFonts w:cs="Calibri"/>
          <w:noProof/>
        </w:rPr>
        <w:t>, 3, 171–182.</w:t>
      </w:r>
    </w:p>
    <w:p w14:paraId="4E8EB74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Cox, R. S. &amp; Perry, K. M. E. (2011). Like a Fish Out of Water: Reconsidering Disaster Recovery and the Role of Place and Social Capital in Community Disaster Resilience. </w:t>
      </w:r>
      <w:r w:rsidRPr="00596C9A">
        <w:rPr>
          <w:rFonts w:cs="Calibri"/>
          <w:i/>
          <w:iCs/>
          <w:noProof/>
        </w:rPr>
        <w:t>American Journal of Community Psychology</w:t>
      </w:r>
      <w:r w:rsidRPr="00596C9A">
        <w:rPr>
          <w:rFonts w:cs="Calibri"/>
          <w:noProof/>
        </w:rPr>
        <w:t>, 48, 395–411.</w:t>
      </w:r>
    </w:p>
    <w:p w14:paraId="541A1F8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Craig, R. T. (1999). Communication Theory as a Field. </w:t>
      </w:r>
      <w:r w:rsidRPr="00596C9A">
        <w:rPr>
          <w:rFonts w:cs="Calibri"/>
          <w:i/>
          <w:iCs/>
          <w:noProof/>
        </w:rPr>
        <w:t>Communication Theory</w:t>
      </w:r>
      <w:r w:rsidRPr="00596C9A">
        <w:rPr>
          <w:rFonts w:cs="Calibri"/>
          <w:noProof/>
        </w:rPr>
        <w:t>, 9(2), 119–161.</w:t>
      </w:r>
    </w:p>
    <w:p w14:paraId="09380D6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Crawford, B. &amp; Branch, J. (2015). Interest Plurality and Institutional Work: An Ethnography of Rural Community Organizing. </w:t>
      </w:r>
      <w:r w:rsidRPr="00596C9A">
        <w:rPr>
          <w:rFonts w:cs="Calibri"/>
          <w:i/>
          <w:iCs/>
          <w:noProof/>
        </w:rPr>
        <w:t>Journal of Organizational Ethnography</w:t>
      </w:r>
      <w:r w:rsidRPr="00596C9A">
        <w:rPr>
          <w:rFonts w:cs="Calibri"/>
          <w:noProof/>
        </w:rPr>
        <w:t>, 4(1), 98–116.</w:t>
      </w:r>
    </w:p>
    <w:p w14:paraId="46670B5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Creswell, J. W. (2003). </w:t>
      </w:r>
      <w:r w:rsidRPr="00596C9A">
        <w:rPr>
          <w:rFonts w:cs="Calibri"/>
          <w:i/>
          <w:iCs/>
          <w:noProof/>
        </w:rPr>
        <w:t>Research Design: Qualitative, Quantitative, and Mixed Methods Approaches</w:t>
      </w:r>
      <w:r w:rsidRPr="00596C9A">
        <w:rPr>
          <w:rFonts w:cs="Calibri"/>
          <w:noProof/>
        </w:rPr>
        <w:t>. Thousand Oaks: SAGE Publications.</w:t>
      </w:r>
    </w:p>
    <w:p w14:paraId="7A2A3FF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Crosweller, M. &amp; Tschakert, P. (2021). Disaster Management and the Need for a Reinstated Social Contract of Shared Responsibility. </w:t>
      </w:r>
      <w:r w:rsidRPr="00596C9A">
        <w:rPr>
          <w:rFonts w:cs="Calibri"/>
          <w:i/>
          <w:iCs/>
          <w:noProof/>
        </w:rPr>
        <w:t>International Journal of Disaster Risk Reduction</w:t>
      </w:r>
      <w:r w:rsidRPr="00596C9A">
        <w:rPr>
          <w:rFonts w:cs="Calibri"/>
          <w:noProof/>
        </w:rPr>
        <w:t>, 63, 1–13.</w:t>
      </w:r>
    </w:p>
    <w:p w14:paraId="41E6197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Crump, J. (2011). What Are the Police Doing on Twitter? Social Media, the Police and the Public. </w:t>
      </w:r>
      <w:r w:rsidRPr="00596C9A">
        <w:rPr>
          <w:rFonts w:cs="Calibri"/>
          <w:i/>
          <w:iCs/>
          <w:noProof/>
        </w:rPr>
        <w:t>Policy and Internet</w:t>
      </w:r>
      <w:r w:rsidRPr="00596C9A">
        <w:rPr>
          <w:rFonts w:cs="Calibri"/>
          <w:noProof/>
        </w:rPr>
        <w:t>, 3(4), 1–29.</w:t>
      </w:r>
    </w:p>
    <w:p w14:paraId="336BBF9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Cunliffe, A. L. &amp; Pavlovich, K. (2022). Making Our Work Matter: From Spectator To and Management Studies. </w:t>
      </w:r>
      <w:r w:rsidRPr="00596C9A">
        <w:rPr>
          <w:rFonts w:cs="Calibri"/>
          <w:i/>
          <w:iCs/>
          <w:noProof/>
        </w:rPr>
        <w:t>Academy of Management Perspectives</w:t>
      </w:r>
      <w:r w:rsidRPr="00596C9A">
        <w:rPr>
          <w:rFonts w:cs="Calibri"/>
          <w:noProof/>
        </w:rPr>
        <w:t>, 36(3), 879–895.</w:t>
      </w:r>
    </w:p>
    <w:p w14:paraId="47A13FF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Cunliffe, A. L. &amp; Scaratti, G. (2017). Embedding Impact in Engaged Research: Developing Socially Useful Knowledge through Dialogical Sensemaking. </w:t>
      </w:r>
      <w:r w:rsidRPr="00596C9A">
        <w:rPr>
          <w:rFonts w:cs="Calibri"/>
          <w:i/>
          <w:iCs/>
          <w:noProof/>
        </w:rPr>
        <w:t>British Journal of Management</w:t>
      </w:r>
      <w:r w:rsidRPr="00596C9A">
        <w:rPr>
          <w:rFonts w:cs="Calibri"/>
          <w:noProof/>
        </w:rPr>
        <w:t>, 28(1), 29–44.</w:t>
      </w:r>
    </w:p>
    <w:p w14:paraId="101FF79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Currie, G. &amp; Spyridonidis, D. (2016). Interpretation of Multiple Institutional Logics on the Ground: Actors’ Position, Their Agency and Situational Constraints in Professionalized </w:t>
      </w:r>
      <w:r w:rsidRPr="00596C9A">
        <w:rPr>
          <w:rFonts w:cs="Calibri"/>
          <w:noProof/>
        </w:rPr>
        <w:lastRenderedPageBreak/>
        <w:t xml:space="preserve">Contexts. </w:t>
      </w:r>
      <w:r w:rsidRPr="00596C9A">
        <w:rPr>
          <w:rFonts w:cs="Calibri"/>
          <w:i/>
          <w:iCs/>
          <w:noProof/>
        </w:rPr>
        <w:t>Organization Studies</w:t>
      </w:r>
      <w:r w:rsidRPr="00596C9A">
        <w:rPr>
          <w:rFonts w:cs="Calibri"/>
          <w:noProof/>
        </w:rPr>
        <w:t>, 37(1), 77–97.</w:t>
      </w:r>
    </w:p>
    <w:p w14:paraId="356953C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Cutter, S. L. (2016). Resilience to What? Resilience for Whom? </w:t>
      </w:r>
      <w:r w:rsidRPr="00596C9A">
        <w:rPr>
          <w:rFonts w:cs="Calibri"/>
          <w:i/>
          <w:iCs/>
          <w:noProof/>
        </w:rPr>
        <w:t>Geographical Journal</w:t>
      </w:r>
      <w:r w:rsidRPr="00596C9A">
        <w:rPr>
          <w:rFonts w:cs="Calibri"/>
          <w:noProof/>
        </w:rPr>
        <w:t>, 182(2), 110–113.</w:t>
      </w:r>
    </w:p>
    <w:p w14:paraId="24C0254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Cutter, S. L., Ash, K. D. &amp; Emrich, C. T. (2014). The Geographies of Community Disasters Resilience. </w:t>
      </w:r>
      <w:r w:rsidRPr="00596C9A">
        <w:rPr>
          <w:rFonts w:cs="Calibri"/>
          <w:i/>
          <w:iCs/>
          <w:noProof/>
        </w:rPr>
        <w:t>Global Environmental Change</w:t>
      </w:r>
      <w:r w:rsidRPr="00596C9A">
        <w:rPr>
          <w:rFonts w:cs="Calibri"/>
          <w:noProof/>
        </w:rPr>
        <w:t>, 29, 65–77.</w:t>
      </w:r>
    </w:p>
    <w:p w14:paraId="7A62034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Cutter, S. L., Barnes, L., Berry, M., Burton, C., Evans, E., Tate, E. &amp; Webb, J. (2008). A Place-Based Model for Understanding Community Resilience to Natural Disasters. </w:t>
      </w:r>
      <w:r w:rsidRPr="00596C9A">
        <w:rPr>
          <w:rFonts w:cs="Calibri"/>
          <w:i/>
          <w:iCs/>
          <w:noProof/>
        </w:rPr>
        <w:t>Global Environmental Change</w:t>
      </w:r>
      <w:r w:rsidRPr="00596C9A">
        <w:rPr>
          <w:rFonts w:cs="Calibri"/>
          <w:noProof/>
        </w:rPr>
        <w:t>, 18(4), 598–606.</w:t>
      </w:r>
    </w:p>
    <w:p w14:paraId="1D24C4B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Dacin, M. T., Goodstein, J. &amp; Scott, W. R. (2002). Institutional Theory and Institutional Change: Introduction to the Special Research Forum. </w:t>
      </w:r>
      <w:r w:rsidRPr="00596C9A">
        <w:rPr>
          <w:rFonts w:cs="Calibri"/>
          <w:i/>
          <w:iCs/>
          <w:noProof/>
        </w:rPr>
        <w:t>The Academy of Management Journal</w:t>
      </w:r>
      <w:r w:rsidRPr="00596C9A">
        <w:rPr>
          <w:rFonts w:cs="Calibri"/>
          <w:noProof/>
        </w:rPr>
        <w:t>, 45(1), 45–56.</w:t>
      </w:r>
    </w:p>
    <w:p w14:paraId="269C499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Daly, G. (2008). Ology Schmology: A Post-Structuralist Approach: Controversy. </w:t>
      </w:r>
      <w:r w:rsidRPr="00596C9A">
        <w:rPr>
          <w:rFonts w:cs="Calibri"/>
          <w:i/>
          <w:iCs/>
          <w:noProof/>
        </w:rPr>
        <w:t>Politics</w:t>
      </w:r>
      <w:r w:rsidRPr="00596C9A">
        <w:rPr>
          <w:rFonts w:cs="Calibri"/>
          <w:noProof/>
        </w:rPr>
        <w:t>, 28(1), 57–60.</w:t>
      </w:r>
    </w:p>
    <w:p w14:paraId="54BF47B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Dao, M. T. &amp; Lim, S. (2022). Fear of Disasters within the Risk Communication Network of Foreign Students in Japan amid the COVID-19 Pandemic Crisis: A Cohort Design. </w:t>
      </w:r>
      <w:r w:rsidRPr="00596C9A">
        <w:rPr>
          <w:rFonts w:cs="Calibri"/>
          <w:i/>
          <w:iCs/>
          <w:noProof/>
        </w:rPr>
        <w:t>International Journal of Disaster Risk Reduction</w:t>
      </w:r>
      <w:r w:rsidRPr="00596C9A">
        <w:rPr>
          <w:rFonts w:cs="Calibri"/>
          <w:noProof/>
        </w:rPr>
        <w:t>, 71, 1–12.</w:t>
      </w:r>
    </w:p>
    <w:p w14:paraId="49303ED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Davoudi, S., Shaw, K., Haider, L. J., Quinlan, A. E., Peterson, G. D., Wilkinson, C., Funfgeld, H., McEvoy, D. &amp; Porter, L. (2012). Resilience: A Bridging Concept or a Dead End? “Reframing” Resilience: Challenges for Planning Theory and Practice Interacting Traps: Resilience Assessment of a Pasture Management System in Northern Afghanistan Urban Resilience: What Does It Mean in Planni. </w:t>
      </w:r>
      <w:r w:rsidRPr="00596C9A">
        <w:rPr>
          <w:rFonts w:cs="Calibri"/>
          <w:i/>
          <w:iCs/>
          <w:noProof/>
        </w:rPr>
        <w:t>Planning Theory &amp; Practice</w:t>
      </w:r>
      <w:r w:rsidRPr="00596C9A">
        <w:rPr>
          <w:rFonts w:cs="Calibri"/>
          <w:noProof/>
        </w:rPr>
        <w:t>, 13(2), 299–333.</w:t>
      </w:r>
    </w:p>
    <w:p w14:paraId="5AE7400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Dawes, S. S. (2008). The Evolution and Continuing Challenges of E-Governance. </w:t>
      </w:r>
      <w:r w:rsidRPr="00596C9A">
        <w:rPr>
          <w:rFonts w:cs="Calibri"/>
          <w:i/>
          <w:iCs/>
          <w:noProof/>
        </w:rPr>
        <w:t>Public Administration Review</w:t>
      </w:r>
      <w:r w:rsidRPr="00596C9A">
        <w:rPr>
          <w:rFonts w:cs="Calibri"/>
          <w:noProof/>
        </w:rPr>
        <w:t>, 68(S1), S86–S102.</w:t>
      </w:r>
    </w:p>
    <w:p w14:paraId="7491284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Delanty, G. (2010). </w:t>
      </w:r>
      <w:r w:rsidRPr="00596C9A">
        <w:rPr>
          <w:rFonts w:cs="Calibri"/>
          <w:i/>
          <w:iCs/>
          <w:noProof/>
        </w:rPr>
        <w:t>Community</w:t>
      </w:r>
      <w:r w:rsidRPr="00596C9A">
        <w:rPr>
          <w:rFonts w:cs="Calibri"/>
          <w:noProof/>
        </w:rPr>
        <w:t>. London: London : Routledge, 2010.</w:t>
      </w:r>
    </w:p>
    <w:p w14:paraId="7FC3522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Demeritt, D. (2002). What Is the `social Construction of Nature? A Typology and Sympathetic Critique. </w:t>
      </w:r>
      <w:r w:rsidRPr="00596C9A">
        <w:rPr>
          <w:rFonts w:cs="Calibri"/>
          <w:i/>
          <w:iCs/>
          <w:noProof/>
        </w:rPr>
        <w:t>Progress in Human Geography</w:t>
      </w:r>
      <w:r w:rsidRPr="00596C9A">
        <w:rPr>
          <w:rFonts w:cs="Calibri"/>
          <w:noProof/>
        </w:rPr>
        <w:t>, 26(6), 767–790.</w:t>
      </w:r>
    </w:p>
    <w:p w14:paraId="0332C57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Department for Communities and Local Government. (2015). </w:t>
      </w:r>
      <w:r w:rsidRPr="00596C9A">
        <w:rPr>
          <w:rFonts w:cs="Calibri"/>
          <w:i/>
          <w:iCs/>
          <w:noProof/>
        </w:rPr>
        <w:t>Local Government Transparency Code 2015</w:t>
      </w:r>
      <w:r w:rsidRPr="00596C9A">
        <w:rPr>
          <w:rFonts w:cs="Calibri"/>
          <w:noProof/>
        </w:rPr>
        <w:t>. London: Department for Communities and Local Government.</w:t>
      </w:r>
    </w:p>
    <w:p w14:paraId="4DCEE58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Department for Science Innovation and Technology, ., UK Space Agency, . &amp; The Rt Hon Michelle Donelan MP, . (2023). Boost for Broadband and 5G Coverage Revolution </w:t>
      </w:r>
      <w:r w:rsidRPr="00596C9A">
        <w:rPr>
          <w:rFonts w:cs="Calibri"/>
          <w:noProof/>
        </w:rPr>
        <w:lastRenderedPageBreak/>
        <w:t xml:space="preserve">Rollout as Government Explores Plan to Open £160 Million Satellites Fund. </w:t>
      </w:r>
      <w:r w:rsidRPr="00596C9A">
        <w:rPr>
          <w:rFonts w:cs="Calibri"/>
          <w:i/>
          <w:iCs/>
          <w:noProof/>
        </w:rPr>
        <w:t>GOV.UK</w:t>
      </w:r>
      <w:r w:rsidRPr="00596C9A">
        <w:rPr>
          <w:rFonts w:cs="Calibri"/>
          <w:noProof/>
        </w:rPr>
        <w:t>. Retrieved from https://www.gov.uk/government/news/boost-for-broadband-and-5g-coverage-revolution-rollout-as-government-explores-plan-to-open-160-million-satellites-fund</w:t>
      </w:r>
    </w:p>
    <w:p w14:paraId="1547A6A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van Deursen, A. &amp; van Dijk, J. (2010). Internet Skills and the Digital Divide. </w:t>
      </w:r>
      <w:r w:rsidRPr="00596C9A">
        <w:rPr>
          <w:rFonts w:cs="Calibri"/>
          <w:i/>
          <w:iCs/>
          <w:noProof/>
        </w:rPr>
        <w:t>New Media &amp; Society</w:t>
      </w:r>
      <w:r w:rsidRPr="00596C9A">
        <w:rPr>
          <w:rFonts w:cs="Calibri"/>
          <w:noProof/>
        </w:rPr>
        <w:t>, 13(6), 893–911.</w:t>
      </w:r>
    </w:p>
    <w:p w14:paraId="78D18A9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van Dijck, J. (2013a). Disassembling Platforms, Reassembling Sociality, in: </w:t>
      </w:r>
      <w:r w:rsidRPr="00596C9A">
        <w:rPr>
          <w:rFonts w:cs="Calibri"/>
          <w:i/>
          <w:iCs/>
          <w:noProof/>
        </w:rPr>
        <w:t>The Culture of Connectivity: A Critical History of Social Media</w:t>
      </w:r>
      <w:r w:rsidRPr="00596C9A">
        <w:rPr>
          <w:rFonts w:cs="Calibri"/>
          <w:noProof/>
        </w:rPr>
        <w:t>, (pp. 24–44). Oxford: Oxford University Press.</w:t>
      </w:r>
    </w:p>
    <w:p w14:paraId="19BEC3F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van Dijck, J. (2013b). </w:t>
      </w:r>
      <w:r w:rsidRPr="00596C9A">
        <w:rPr>
          <w:rFonts w:cs="Calibri"/>
          <w:i/>
          <w:iCs/>
          <w:noProof/>
        </w:rPr>
        <w:t>The Culture of Connectivity: A Critical History of Social Media</w:t>
      </w:r>
      <w:r w:rsidRPr="00596C9A">
        <w:rPr>
          <w:rFonts w:cs="Calibri"/>
          <w:noProof/>
        </w:rPr>
        <w:t>. Oxford: Oxford University Press.</w:t>
      </w:r>
    </w:p>
    <w:p w14:paraId="467066A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van Dijck, J. &amp; Poell, T. (2013). Understanding Social Media Logic. </w:t>
      </w:r>
      <w:r w:rsidRPr="00596C9A">
        <w:rPr>
          <w:rFonts w:cs="Calibri"/>
          <w:i/>
          <w:iCs/>
          <w:noProof/>
        </w:rPr>
        <w:t>Media and Communication</w:t>
      </w:r>
      <w:r w:rsidRPr="00596C9A">
        <w:rPr>
          <w:rFonts w:cs="Calibri"/>
          <w:noProof/>
        </w:rPr>
        <w:t>, 1(1), 2–14.</w:t>
      </w:r>
    </w:p>
    <w:p w14:paraId="611E9D3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van Dijk, J. A. G. M. (2006). Digital Divide Research, Achievements and Shortcomings. </w:t>
      </w:r>
      <w:r w:rsidRPr="00596C9A">
        <w:rPr>
          <w:rFonts w:cs="Calibri"/>
          <w:i/>
          <w:iCs/>
          <w:noProof/>
        </w:rPr>
        <w:t>Poetics</w:t>
      </w:r>
      <w:r w:rsidRPr="00596C9A">
        <w:rPr>
          <w:rFonts w:cs="Calibri"/>
          <w:noProof/>
        </w:rPr>
        <w:t>, 34(4–5), 221–235.</w:t>
      </w:r>
    </w:p>
    <w:p w14:paraId="6E81EF3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Ding, H. &amp; Zhang, J. (2010). Social Media and Participatory Risk Communication during the H1N1 Flu Epidemic: A Comparative Study of the United States and China. </w:t>
      </w:r>
      <w:r w:rsidRPr="00596C9A">
        <w:rPr>
          <w:rFonts w:cs="Calibri"/>
          <w:i/>
          <w:iCs/>
          <w:noProof/>
        </w:rPr>
        <w:t>China Media Research</w:t>
      </w:r>
      <w:r w:rsidRPr="00596C9A">
        <w:rPr>
          <w:rFonts w:cs="Calibri"/>
          <w:noProof/>
        </w:rPr>
        <w:t>, 6(4), 80–92.</w:t>
      </w:r>
    </w:p>
    <w:p w14:paraId="09C2FF9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Djoumessi, Y. F. &amp; Mbongo, L. de B. E. (2022). An Analysis of Information Communication Technologies for Natural Disaster Management in Africa. </w:t>
      </w:r>
      <w:r w:rsidRPr="00596C9A">
        <w:rPr>
          <w:rFonts w:cs="Calibri"/>
          <w:i/>
          <w:iCs/>
          <w:noProof/>
        </w:rPr>
        <w:t>International Journal of Disaster Risk Reduction</w:t>
      </w:r>
      <w:r w:rsidRPr="00596C9A">
        <w:rPr>
          <w:rFonts w:cs="Calibri"/>
          <w:noProof/>
        </w:rPr>
        <w:t>, 68, 1–9.</w:t>
      </w:r>
    </w:p>
    <w:p w14:paraId="18D3882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Doll, A. &amp; Walby, K. (2019). Institutional Ethnography as a Method of Inquiry for Criminal Justice and Socio-Legal Studies. </w:t>
      </w:r>
      <w:r w:rsidRPr="00596C9A">
        <w:rPr>
          <w:rFonts w:cs="Calibri"/>
          <w:i/>
          <w:iCs/>
          <w:noProof/>
        </w:rPr>
        <w:t>International Journal for Crime, Justice and Social Democracy</w:t>
      </w:r>
      <w:r w:rsidRPr="00596C9A">
        <w:rPr>
          <w:rFonts w:cs="Calibri"/>
          <w:noProof/>
        </w:rPr>
        <w:t>, 8(1), 147–160.</w:t>
      </w:r>
    </w:p>
    <w:p w14:paraId="061A897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Doyle, E. E. H., Harrison, S. E., Hill, S. R., Williams, M., Paton, D. &amp; Bostrom, A. (2022). Eliciting Mental Models of Science and Risk for Disaster Communication: A Scoping Review of Methodologies. </w:t>
      </w:r>
      <w:r w:rsidRPr="00596C9A">
        <w:rPr>
          <w:rFonts w:cs="Calibri"/>
          <w:i/>
          <w:iCs/>
          <w:noProof/>
        </w:rPr>
        <w:t>International Journal of Disaster Risk Reduction</w:t>
      </w:r>
      <w:r w:rsidRPr="00596C9A">
        <w:rPr>
          <w:rFonts w:cs="Calibri"/>
          <w:noProof/>
        </w:rPr>
        <w:t>, 77, 1–23.</w:t>
      </w:r>
    </w:p>
    <w:p w14:paraId="4318A9D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Dubois, E. &amp; Gaffney, D. (2014). The Multiple Facets of Influence: Identifying Political Influentials and Opinion Leaders on Twitter. </w:t>
      </w:r>
      <w:r w:rsidRPr="00596C9A">
        <w:rPr>
          <w:rFonts w:cs="Calibri"/>
          <w:i/>
          <w:iCs/>
          <w:noProof/>
        </w:rPr>
        <w:t>American Behavioral Scientist</w:t>
      </w:r>
      <w:r w:rsidRPr="00596C9A">
        <w:rPr>
          <w:rFonts w:cs="Calibri"/>
          <w:noProof/>
        </w:rPr>
        <w:t>, 58(10), 1260–1277.</w:t>
      </w:r>
    </w:p>
    <w:p w14:paraId="24398B5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Dutton, W. H. &amp; Reisdorf, B. C. (2019). Cultural Divides and Digital Inequalities: Attitudes Shaping Internet and Social Media Divides. </w:t>
      </w:r>
      <w:r w:rsidRPr="00596C9A">
        <w:rPr>
          <w:rFonts w:cs="Calibri"/>
          <w:i/>
          <w:iCs/>
          <w:noProof/>
        </w:rPr>
        <w:t>Information Communication and Society</w:t>
      </w:r>
      <w:r w:rsidRPr="00596C9A">
        <w:rPr>
          <w:rFonts w:cs="Calibri"/>
          <w:noProof/>
        </w:rPr>
        <w:t xml:space="preserve">, </w:t>
      </w:r>
      <w:r w:rsidRPr="00596C9A">
        <w:rPr>
          <w:rFonts w:cs="Calibri"/>
          <w:noProof/>
        </w:rPr>
        <w:lastRenderedPageBreak/>
        <w:t>22(1), 18–38.</w:t>
      </w:r>
    </w:p>
    <w:p w14:paraId="4EA3F68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Edelman Trust. (2023). </w:t>
      </w:r>
      <w:r w:rsidRPr="00596C9A">
        <w:rPr>
          <w:rFonts w:cs="Calibri"/>
          <w:i/>
          <w:iCs/>
          <w:noProof/>
        </w:rPr>
        <w:t>2023 Edelman Trust Barometer: UK Supplement Report</w:t>
      </w:r>
      <w:r w:rsidRPr="00596C9A">
        <w:rPr>
          <w:rFonts w:cs="Calibri"/>
          <w:noProof/>
        </w:rPr>
        <w:t>. Retrieved from https://www.edelman.com/trust/2023/trust-barometer</w:t>
      </w:r>
    </w:p>
    <w:p w14:paraId="0334818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Ellison, N. B., Steinfield, C. &amp; Lampe, C. (2007). The Benefits of Facebook ‘Friends:’ Social Capital and College Students’ Use of Online Social Network Sites. </w:t>
      </w:r>
      <w:r w:rsidRPr="00596C9A">
        <w:rPr>
          <w:rFonts w:cs="Calibri"/>
          <w:i/>
          <w:iCs/>
          <w:noProof/>
        </w:rPr>
        <w:t>Journal of Computer-Mediated Communication</w:t>
      </w:r>
      <w:r w:rsidRPr="00596C9A">
        <w:rPr>
          <w:rFonts w:cs="Calibri"/>
          <w:noProof/>
        </w:rPr>
        <w:t>, 12(4), 1143–1168.</w:t>
      </w:r>
    </w:p>
    <w:p w14:paraId="105A5A5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Engin, M. (2011). Research Diary: A Tool for Scaffolding. </w:t>
      </w:r>
      <w:r w:rsidRPr="00596C9A">
        <w:rPr>
          <w:rFonts w:cs="Calibri"/>
          <w:i/>
          <w:iCs/>
          <w:noProof/>
        </w:rPr>
        <w:t>International Journal of Qualitative Methods</w:t>
      </w:r>
      <w:r w:rsidRPr="00596C9A">
        <w:rPr>
          <w:rFonts w:cs="Calibri"/>
          <w:noProof/>
        </w:rPr>
        <w:t>, 10(3), 296–306.</w:t>
      </w:r>
    </w:p>
    <w:p w14:paraId="7548487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Environment Agency. Sign up for Flood Warnings - GOV.UK. </w:t>
      </w:r>
      <w:r w:rsidRPr="00596C9A">
        <w:rPr>
          <w:rFonts w:cs="Calibri"/>
          <w:i/>
          <w:iCs/>
          <w:noProof/>
        </w:rPr>
        <w:t>GOV.UK</w:t>
      </w:r>
      <w:r w:rsidRPr="00596C9A">
        <w:rPr>
          <w:rFonts w:cs="Calibri"/>
          <w:noProof/>
        </w:rPr>
        <w:t>. Retrieved October 11, 2019, from https://www.gov.uk/sign-up-for-flood-warnings</w:t>
      </w:r>
    </w:p>
    <w:p w14:paraId="711203E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Environment Agency. (2019). A Decade of Flood Forecasting: Saving Lives. </w:t>
      </w:r>
      <w:r w:rsidRPr="00596C9A">
        <w:rPr>
          <w:rFonts w:cs="Calibri"/>
          <w:i/>
          <w:iCs/>
          <w:noProof/>
        </w:rPr>
        <w:t>GOV.UK</w:t>
      </w:r>
      <w:r w:rsidRPr="00596C9A">
        <w:rPr>
          <w:rFonts w:cs="Calibri"/>
          <w:noProof/>
        </w:rPr>
        <w:t>. Retrieved October 11, 2019, from https://www.gov.uk/government/news/a-decade-of-flood-forecasting-saving-lives</w:t>
      </w:r>
    </w:p>
    <w:p w14:paraId="5B2CB81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Feng, C. &amp; Umaier, K. (2023). Risk Communication During the COVID-19 Pandemic in the Era of Social Media. </w:t>
      </w:r>
      <w:r w:rsidRPr="00596C9A">
        <w:rPr>
          <w:rFonts w:cs="Calibri"/>
          <w:i/>
          <w:iCs/>
          <w:noProof/>
        </w:rPr>
        <w:t>Journal of Disaster Research</w:t>
      </w:r>
      <w:r w:rsidRPr="00596C9A">
        <w:rPr>
          <w:rFonts w:cs="Calibri"/>
          <w:noProof/>
        </w:rPr>
        <w:t>, 18(1), 34–39.</w:t>
      </w:r>
    </w:p>
    <w:p w14:paraId="5DA032D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Fenxia, Z. (2022). The Community Resilience Measurement throughout the COVID-19 Pandemic and beyond -an Empirical Study Based on Data from Shanghai, Wuhan and Chengdu. </w:t>
      </w:r>
      <w:r w:rsidRPr="00596C9A">
        <w:rPr>
          <w:rFonts w:cs="Calibri"/>
          <w:i/>
          <w:iCs/>
          <w:noProof/>
        </w:rPr>
        <w:t>International Journal of Disaster Risk Reduction</w:t>
      </w:r>
      <w:r w:rsidRPr="00596C9A">
        <w:rPr>
          <w:rFonts w:cs="Calibri"/>
          <w:noProof/>
        </w:rPr>
        <w:t>, 67, 1–17.</w:t>
      </w:r>
    </w:p>
    <w:p w14:paraId="65CB10B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Fine, B. (2010). </w:t>
      </w:r>
      <w:r w:rsidRPr="00596C9A">
        <w:rPr>
          <w:rFonts w:cs="Calibri"/>
          <w:i/>
          <w:iCs/>
          <w:noProof/>
        </w:rPr>
        <w:t>Theories of Social Capital: Researchers Behaving Badly</w:t>
      </w:r>
      <w:r w:rsidRPr="00596C9A">
        <w:rPr>
          <w:rFonts w:cs="Calibri"/>
          <w:noProof/>
        </w:rPr>
        <w:t xml:space="preserve"> (B. Fine and D. Milonakis, Eds.). Pluto Press.</w:t>
      </w:r>
    </w:p>
    <w:p w14:paraId="3A4CEF3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Fineman, M. A. (2008). The Vulnerable Subject: Anchoring Equality in the Human Condition. </w:t>
      </w:r>
      <w:r w:rsidRPr="00596C9A">
        <w:rPr>
          <w:rFonts w:cs="Calibri"/>
          <w:i/>
          <w:iCs/>
          <w:noProof/>
        </w:rPr>
        <w:t>Yale Journal of Law &amp; Feminism</w:t>
      </w:r>
      <w:r w:rsidRPr="00596C9A">
        <w:rPr>
          <w:rFonts w:cs="Calibri"/>
          <w:noProof/>
        </w:rPr>
        <w:t>, 20(1), 1–23.</w:t>
      </w:r>
    </w:p>
    <w:p w14:paraId="34819CF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Finseraas, H. &amp; Jakobsson, N. (2014a). Does a Simple Information Intervention Change the Perception of a Reform? </w:t>
      </w:r>
      <w:r w:rsidRPr="00596C9A">
        <w:rPr>
          <w:rFonts w:cs="Calibri"/>
          <w:i/>
          <w:iCs/>
          <w:noProof/>
        </w:rPr>
        <w:t>Applied Economics Letters</w:t>
      </w:r>
      <w:r w:rsidRPr="00596C9A">
        <w:rPr>
          <w:rFonts w:cs="Calibri"/>
          <w:noProof/>
        </w:rPr>
        <w:t>, 21(18), 1266–1268.</w:t>
      </w:r>
    </w:p>
    <w:p w14:paraId="6B6FB25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Finseraas, H. &amp; Jakobsson, N. (2014b). Does Information about the Pension System Affect Knowledge and Retirement Plans? Evidence from a Survey Experiment. </w:t>
      </w:r>
      <w:r w:rsidRPr="00596C9A">
        <w:rPr>
          <w:rFonts w:cs="Calibri"/>
          <w:i/>
          <w:iCs/>
          <w:noProof/>
        </w:rPr>
        <w:t>Journal of Pension Economics and Finance</w:t>
      </w:r>
      <w:r w:rsidRPr="00596C9A">
        <w:rPr>
          <w:rFonts w:cs="Calibri"/>
          <w:noProof/>
        </w:rPr>
        <w:t>, 13(3), 250–271.</w:t>
      </w:r>
    </w:p>
    <w:p w14:paraId="3719315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Finseraas, H., Jakobsson, N. &amp; Svensson, M. (2017). Do Knowledge Gains from Public Information Campaigns Persist over Time? Results from a Survey Experiment on the Norwegian Pension Reform. </w:t>
      </w:r>
      <w:r w:rsidRPr="00596C9A">
        <w:rPr>
          <w:rFonts w:cs="Calibri"/>
          <w:i/>
          <w:iCs/>
          <w:noProof/>
        </w:rPr>
        <w:t>Journal of Pension Economics and Finance</w:t>
      </w:r>
      <w:r w:rsidRPr="00596C9A">
        <w:rPr>
          <w:rFonts w:cs="Calibri"/>
          <w:noProof/>
        </w:rPr>
        <w:t>, 16(1), 108–117.</w:t>
      </w:r>
    </w:p>
    <w:p w14:paraId="5C875F2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Finucane, M. L. (2013). Emotion, Affect, and Risk Communication with Older Adults: Challenges and Opportunities. </w:t>
      </w:r>
      <w:r w:rsidRPr="00596C9A">
        <w:rPr>
          <w:rFonts w:cs="Calibri"/>
          <w:i/>
          <w:iCs/>
          <w:noProof/>
        </w:rPr>
        <w:t>Journal of Risk Research</w:t>
      </w:r>
      <w:r w:rsidRPr="00596C9A">
        <w:rPr>
          <w:rFonts w:cs="Calibri"/>
          <w:noProof/>
        </w:rPr>
        <w:t>, 11(8), 983–997.</w:t>
      </w:r>
    </w:p>
    <w:p w14:paraId="505B297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lastRenderedPageBreak/>
        <w:t xml:space="preserve">Fish, A. &amp; Srinivasan, R. (2012). Digital Labor Is the New Killer App. </w:t>
      </w:r>
      <w:r w:rsidRPr="00596C9A">
        <w:rPr>
          <w:rFonts w:cs="Calibri"/>
          <w:i/>
          <w:iCs/>
          <w:noProof/>
        </w:rPr>
        <w:t>New Media &amp; Society</w:t>
      </w:r>
      <w:r w:rsidRPr="00596C9A">
        <w:rPr>
          <w:rFonts w:cs="Calibri"/>
          <w:noProof/>
        </w:rPr>
        <w:t>, 14(1), 137–152.</w:t>
      </w:r>
    </w:p>
    <w:p w14:paraId="5453D96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Fitzgerald, I. (2005). ‘The Death of Corporatism? Managing Change in the Fire Service’. </w:t>
      </w:r>
      <w:r w:rsidRPr="00596C9A">
        <w:rPr>
          <w:rFonts w:cs="Calibri"/>
          <w:i/>
          <w:iCs/>
          <w:noProof/>
        </w:rPr>
        <w:t>Personnel Review</w:t>
      </w:r>
      <w:r w:rsidRPr="00596C9A">
        <w:rPr>
          <w:rFonts w:cs="Calibri"/>
          <w:noProof/>
        </w:rPr>
        <w:t>, 34(6), 648–662.</w:t>
      </w:r>
    </w:p>
    <w:p w14:paraId="2FC856A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Flood Forecasting Centre. (2023). Flood Forecasting Centre. </w:t>
      </w:r>
      <w:r w:rsidRPr="00596C9A">
        <w:rPr>
          <w:rFonts w:cs="Calibri"/>
          <w:i/>
          <w:iCs/>
          <w:noProof/>
        </w:rPr>
        <w:t>X</w:t>
      </w:r>
      <w:r w:rsidRPr="00596C9A">
        <w:rPr>
          <w:rFonts w:cs="Calibri"/>
          <w:noProof/>
        </w:rPr>
        <w:t>. Retrieved September 13, 2023, from https://twitter.com/FloodForecasts</w:t>
      </w:r>
    </w:p>
    <w:p w14:paraId="33B21A4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Flynn, R., Albrecht, L. &amp; Scott, S. D. (2018). Two Approaches to Focus Group Data Collection for Qualitative Health Research: Maximizing Resources and Data Quality. </w:t>
      </w:r>
      <w:r w:rsidRPr="00596C9A">
        <w:rPr>
          <w:rFonts w:cs="Calibri"/>
          <w:i/>
          <w:iCs/>
          <w:noProof/>
        </w:rPr>
        <w:t>International Journal of Qualitative Methods</w:t>
      </w:r>
      <w:r w:rsidRPr="00596C9A">
        <w:rPr>
          <w:rFonts w:cs="Calibri"/>
          <w:noProof/>
        </w:rPr>
        <w:t>, 17(1), 1–9.</w:t>
      </w:r>
    </w:p>
    <w:p w14:paraId="52A6805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Folke, C. (2006). Resilience: The Emergence of a Perspective for Social-Ecological Systems Analyses. </w:t>
      </w:r>
      <w:r w:rsidRPr="00596C9A">
        <w:rPr>
          <w:rFonts w:cs="Calibri"/>
          <w:i/>
          <w:iCs/>
          <w:noProof/>
        </w:rPr>
        <w:t>Global Environmental Change</w:t>
      </w:r>
      <w:r w:rsidRPr="00596C9A">
        <w:rPr>
          <w:rFonts w:cs="Calibri"/>
          <w:noProof/>
        </w:rPr>
        <w:t>, 16(3), 253–267.</w:t>
      </w:r>
    </w:p>
    <w:p w14:paraId="58974B9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Forino, G. (2012). What Is Disaster Management Cycle?</w:t>
      </w:r>
    </w:p>
    <w:p w14:paraId="3F3B0D6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Forrestal, S. G., D’Angelo, A. V. &amp; Vogel, L. K. (2015). Considerations for and Lessons Learned from Online, Synchronous Focus Groups. </w:t>
      </w:r>
      <w:r w:rsidRPr="00596C9A">
        <w:rPr>
          <w:rFonts w:cs="Calibri"/>
          <w:i/>
          <w:iCs/>
          <w:noProof/>
        </w:rPr>
        <w:t>Survey Practice</w:t>
      </w:r>
      <w:r w:rsidRPr="00596C9A">
        <w:rPr>
          <w:rFonts w:cs="Calibri"/>
          <w:noProof/>
        </w:rPr>
        <w:t>, 8(3), 1–8.</w:t>
      </w:r>
    </w:p>
    <w:p w14:paraId="577F3CA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Franzke,  aline shakti, Bechmann, A., Zimmer, M. &amp; Ess, C. M. (2020). </w:t>
      </w:r>
      <w:r w:rsidRPr="00596C9A">
        <w:rPr>
          <w:rFonts w:cs="Calibri"/>
          <w:i/>
          <w:iCs/>
          <w:noProof/>
        </w:rPr>
        <w:t>Internet Research: Ethical Guidelines 3.0 Association of Internet Researchers</w:t>
      </w:r>
      <w:r w:rsidRPr="00596C9A">
        <w:rPr>
          <w:rFonts w:cs="Calibri"/>
          <w:noProof/>
        </w:rPr>
        <w:t>.</w:t>
      </w:r>
    </w:p>
    <w:p w14:paraId="4746D0F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Friedland, R. (2012). The Institutional Logics Perspective: A New Approach to Culture, Structure, and Process. Patricia H. Thornton, William Ocasio, and Michael Lounsbury (2012). Oxford: Oxford University Press. </w:t>
      </w:r>
      <w:r w:rsidRPr="00596C9A">
        <w:rPr>
          <w:rFonts w:cs="Calibri"/>
          <w:i/>
          <w:iCs/>
          <w:noProof/>
        </w:rPr>
        <w:t>M@n@gement</w:t>
      </w:r>
      <w:r w:rsidRPr="00596C9A">
        <w:rPr>
          <w:rFonts w:cs="Calibri"/>
          <w:noProof/>
        </w:rPr>
        <w:t>, 15(5), 583–595.</w:t>
      </w:r>
    </w:p>
    <w:p w14:paraId="02CCA9E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Friedland, R. &amp; Alford, R. R. (1991). Bringing Society Back In: Symbols, Practices, and Institutional Contradictions, in: Powell, W. W. and DiMaggio, P. J. (Eds.), </w:t>
      </w:r>
      <w:r w:rsidRPr="00596C9A">
        <w:rPr>
          <w:rFonts w:cs="Calibri"/>
          <w:i/>
          <w:iCs/>
          <w:noProof/>
        </w:rPr>
        <w:t>The New Institutionalism in Organisational Analysis</w:t>
      </w:r>
      <w:r w:rsidRPr="00596C9A">
        <w:rPr>
          <w:rFonts w:cs="Calibri"/>
          <w:noProof/>
        </w:rPr>
        <w:t>, (pp. 232–263). Chicago: University of Chicago Press.</w:t>
      </w:r>
    </w:p>
    <w:p w14:paraId="009F69B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Friemel, T. N. (2016). The Digital Divide Has Grown Old: Determinants of a Digital Divide among Seniors. </w:t>
      </w:r>
      <w:r w:rsidRPr="00596C9A">
        <w:rPr>
          <w:rFonts w:cs="Calibri"/>
          <w:i/>
          <w:iCs/>
          <w:noProof/>
        </w:rPr>
        <w:t>New Media &amp; Society</w:t>
      </w:r>
      <w:r w:rsidRPr="00596C9A">
        <w:rPr>
          <w:rFonts w:cs="Calibri"/>
          <w:noProof/>
        </w:rPr>
        <w:t>, 18(2), 313–331.</w:t>
      </w:r>
    </w:p>
    <w:p w14:paraId="7EA6BCE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Gannon, V. &amp; Prothero, A. (2018). Beauty Bloggers and YouTubers as a Community of Practice. </w:t>
      </w:r>
      <w:r w:rsidRPr="00596C9A">
        <w:rPr>
          <w:rFonts w:cs="Calibri"/>
          <w:i/>
          <w:iCs/>
          <w:noProof/>
        </w:rPr>
        <w:t>Journal of Marketing Management</w:t>
      </w:r>
      <w:r w:rsidRPr="00596C9A">
        <w:rPr>
          <w:rFonts w:cs="Calibri"/>
          <w:noProof/>
        </w:rPr>
        <w:t>, 34(7–8), 592–619.</w:t>
      </w:r>
    </w:p>
    <w:p w14:paraId="5DA93E8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George, G. &amp; Schillebeeckx, S. J. D. (2022). Digital Transformation, Sustainability, and Purpose in the Multinational Enterprise. </w:t>
      </w:r>
      <w:r w:rsidRPr="00596C9A">
        <w:rPr>
          <w:rFonts w:cs="Calibri"/>
          <w:i/>
          <w:iCs/>
          <w:noProof/>
        </w:rPr>
        <w:t>Journal of World Business</w:t>
      </w:r>
      <w:r w:rsidRPr="00596C9A">
        <w:rPr>
          <w:rFonts w:cs="Calibri"/>
          <w:noProof/>
        </w:rPr>
        <w:t>, 57(3), 101326.</w:t>
      </w:r>
    </w:p>
    <w:p w14:paraId="40D0A79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Georgiou, A. &amp; Arenas, D. (2023). Community in Organizational Research: A Review and an Institutional Logics Perspective. </w:t>
      </w:r>
      <w:r w:rsidRPr="00596C9A">
        <w:rPr>
          <w:rFonts w:cs="Calibri"/>
          <w:i/>
          <w:iCs/>
          <w:noProof/>
        </w:rPr>
        <w:t>Organization Theory</w:t>
      </w:r>
      <w:r w:rsidRPr="00596C9A">
        <w:rPr>
          <w:rFonts w:cs="Calibri"/>
          <w:noProof/>
        </w:rPr>
        <w:t>, 4(1), 1–22.</w:t>
      </w:r>
    </w:p>
    <w:p w14:paraId="1FBB4BC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Ghio, A. &amp; Verona, R. (2022). Unfolding Institutional Plurality in Hybrid Organizations </w:t>
      </w:r>
      <w:r w:rsidRPr="00596C9A">
        <w:rPr>
          <w:rFonts w:cs="Calibri"/>
          <w:noProof/>
        </w:rPr>
        <w:lastRenderedPageBreak/>
        <w:t xml:space="preserve">through Practices: The Case of a Cooperative Bank. </w:t>
      </w:r>
      <w:r w:rsidRPr="00596C9A">
        <w:rPr>
          <w:rFonts w:cs="Calibri"/>
          <w:i/>
          <w:iCs/>
          <w:noProof/>
        </w:rPr>
        <w:t>British Accounting Review</w:t>
      </w:r>
      <w:r w:rsidRPr="00596C9A">
        <w:rPr>
          <w:rFonts w:cs="Calibri"/>
          <w:noProof/>
        </w:rPr>
        <w:t>, 54(4), 1–17.</w:t>
      </w:r>
    </w:p>
    <w:p w14:paraId="6F5753B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Glaser, V. L., Fast, N. J., Harmon, D. J. &amp; Green, S. E. (2016). Institutional Frame Switching: How Institutional Logics Shape Individual Action, in: Gehman, J., Lounsbury, M., and Greenwood, R. (Eds.), </w:t>
      </w:r>
      <w:r w:rsidRPr="00596C9A">
        <w:rPr>
          <w:rFonts w:cs="Calibri"/>
          <w:i/>
          <w:iCs/>
          <w:noProof/>
        </w:rPr>
        <w:t>How Institutions Matter!</w:t>
      </w:r>
      <w:r w:rsidRPr="00596C9A">
        <w:rPr>
          <w:rFonts w:cs="Calibri"/>
          <w:noProof/>
        </w:rPr>
        <w:t>, (pp. 35–70). Emerald Group Publishing Limited.</w:t>
      </w:r>
    </w:p>
    <w:p w14:paraId="0434147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Glennon, R., Hodgkinson, I., Knowles, J., Radnor, Z. &amp; Bateman, N. (2018). Public Sector ‘Modernisation’: Examining the Impact of a Change Agenda on Local Government Employees in England. </w:t>
      </w:r>
      <w:r w:rsidRPr="00596C9A">
        <w:rPr>
          <w:rFonts w:cs="Calibri"/>
          <w:i/>
          <w:iCs/>
          <w:noProof/>
        </w:rPr>
        <w:t>Australian Journal of Public Administration</w:t>
      </w:r>
      <w:r w:rsidRPr="00596C9A">
        <w:rPr>
          <w:rFonts w:cs="Calibri"/>
          <w:noProof/>
        </w:rPr>
        <w:t>, 77(2), 203–221.</w:t>
      </w:r>
    </w:p>
    <w:p w14:paraId="5D02B41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Glennon, R. J. (2017). The ‘Death of Improvement’: An Exploration of the Legacy of Performance and Service Improvement Reform in English Local Authorities, 1997-2017. </w:t>
      </w:r>
      <w:r w:rsidRPr="00596C9A">
        <w:rPr>
          <w:rFonts w:cs="Calibri"/>
          <w:i/>
          <w:iCs/>
          <w:noProof/>
        </w:rPr>
        <w:t>Loughborough University Institutional Repository</w:t>
      </w:r>
      <w:r w:rsidRPr="00596C9A">
        <w:rPr>
          <w:rFonts w:cs="Calibri"/>
          <w:noProof/>
        </w:rPr>
        <w:t>.</w:t>
      </w:r>
    </w:p>
    <w:p w14:paraId="4BC37E1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Goidel, K., Horney, J. A., Kellstedt, P. M., Sullivan, E. &amp; Brown, S. E. V. (2019). Perceptions of Disaster Resilience in Four Texas Coastal Communities. </w:t>
      </w:r>
      <w:r w:rsidRPr="00596C9A">
        <w:rPr>
          <w:rFonts w:cs="Calibri"/>
          <w:i/>
          <w:iCs/>
          <w:noProof/>
        </w:rPr>
        <w:t>Local Government Studies</w:t>
      </w:r>
      <w:r w:rsidRPr="00596C9A">
        <w:rPr>
          <w:rFonts w:cs="Calibri"/>
          <w:noProof/>
        </w:rPr>
        <w:t>, 45(3), 413–432.</w:t>
      </w:r>
    </w:p>
    <w:p w14:paraId="25C8365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Gough, A., Hunter, R. F., Ajao, O., Jurek, A., McKeown, G., Hong, J., Barrett, E., Ferguson, M., McElwee, G., McCarthy, M. &amp; Kee, F. (2017). Tweet for Behavior Change: Using Social Media for the Dissemination of Public Health Messages. </w:t>
      </w:r>
      <w:r w:rsidRPr="00596C9A">
        <w:rPr>
          <w:rFonts w:cs="Calibri"/>
          <w:i/>
          <w:iCs/>
          <w:noProof/>
        </w:rPr>
        <w:t>JMIR Public Health Surveillance</w:t>
      </w:r>
      <w:r w:rsidRPr="00596C9A">
        <w:rPr>
          <w:rFonts w:cs="Calibri"/>
          <w:noProof/>
        </w:rPr>
        <w:t>, 3(1), 1–17.</w:t>
      </w:r>
    </w:p>
    <w:p w14:paraId="0CDA154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Greenwood, R., Hinings, C. R. &amp; Whetten, D. (2014). Rethinking Institutions and Organizations. </w:t>
      </w:r>
      <w:r w:rsidRPr="00596C9A">
        <w:rPr>
          <w:rFonts w:cs="Calibri"/>
          <w:i/>
          <w:iCs/>
          <w:noProof/>
        </w:rPr>
        <w:t>Journal of Management Studies</w:t>
      </w:r>
      <w:r w:rsidRPr="00596C9A">
        <w:rPr>
          <w:rFonts w:cs="Calibri"/>
          <w:noProof/>
        </w:rPr>
        <w:t>, 51(7), 1206–1220.</w:t>
      </w:r>
    </w:p>
    <w:p w14:paraId="256F24E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Greenwood, R., Oliver, C., Sahlin, K. &amp; Suddaby, R. (2008). Introduction, in: Greenwood, R., Oliver, C., Lawrence, T. B., and Meyer, R. E. (Eds.), </w:t>
      </w:r>
      <w:r w:rsidRPr="00596C9A">
        <w:rPr>
          <w:rFonts w:cs="Calibri"/>
          <w:i/>
          <w:iCs/>
          <w:noProof/>
        </w:rPr>
        <w:t>The Sage handbook of Organizational Institutionalism</w:t>
      </w:r>
      <w:r w:rsidRPr="00596C9A">
        <w:rPr>
          <w:rFonts w:cs="Calibri"/>
          <w:noProof/>
        </w:rPr>
        <w:t>, (pp. 1–34). London: Sage.</w:t>
      </w:r>
    </w:p>
    <w:p w14:paraId="33E873A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Greenwood, R., Raynard, M., Kodeih, F., Micelotta, E. R. &amp; Lounsbury, M. (2011). Institutional Complexity and Organizational Responses. </w:t>
      </w:r>
      <w:r w:rsidRPr="00596C9A">
        <w:rPr>
          <w:rFonts w:cs="Calibri"/>
          <w:i/>
          <w:iCs/>
          <w:noProof/>
        </w:rPr>
        <w:t>Academy of Management Annals</w:t>
      </w:r>
      <w:r w:rsidRPr="00596C9A">
        <w:rPr>
          <w:rFonts w:cs="Calibri"/>
          <w:noProof/>
        </w:rPr>
        <w:t>, 5(1), 317–371.</w:t>
      </w:r>
    </w:p>
    <w:p w14:paraId="77A9F2E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Gumasing, M. J. J., Prasetyo, Y. T., Ong, A. K. S. &amp; Nadlifatin, R. (2022). Determination of Factors Affecting the Response Efficacy of Filipinos under Typhoon Conson 2021 (Jolina): An Extended Protection Motivation Theory Approach. </w:t>
      </w:r>
      <w:r w:rsidRPr="00596C9A">
        <w:rPr>
          <w:rFonts w:cs="Calibri"/>
          <w:i/>
          <w:iCs/>
          <w:noProof/>
        </w:rPr>
        <w:t>International Journal of Disaster Risk Reduction</w:t>
      </w:r>
      <w:r w:rsidRPr="00596C9A">
        <w:rPr>
          <w:rFonts w:cs="Calibri"/>
          <w:noProof/>
        </w:rPr>
        <w:t>, 70, 1–16.</w:t>
      </w:r>
    </w:p>
    <w:p w14:paraId="4DD7B5C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Gümüsay, A. A., Claus, L. &amp; Amis, J. (2020). Engaging with Grand Challenges: An Institutional </w:t>
      </w:r>
      <w:r w:rsidRPr="00596C9A">
        <w:rPr>
          <w:rFonts w:cs="Calibri"/>
          <w:noProof/>
        </w:rPr>
        <w:lastRenderedPageBreak/>
        <w:t xml:space="preserve">Logics Perspective. </w:t>
      </w:r>
      <w:r w:rsidRPr="00596C9A">
        <w:rPr>
          <w:rFonts w:cs="Calibri"/>
          <w:i/>
          <w:iCs/>
          <w:noProof/>
        </w:rPr>
        <w:t>Organization Theory</w:t>
      </w:r>
      <w:r w:rsidRPr="00596C9A">
        <w:rPr>
          <w:rFonts w:cs="Calibri"/>
          <w:noProof/>
        </w:rPr>
        <w:t>, 1(3), 1–20.</w:t>
      </w:r>
    </w:p>
    <w:p w14:paraId="676629F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Gunnarsson, C. (1991). What Is New and What Is Institutional in the New Institutional Economics?: An Essay on Old and New Institutionalism and the Role of the State in Developing Countries. </w:t>
      </w:r>
      <w:r w:rsidRPr="00596C9A">
        <w:rPr>
          <w:rFonts w:cs="Calibri"/>
          <w:i/>
          <w:iCs/>
          <w:noProof/>
        </w:rPr>
        <w:t>Scandinavian Economic History Review</w:t>
      </w:r>
      <w:r w:rsidRPr="00596C9A">
        <w:rPr>
          <w:rFonts w:cs="Calibri"/>
          <w:noProof/>
        </w:rPr>
        <w:t>, 39(1), 43–67.</w:t>
      </w:r>
    </w:p>
    <w:p w14:paraId="55643D1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Guo, C., Sim, T. &amp; Ho, H. C. (2020). Impact of Information Seeking, Disaster Preparedness and Typhoon Emergency Response on Perceived Community Resilience in Hong Kong. </w:t>
      </w:r>
      <w:r w:rsidRPr="00596C9A">
        <w:rPr>
          <w:rFonts w:cs="Calibri"/>
          <w:i/>
          <w:iCs/>
          <w:noProof/>
        </w:rPr>
        <w:t>International Journal of Disaster Risk Reduction</w:t>
      </w:r>
      <w:r w:rsidRPr="00596C9A">
        <w:rPr>
          <w:rFonts w:cs="Calibri"/>
          <w:noProof/>
        </w:rPr>
        <w:t>, 50.</w:t>
      </w:r>
    </w:p>
    <w:p w14:paraId="0189B30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Hagen, L., Keller, T., Neely, S., DePaula, N. &amp; Robert-Cooperman, C. (2018). Crisis Communications in the Age of Social Media: A Network Analysis of Zika-Related Tweets. </w:t>
      </w:r>
      <w:r w:rsidRPr="00596C9A">
        <w:rPr>
          <w:rFonts w:cs="Calibri"/>
          <w:i/>
          <w:iCs/>
          <w:noProof/>
        </w:rPr>
        <w:t>Social Science Computer Review</w:t>
      </w:r>
      <w:r w:rsidRPr="00596C9A">
        <w:rPr>
          <w:rFonts w:cs="Calibri"/>
          <w:noProof/>
        </w:rPr>
        <w:t>, 36(5), 523–541.</w:t>
      </w:r>
    </w:p>
    <w:p w14:paraId="1AA66C3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Ham, C. D. &amp; Kim, J. (2019). The Role of CSR in Crises: Integration of Situational Crisis Communication Theory and the Persuasion Knowledge Model. </w:t>
      </w:r>
      <w:r w:rsidRPr="00596C9A">
        <w:rPr>
          <w:rFonts w:cs="Calibri"/>
          <w:i/>
          <w:iCs/>
          <w:noProof/>
        </w:rPr>
        <w:t>Journal of Business Ethics</w:t>
      </w:r>
      <w:r w:rsidRPr="00596C9A">
        <w:rPr>
          <w:rFonts w:cs="Calibri"/>
          <w:noProof/>
        </w:rPr>
        <w:t>, 158, 353–372.</w:t>
      </w:r>
    </w:p>
    <w:p w14:paraId="7D931F5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Harvey, S. B., Milligan-Saville, J. S., Paterson, H. M., Harkness, E. L., Marsh, A. M., Dobson, M., Kemp, R. &amp; Bryant, R. A. (2016). The Mental Health of Fire-Fighters: An Examination of the Impact of Repeated Trauma Exposure. </w:t>
      </w:r>
      <w:r w:rsidRPr="00596C9A">
        <w:rPr>
          <w:rFonts w:cs="Calibri"/>
          <w:i/>
          <w:iCs/>
          <w:noProof/>
        </w:rPr>
        <w:t>Australian and New Zealand Journal of Psychiatry</w:t>
      </w:r>
      <w:r w:rsidRPr="00596C9A">
        <w:rPr>
          <w:rFonts w:cs="Calibri"/>
          <w:noProof/>
        </w:rPr>
        <w:t>, 50(7), 649–658.</w:t>
      </w:r>
    </w:p>
    <w:p w14:paraId="10259D3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Haslam, C. &amp; Mallon, K. (2003). A Preliminary Investigation of Post-Traumatic Stress Symptoms among Firefighters. </w:t>
      </w:r>
      <w:r w:rsidRPr="00596C9A">
        <w:rPr>
          <w:rFonts w:cs="Calibri"/>
          <w:i/>
          <w:iCs/>
          <w:noProof/>
        </w:rPr>
        <w:t>Work and Stress</w:t>
      </w:r>
      <w:r w:rsidRPr="00596C9A">
        <w:rPr>
          <w:rFonts w:cs="Calibri"/>
          <w:noProof/>
        </w:rPr>
        <w:t>, 17(3), 277–285.</w:t>
      </w:r>
    </w:p>
    <w:p w14:paraId="0E0D11F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Hecht, B., Hong, L., Suh, B. &amp; Chi, E. H. (2011). Tweets from Justin Bieber’s Heart: The Dynamics of the ‘Location’ Field in User Profiles, in: </w:t>
      </w:r>
      <w:r w:rsidRPr="00596C9A">
        <w:rPr>
          <w:rFonts w:cs="Calibri"/>
          <w:i/>
          <w:iCs/>
          <w:noProof/>
        </w:rPr>
        <w:t>Conference on Human Factors in Computing Systems - Proceedings</w:t>
      </w:r>
      <w:r w:rsidRPr="00596C9A">
        <w:rPr>
          <w:rFonts w:cs="Calibri"/>
          <w:noProof/>
        </w:rPr>
        <w:t>, (pp. 237–246).</w:t>
      </w:r>
    </w:p>
    <w:p w14:paraId="2677C39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Heinkel, S. B., Thiebes, B., Zin Mar Than, Toe Aung, Tin Tin Kyi, Win Lei Mar, Saw Sandar Oo, Miller, C., Willkomm, M., Win Maung, Zin Nwe Myint, Khin Khin Soe, Spohner, R. &amp; Kraas, F. (2022). Disaster Preparedness and Resilience at Household Level in Yangon, Myanmar. </w:t>
      </w:r>
      <w:r w:rsidRPr="00596C9A">
        <w:rPr>
          <w:rFonts w:cs="Calibri"/>
          <w:i/>
          <w:iCs/>
          <w:noProof/>
        </w:rPr>
        <w:t>Natural Hazards</w:t>
      </w:r>
      <w:r w:rsidRPr="00596C9A">
        <w:rPr>
          <w:rFonts w:cs="Calibri"/>
          <w:noProof/>
        </w:rPr>
        <w:t>, 112(2), 1273–1294.</w:t>
      </w:r>
    </w:p>
    <w:p w14:paraId="5B96756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Helbig, N., Gil-Garica, R. &amp; Ferro, E. (2009). Understanding the Complexity of Electronic Government: Implications from the Digital Divide Literature. </w:t>
      </w:r>
      <w:r w:rsidRPr="00596C9A">
        <w:rPr>
          <w:rFonts w:cs="Calibri"/>
          <w:i/>
          <w:iCs/>
          <w:noProof/>
        </w:rPr>
        <w:t>Government Information Quarterly</w:t>
      </w:r>
      <w:r w:rsidRPr="00596C9A">
        <w:rPr>
          <w:rFonts w:cs="Calibri"/>
          <w:noProof/>
        </w:rPr>
        <w:t>, 26(1), 89–97.</w:t>
      </w:r>
    </w:p>
    <w:p w14:paraId="3622E78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Henage, C. B., Ferreri, S. P., Schlusser, C., Hughes, T. D., Armistead, L. T., Kelley, C. J., Niznik, J. D., Busby-Whitehead, J. &amp; Roberts, E. (2021). Transitioning Focus Group Research to a Videoconferencing Environment: A Descriptive Analysis of Interactivity. </w:t>
      </w:r>
      <w:r w:rsidRPr="00596C9A">
        <w:rPr>
          <w:rFonts w:cs="Calibri"/>
          <w:i/>
          <w:iCs/>
          <w:noProof/>
        </w:rPr>
        <w:t>Pharmacy</w:t>
      </w:r>
      <w:r w:rsidRPr="00596C9A">
        <w:rPr>
          <w:rFonts w:cs="Calibri"/>
          <w:noProof/>
        </w:rPr>
        <w:t xml:space="preserve">, </w:t>
      </w:r>
      <w:r w:rsidRPr="00596C9A">
        <w:rPr>
          <w:rFonts w:cs="Calibri"/>
          <w:noProof/>
        </w:rPr>
        <w:lastRenderedPageBreak/>
        <w:t>9(3), 1–9.</w:t>
      </w:r>
    </w:p>
    <w:p w14:paraId="741A051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Hesse, A., Kreutzer, K. &amp; Diehl, M. R. (2019). Dynamics of Institutional Logics in a Cross-Sector Social Partnership: The Case of Refugee Integration in Germany. </w:t>
      </w:r>
      <w:r w:rsidRPr="00596C9A">
        <w:rPr>
          <w:rFonts w:cs="Calibri"/>
          <w:i/>
          <w:iCs/>
          <w:noProof/>
        </w:rPr>
        <w:t>Journal of Business Ethics</w:t>
      </w:r>
      <w:r w:rsidRPr="00596C9A">
        <w:rPr>
          <w:rFonts w:cs="Calibri"/>
          <w:noProof/>
        </w:rPr>
        <w:t>, 159, 679–704.</w:t>
      </w:r>
    </w:p>
    <w:p w14:paraId="2541CFF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Hicks, A., Armijos, M. T., Barclay, J., Stone, J., Robertson, R. &amp; Cortés, G. P. (2017). Risk Communication Films: Process, Product and Potential for Improving Preparedness and Behaviour Change. </w:t>
      </w:r>
      <w:r w:rsidRPr="00596C9A">
        <w:rPr>
          <w:rFonts w:cs="Calibri"/>
          <w:i/>
          <w:iCs/>
          <w:noProof/>
        </w:rPr>
        <w:t>International Journal of Disaster Risk Reduction</w:t>
      </w:r>
      <w:r w:rsidRPr="00596C9A">
        <w:rPr>
          <w:rFonts w:cs="Calibri"/>
          <w:noProof/>
        </w:rPr>
        <w:t>, 23, 138–151.</w:t>
      </w:r>
    </w:p>
    <w:p w14:paraId="68D33E2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Hilbert, M., Vasquez, J., Halpern, D., Valenzuela, S. &amp; Arriagada, E. (2017). One Step , Two Step , Network Step? Complementary Perspectives on Communication Flows in Twittered Citizen Protests. </w:t>
      </w:r>
      <w:r w:rsidRPr="00596C9A">
        <w:rPr>
          <w:rFonts w:cs="Calibri"/>
          <w:i/>
          <w:iCs/>
          <w:noProof/>
        </w:rPr>
        <w:t>Social Science Computer Review</w:t>
      </w:r>
      <w:r w:rsidRPr="00596C9A">
        <w:rPr>
          <w:rFonts w:cs="Calibri"/>
          <w:noProof/>
        </w:rPr>
        <w:t>, 35(4), 444–461.</w:t>
      </w:r>
    </w:p>
    <w:p w14:paraId="0B04EDD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Hira, A. &amp; Hira, R. (2000). The New Institutionalism : Contradictory Notions of Change. </w:t>
      </w:r>
      <w:r w:rsidRPr="00596C9A">
        <w:rPr>
          <w:rFonts w:cs="Calibri"/>
          <w:i/>
          <w:iCs/>
          <w:noProof/>
        </w:rPr>
        <w:t>The American Journal of Economics and Sociology</w:t>
      </w:r>
      <w:r w:rsidRPr="00596C9A">
        <w:rPr>
          <w:rFonts w:cs="Calibri"/>
          <w:noProof/>
        </w:rPr>
        <w:t>, 59(2), 267–282.</w:t>
      </w:r>
    </w:p>
    <w:p w14:paraId="5725DC8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HM Government. (2004). </w:t>
      </w:r>
      <w:r w:rsidRPr="00596C9A">
        <w:rPr>
          <w:rFonts w:cs="Calibri"/>
          <w:i/>
          <w:iCs/>
          <w:noProof/>
        </w:rPr>
        <w:t>Fire and Rescue Services Act</w:t>
      </w:r>
      <w:r w:rsidRPr="00596C9A">
        <w:rPr>
          <w:rFonts w:cs="Calibri"/>
          <w:noProof/>
        </w:rPr>
        <w:t>. United Kingdom.</w:t>
      </w:r>
    </w:p>
    <w:p w14:paraId="6289E51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HMICFRS. (2018). </w:t>
      </w:r>
      <w:r w:rsidRPr="00596C9A">
        <w:rPr>
          <w:rFonts w:cs="Calibri"/>
          <w:i/>
          <w:iCs/>
          <w:noProof/>
        </w:rPr>
        <w:t>Public Perceptions of Fire and Rescue Services in England 2018</w:t>
      </w:r>
      <w:r w:rsidRPr="00596C9A">
        <w:rPr>
          <w:rFonts w:cs="Calibri"/>
          <w:noProof/>
        </w:rPr>
        <w:t>. London.</w:t>
      </w:r>
    </w:p>
    <w:p w14:paraId="5F263FC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Holmes, A. G. D. (2020). Researcher Positionality - A Consideration of Its Influence and Place in Qualitative Research - A New Researcher Guide. </w:t>
      </w:r>
      <w:r w:rsidRPr="00596C9A">
        <w:rPr>
          <w:rFonts w:cs="Calibri"/>
          <w:i/>
          <w:iCs/>
          <w:noProof/>
        </w:rPr>
        <w:t>International Journal of Education</w:t>
      </w:r>
      <w:r w:rsidRPr="00596C9A">
        <w:rPr>
          <w:rFonts w:cs="Calibri"/>
          <w:noProof/>
        </w:rPr>
        <w:t>, 8(4), 1–10.</w:t>
      </w:r>
    </w:p>
    <w:p w14:paraId="5968A2E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Holmes, H. &amp; Burgess, G. (2022). Digital Exclusion and Poverty in the UK: How Structural Inequality Shapes Experiences of Getting Online. </w:t>
      </w:r>
      <w:r w:rsidRPr="00596C9A">
        <w:rPr>
          <w:rFonts w:cs="Calibri"/>
          <w:i/>
          <w:iCs/>
          <w:noProof/>
        </w:rPr>
        <w:t>Digital Geography and Society</w:t>
      </w:r>
      <w:r w:rsidRPr="00596C9A">
        <w:rPr>
          <w:rFonts w:cs="Calibri"/>
          <w:noProof/>
        </w:rPr>
        <w:t>, 3, 1–9.</w:t>
      </w:r>
    </w:p>
    <w:p w14:paraId="1E3D94C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Homan, R. (2001). The Principle of Assumed Consent: The Ethics of Gatekeeping. </w:t>
      </w:r>
      <w:r w:rsidRPr="00596C9A">
        <w:rPr>
          <w:rFonts w:cs="Calibri"/>
          <w:i/>
          <w:iCs/>
          <w:noProof/>
        </w:rPr>
        <w:t>Journal of Philosophy of Education</w:t>
      </w:r>
      <w:r w:rsidRPr="00596C9A">
        <w:rPr>
          <w:rFonts w:cs="Calibri"/>
          <w:noProof/>
        </w:rPr>
        <w:t>, 35(3), 329–343.</w:t>
      </w:r>
    </w:p>
    <w:p w14:paraId="3B81D74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Home Office. (2023). Economic and Social Cost of Fire. </w:t>
      </w:r>
      <w:r w:rsidRPr="00596C9A">
        <w:rPr>
          <w:rFonts w:cs="Calibri"/>
          <w:i/>
          <w:iCs/>
          <w:noProof/>
        </w:rPr>
        <w:t>GOV.UK</w:t>
      </w:r>
      <w:r w:rsidRPr="00596C9A">
        <w:rPr>
          <w:rFonts w:cs="Calibri"/>
          <w:noProof/>
        </w:rPr>
        <w:t>. Retrieved April 2, 2024, from https://www.gov.uk/government/publications/economic-and-social-cost-of-fire/economic-and-social-cost-of-fire#foreword</w:t>
      </w:r>
    </w:p>
    <w:p w14:paraId="7F2DC7F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Hood, C. (1995). The ‘New Public Management’ in the 1980s: Variations on a Theme. </w:t>
      </w:r>
      <w:r w:rsidRPr="00596C9A">
        <w:rPr>
          <w:rFonts w:cs="Calibri"/>
          <w:i/>
          <w:iCs/>
          <w:noProof/>
        </w:rPr>
        <w:t>Accounting, Organizations and Society</w:t>
      </w:r>
      <w:r w:rsidRPr="00596C9A">
        <w:rPr>
          <w:rFonts w:cs="Calibri"/>
          <w:noProof/>
        </w:rPr>
        <w:t>, 20(2/3), 93–109.</w:t>
      </w:r>
    </w:p>
    <w:p w14:paraId="1A5C450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Hopkins, P. E. (2007). Thinking Critically and Creatively about Focus Groups. </w:t>
      </w:r>
      <w:r w:rsidRPr="00596C9A">
        <w:rPr>
          <w:rFonts w:cs="Calibri"/>
          <w:i/>
          <w:iCs/>
          <w:noProof/>
        </w:rPr>
        <w:t>Area</w:t>
      </w:r>
      <w:r w:rsidRPr="00596C9A">
        <w:rPr>
          <w:rFonts w:cs="Calibri"/>
          <w:noProof/>
        </w:rPr>
        <w:t>, 39(4), 528–535.</w:t>
      </w:r>
    </w:p>
    <w:p w14:paraId="60D0639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Houston, J. B., Hawthorne, J., Perreault, M. F., Park, E. H., Hode, M. G., Halliwell, M. R., McGowen, S. E. T., Davis, R., Vaid, S., McElderry, J. a &amp; Griffith, S. a. (2014). Social Media and Disasters: A Functional Framework for Social Media Use in Disaster Planning, Response, and Research. </w:t>
      </w:r>
      <w:r w:rsidRPr="00596C9A">
        <w:rPr>
          <w:rFonts w:cs="Calibri"/>
          <w:i/>
          <w:iCs/>
          <w:noProof/>
        </w:rPr>
        <w:t>Disasters</w:t>
      </w:r>
      <w:r w:rsidRPr="00596C9A">
        <w:rPr>
          <w:rFonts w:cs="Calibri"/>
          <w:noProof/>
        </w:rPr>
        <w:t>, 39(1), 1–22.</w:t>
      </w:r>
    </w:p>
    <w:p w14:paraId="358ABB4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lastRenderedPageBreak/>
        <w:t xml:space="preserve">Hurley, E., Dietrich, T. &amp; Rundle-Thiele, S. (2021). Integrating Theory in Co-Design: An Abductive Approach. </w:t>
      </w:r>
      <w:r w:rsidRPr="00596C9A">
        <w:rPr>
          <w:rFonts w:cs="Calibri"/>
          <w:i/>
          <w:iCs/>
          <w:noProof/>
        </w:rPr>
        <w:t>Australasian Marketing Journal</w:t>
      </w:r>
      <w:r w:rsidRPr="00596C9A">
        <w:rPr>
          <w:rFonts w:cs="Calibri"/>
          <w:noProof/>
        </w:rPr>
        <w:t>, 29(1), 66–77.</w:t>
      </w:r>
    </w:p>
    <w:p w14:paraId="2640726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Husband, G. (2020). Ethical Data Collection and Recognizing the Impact of Semi-Structured Interviews on Research Respondents. </w:t>
      </w:r>
      <w:r w:rsidRPr="00596C9A">
        <w:rPr>
          <w:rFonts w:cs="Calibri"/>
          <w:i/>
          <w:iCs/>
          <w:noProof/>
        </w:rPr>
        <w:t>Education Sciences</w:t>
      </w:r>
      <w:r w:rsidRPr="00596C9A">
        <w:rPr>
          <w:rFonts w:cs="Calibri"/>
          <w:noProof/>
        </w:rPr>
        <w:t>, 10(8), 1–12.</w:t>
      </w:r>
    </w:p>
    <w:p w14:paraId="1172D0A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IPCC. (2022). </w:t>
      </w:r>
      <w:r w:rsidRPr="00596C9A">
        <w:rPr>
          <w:rFonts w:cs="Calibri"/>
          <w:i/>
          <w:iCs/>
          <w:noProof/>
        </w:rPr>
        <w:t>Climate Change 2022: Impacts, Adaptation and Vulnerability</w:t>
      </w:r>
      <w:r w:rsidRPr="00596C9A">
        <w:rPr>
          <w:rFonts w:cs="Calibri"/>
          <w:noProof/>
        </w:rPr>
        <w:t>. Cambridge.</w:t>
      </w:r>
    </w:p>
    <w:p w14:paraId="7CBBB00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Irvine, A. (2011). Duration, Dominance and Depth in Telephone and Face-to-Face Interviews: A Comparative Exploration. </w:t>
      </w:r>
      <w:r w:rsidRPr="00596C9A">
        <w:rPr>
          <w:rFonts w:cs="Calibri"/>
          <w:i/>
          <w:iCs/>
          <w:noProof/>
        </w:rPr>
        <w:t>International Journal of Qualitative Methods</w:t>
      </w:r>
      <w:r w:rsidRPr="00596C9A">
        <w:rPr>
          <w:rFonts w:cs="Calibri"/>
          <w:noProof/>
        </w:rPr>
        <w:t>, 10(3), 202–220.</w:t>
      </w:r>
    </w:p>
    <w:p w14:paraId="475D8F3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Jacobsson, A., Backteman-Erlanson, S., Brulin, C. &amp; Hörnsten, Å. (2015). Experiences of Critical Incidents among Female and Male Firefighters. </w:t>
      </w:r>
      <w:r w:rsidRPr="00596C9A">
        <w:rPr>
          <w:rFonts w:cs="Calibri"/>
          <w:i/>
          <w:iCs/>
          <w:noProof/>
        </w:rPr>
        <w:t>International Emergency Nursing</w:t>
      </w:r>
      <w:r w:rsidRPr="00596C9A">
        <w:rPr>
          <w:rFonts w:cs="Calibri"/>
          <w:noProof/>
        </w:rPr>
        <w:t>, 23(2), 100–104.</w:t>
      </w:r>
    </w:p>
    <w:p w14:paraId="6B4CA06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Jamali, D., Karam, C., Yin, J. &amp; Soundararjan, V. (2017). CSR Logics in Developing Countries: Translation, Adaptation and Stalled Development. </w:t>
      </w:r>
      <w:r w:rsidRPr="00596C9A">
        <w:rPr>
          <w:rFonts w:cs="Calibri"/>
          <w:i/>
          <w:iCs/>
          <w:noProof/>
        </w:rPr>
        <w:t>Journal of World Business</w:t>
      </w:r>
      <w:r w:rsidRPr="00596C9A">
        <w:rPr>
          <w:rFonts w:cs="Calibri"/>
          <w:noProof/>
        </w:rPr>
        <w:t>, 52(3), 343–359.</w:t>
      </w:r>
    </w:p>
    <w:p w14:paraId="75B169D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Jarzabkowski, P., Smets, M., Bednarek, R., Burke, G. &amp; Spee, P. (2013). Institutional Ambidexterity: Leveraging Institutional Complexity in Practice. </w:t>
      </w:r>
      <w:r w:rsidRPr="00596C9A">
        <w:rPr>
          <w:rFonts w:cs="Calibri"/>
          <w:i/>
          <w:iCs/>
          <w:noProof/>
        </w:rPr>
        <w:t>Research in the Sociology of Organizations</w:t>
      </w:r>
      <w:r w:rsidRPr="00596C9A">
        <w:rPr>
          <w:rFonts w:cs="Calibri"/>
          <w:noProof/>
        </w:rPr>
        <w:t>, 39(B), 37–61.</w:t>
      </w:r>
    </w:p>
    <w:p w14:paraId="3235B3A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Jensen, T. B., Kjærgaard, A. &amp; Svejvig, P. (2009). Using Institutional Theory with Sensemaking Theory: A Case Study of Information System Implementation in Healthcare. </w:t>
      </w:r>
      <w:r w:rsidRPr="00596C9A">
        <w:rPr>
          <w:rFonts w:cs="Calibri"/>
          <w:i/>
          <w:iCs/>
          <w:noProof/>
        </w:rPr>
        <w:t>Journal of Information Technology</w:t>
      </w:r>
      <w:r w:rsidRPr="00596C9A">
        <w:rPr>
          <w:rFonts w:cs="Calibri"/>
          <w:noProof/>
        </w:rPr>
        <w:t>, 24(4), 343–353.</w:t>
      </w:r>
    </w:p>
    <w:p w14:paraId="513A963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Jensen, T. M. &amp; Kainz, K. (2019). Positioning Social Work Researchers for Engaged Scholarship to Promote Public Impact. </w:t>
      </w:r>
      <w:r w:rsidRPr="00596C9A">
        <w:rPr>
          <w:rFonts w:cs="Calibri"/>
          <w:i/>
          <w:iCs/>
          <w:noProof/>
        </w:rPr>
        <w:t>Journal of the Society for Social Work and Research</w:t>
      </w:r>
      <w:r w:rsidRPr="00596C9A">
        <w:rPr>
          <w:rFonts w:cs="Calibri"/>
          <w:noProof/>
        </w:rPr>
        <w:t>, 10(4), 591–609.</w:t>
      </w:r>
    </w:p>
    <w:p w14:paraId="4FA28A4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Jurgenson, N. (2011). Digital Dualism vs Augmented Reality. </w:t>
      </w:r>
      <w:r w:rsidRPr="00596C9A">
        <w:rPr>
          <w:rFonts w:cs="Calibri"/>
          <w:i/>
          <w:iCs/>
          <w:noProof/>
        </w:rPr>
        <w:t>The Society Pages</w:t>
      </w:r>
      <w:r w:rsidRPr="00596C9A">
        <w:rPr>
          <w:rFonts w:cs="Calibri"/>
          <w:noProof/>
        </w:rPr>
        <w:t>, 1–2. Retrieved October 7, 2019, from https://thesocietypages.org/cyborgology/2011/02/24/digital-dualism-versus-augmented-reality</w:t>
      </w:r>
    </w:p>
    <w:p w14:paraId="29A0E4F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Kahan, D. M., Jenkins-Smith, H. &amp; Braman, D. (2011). Cultural Cognition of Scientific Consensus. </w:t>
      </w:r>
      <w:r w:rsidRPr="00596C9A">
        <w:rPr>
          <w:rFonts w:cs="Calibri"/>
          <w:i/>
          <w:iCs/>
          <w:noProof/>
        </w:rPr>
        <w:t>Journal of Risk Research</w:t>
      </w:r>
      <w:r w:rsidRPr="00596C9A">
        <w:rPr>
          <w:rFonts w:cs="Calibri"/>
          <w:noProof/>
        </w:rPr>
        <w:t>, 14(2), 147–174.</w:t>
      </w:r>
    </w:p>
    <w:p w14:paraId="1C7CE9F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Kahle, D. &amp; Wickham, H. (2013). Ggmap: Spatial Visualization with Ggplot2. </w:t>
      </w:r>
      <w:r w:rsidRPr="00596C9A">
        <w:rPr>
          <w:rFonts w:cs="Calibri"/>
          <w:i/>
          <w:iCs/>
          <w:noProof/>
        </w:rPr>
        <w:t>The R Journal</w:t>
      </w:r>
      <w:r w:rsidRPr="00596C9A">
        <w:rPr>
          <w:rFonts w:cs="Calibri"/>
          <w:noProof/>
        </w:rPr>
        <w:t>, 5(1), 114–161. Retrieved from https://journal.r-project.org/archive/2013-1/kahle-wickham.pdf</w:t>
      </w:r>
    </w:p>
    <w:p w14:paraId="7F297E5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lastRenderedPageBreak/>
        <w:t xml:space="preserve">Kann-Rasmussen, N. (2023). Reframing Instrumentality: From New Public Management to New Public Governance. </w:t>
      </w:r>
      <w:r w:rsidRPr="00596C9A">
        <w:rPr>
          <w:rFonts w:cs="Calibri"/>
          <w:i/>
          <w:iCs/>
          <w:noProof/>
        </w:rPr>
        <w:t>International Journal of Cultural Policy</w:t>
      </w:r>
      <w:r w:rsidRPr="00596C9A">
        <w:rPr>
          <w:rFonts w:cs="Calibri"/>
          <w:noProof/>
        </w:rPr>
        <w:t>, 1–15.</w:t>
      </w:r>
    </w:p>
    <w:p w14:paraId="75E03A2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Kaplan, A. M. &amp; Haenlein, M. (2010). Users of the World, Unite! The Challenges and Opportunities of Social Media. </w:t>
      </w:r>
      <w:r w:rsidRPr="00596C9A">
        <w:rPr>
          <w:rFonts w:cs="Calibri"/>
          <w:i/>
          <w:iCs/>
          <w:noProof/>
        </w:rPr>
        <w:t>Business Horizons</w:t>
      </w:r>
      <w:r w:rsidRPr="00596C9A">
        <w:rPr>
          <w:rFonts w:cs="Calibri"/>
          <w:noProof/>
        </w:rPr>
        <w:t>, 53(1), 59–68.</w:t>
      </w:r>
    </w:p>
    <w:p w14:paraId="3624AC4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Karimiziarani, M., Jafarzadegan, K., Abbaszadeh, P., Shao, W. &amp; Moradkhani, H. (2022). Hazard Risk Awareness and Disaster Management: Extracting the Information Content of Twitter Data. </w:t>
      </w:r>
      <w:r w:rsidRPr="00596C9A">
        <w:rPr>
          <w:rFonts w:cs="Calibri"/>
          <w:i/>
          <w:iCs/>
          <w:noProof/>
        </w:rPr>
        <w:t>Sustainable Cities and Society</w:t>
      </w:r>
      <w:r w:rsidRPr="00596C9A">
        <w:rPr>
          <w:rFonts w:cs="Calibri"/>
          <w:noProof/>
        </w:rPr>
        <w:t>, 77, 1–11.</w:t>
      </w:r>
    </w:p>
    <w:p w14:paraId="37F2419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Katz, E. (1957). The Two-Step Flow of Communication: An Up-To-Date Report on an Hypothesis. </w:t>
      </w:r>
      <w:r w:rsidRPr="00596C9A">
        <w:rPr>
          <w:rFonts w:cs="Calibri"/>
          <w:i/>
          <w:iCs/>
          <w:noProof/>
        </w:rPr>
        <w:t>Public Opinion Quarterly</w:t>
      </w:r>
      <w:r w:rsidRPr="00596C9A">
        <w:rPr>
          <w:rFonts w:cs="Calibri"/>
          <w:noProof/>
        </w:rPr>
        <w:t>, 21(1), 61–78.</w:t>
      </w:r>
    </w:p>
    <w:p w14:paraId="63CA115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Kawachi, I., Takao, S. &amp; Subramanian, S. V. (2013). </w:t>
      </w:r>
      <w:r w:rsidRPr="00596C9A">
        <w:rPr>
          <w:rFonts w:cs="Calibri"/>
          <w:i/>
          <w:iCs/>
          <w:noProof/>
        </w:rPr>
        <w:t>Global Perspectives on Social Capital and Health</w:t>
      </w:r>
      <w:r w:rsidRPr="00596C9A">
        <w:rPr>
          <w:rFonts w:cs="Calibri"/>
          <w:noProof/>
        </w:rPr>
        <w:t>.</w:t>
      </w:r>
    </w:p>
    <w:p w14:paraId="5A093E1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Kearney, G. P., Corman, M. K., Gormley, G. J., Hart, N. D., Johnston, J. L. &amp; Smith, D. E. (2018). Institutional Ethnography: A Sociology of Discovery - In Conversation with Dorothy Smith. </w:t>
      </w:r>
      <w:r w:rsidRPr="00596C9A">
        <w:rPr>
          <w:rFonts w:cs="Calibri"/>
          <w:i/>
          <w:iCs/>
          <w:noProof/>
        </w:rPr>
        <w:t>Social Theory and Health</w:t>
      </w:r>
      <w:r w:rsidRPr="00596C9A">
        <w:rPr>
          <w:rFonts w:cs="Calibri"/>
          <w:noProof/>
        </w:rPr>
        <w:t>, 16(3), 292–306.</w:t>
      </w:r>
    </w:p>
    <w:p w14:paraId="2FA06E6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Kelly, R., O’Donohoe, S. &amp; Doyle, G. (2023). Key Forces Compelling the Monitoring of Hospital Performance: An Exploratory Study. </w:t>
      </w:r>
      <w:r w:rsidRPr="00596C9A">
        <w:rPr>
          <w:rFonts w:cs="Calibri"/>
          <w:i/>
          <w:iCs/>
          <w:noProof/>
        </w:rPr>
        <w:t>Financial Accountability and Management</w:t>
      </w:r>
      <w:r w:rsidRPr="00596C9A">
        <w:rPr>
          <w:rFonts w:cs="Calibri"/>
          <w:noProof/>
        </w:rPr>
        <w:t>, 39(3), 616–635.</w:t>
      </w:r>
    </w:p>
    <w:p w14:paraId="38B8EC3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Kenny, B., Wu, A. &amp; Calic, G. (2023). Elon Musk’s Twitter Takeover: Lessons in Strategic Change. </w:t>
      </w:r>
      <w:r w:rsidRPr="00596C9A">
        <w:rPr>
          <w:rFonts w:cs="Calibri"/>
          <w:i/>
          <w:iCs/>
          <w:noProof/>
        </w:rPr>
        <w:t>Harvard Business School - Cold Call Podcast</w:t>
      </w:r>
      <w:r w:rsidRPr="00596C9A">
        <w:rPr>
          <w:rFonts w:cs="Calibri"/>
          <w:noProof/>
        </w:rPr>
        <w:t>. Retrieved from https://hbswk.hbs.edu/item/cold-call-elon-musks-twitter-takeover-lessons-in-strategic-change</w:t>
      </w:r>
    </w:p>
    <w:p w14:paraId="2949EE2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Khan, K., Charters, J., Graham, T. L., Nasriani, H. R. &amp; Ndlovu, S. (2018). A Case Study of the Effects of Posttraumatic Stress Disorder on Operational Fire Service Personnel Within the Lancashire Fire and Rescue Service. </w:t>
      </w:r>
      <w:r w:rsidRPr="00596C9A">
        <w:rPr>
          <w:rFonts w:cs="Calibri"/>
          <w:i/>
          <w:iCs/>
          <w:noProof/>
        </w:rPr>
        <w:t>Safety and Health at Work</w:t>
      </w:r>
      <w:r w:rsidRPr="00596C9A">
        <w:rPr>
          <w:rFonts w:cs="Calibri"/>
          <w:noProof/>
        </w:rPr>
        <w:t>, 9(3), 277–289.</w:t>
      </w:r>
    </w:p>
    <w:p w14:paraId="14429D5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Khan, S., Mishra, J., Ahmed, N., Onyige, C. D., Lin, K. E., Siew, R. &amp; Lim, B. H. (2022). Risk Communication and Community Engagement during COVID-19. </w:t>
      </w:r>
      <w:r w:rsidRPr="00596C9A">
        <w:rPr>
          <w:rFonts w:cs="Calibri"/>
          <w:i/>
          <w:iCs/>
          <w:noProof/>
        </w:rPr>
        <w:t>International Journal of Disaster Risk Reduction</w:t>
      </w:r>
      <w:r w:rsidRPr="00596C9A">
        <w:rPr>
          <w:rFonts w:cs="Calibri"/>
          <w:noProof/>
        </w:rPr>
        <w:t>, 74, 1–13.</w:t>
      </w:r>
    </w:p>
    <w:p w14:paraId="5A9B1BD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Kim, A. E., Hansen, H. M., Murphy, J., Richards, A. K., Duke, J. &amp; Allen, J. A. (2013). Methodological Considerations in Analyzing Twitter Data. </w:t>
      </w:r>
      <w:r w:rsidRPr="00596C9A">
        <w:rPr>
          <w:rFonts w:cs="Calibri"/>
          <w:i/>
          <w:iCs/>
          <w:noProof/>
        </w:rPr>
        <w:t>Journal of the National Cancer Institute - Monographs</w:t>
      </w:r>
      <w:r w:rsidRPr="00596C9A">
        <w:rPr>
          <w:rFonts w:cs="Calibri"/>
          <w:noProof/>
        </w:rPr>
        <w:t>, 47, 140–146.</w:t>
      </w:r>
    </w:p>
    <w:p w14:paraId="0B89313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Kite, J., Foley, B. C., Grunseit, A. C. &amp; Freeman, B. (2016). Please like Me: Facebook and Public Health Communication. </w:t>
      </w:r>
      <w:r w:rsidRPr="00596C9A">
        <w:rPr>
          <w:rFonts w:cs="Calibri"/>
          <w:i/>
          <w:iCs/>
          <w:noProof/>
        </w:rPr>
        <w:t>PLoS ONE</w:t>
      </w:r>
      <w:r w:rsidRPr="00596C9A">
        <w:rPr>
          <w:rFonts w:cs="Calibri"/>
          <w:noProof/>
        </w:rPr>
        <w:t>, 11(9), 1–16.</w:t>
      </w:r>
    </w:p>
    <w:p w14:paraId="2932312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lastRenderedPageBreak/>
        <w:t xml:space="preserve">Kite, J. &amp; Phongsavan, P. (2017). Insights for Conducting Real-Time Focus Groups Online Using a Web Conferencing Service. </w:t>
      </w:r>
      <w:r w:rsidRPr="00596C9A">
        <w:rPr>
          <w:rFonts w:cs="Calibri"/>
          <w:i/>
          <w:iCs/>
          <w:noProof/>
        </w:rPr>
        <w:t>F1000Research</w:t>
      </w:r>
      <w:r w:rsidRPr="00596C9A">
        <w:rPr>
          <w:rFonts w:cs="Calibri"/>
          <w:noProof/>
        </w:rPr>
        <w:t>, 6(122), 1–12.</w:t>
      </w:r>
    </w:p>
    <w:p w14:paraId="05953A2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Klag, M. &amp; Langley, A. (2023). When Everything Interacts With Everything Else: Intervening in Messes. </w:t>
      </w:r>
      <w:r w:rsidRPr="00596C9A">
        <w:rPr>
          <w:rFonts w:cs="Calibri"/>
          <w:i/>
          <w:iCs/>
          <w:noProof/>
        </w:rPr>
        <w:t>Academy of Management Perspectives</w:t>
      </w:r>
      <w:r w:rsidRPr="00596C9A">
        <w:rPr>
          <w:rFonts w:cs="Calibri"/>
          <w:noProof/>
        </w:rPr>
        <w:t>, 37(1), 37–54.</w:t>
      </w:r>
    </w:p>
    <w:p w14:paraId="48E5BE5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Klinger, U. &amp; Svensson, J. (2015). The Emergence of Network Media Logic in Political Communication: A Theoretical Approach. </w:t>
      </w:r>
      <w:r w:rsidRPr="00596C9A">
        <w:rPr>
          <w:rFonts w:cs="Calibri"/>
          <w:i/>
          <w:iCs/>
          <w:noProof/>
        </w:rPr>
        <w:t>New Media and Society</w:t>
      </w:r>
      <w:r w:rsidRPr="00596C9A">
        <w:rPr>
          <w:rFonts w:cs="Calibri"/>
          <w:noProof/>
        </w:rPr>
        <w:t>, 17(8), 1241–1257.</w:t>
      </w:r>
    </w:p>
    <w:p w14:paraId="30C4025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Knafo, S. (2020). Neoliberalism and the Origins of Public Management. </w:t>
      </w:r>
      <w:r w:rsidRPr="00596C9A">
        <w:rPr>
          <w:rFonts w:cs="Calibri"/>
          <w:i/>
          <w:iCs/>
          <w:noProof/>
        </w:rPr>
        <w:t>Review of International Political Economy</w:t>
      </w:r>
      <w:r w:rsidRPr="00596C9A">
        <w:rPr>
          <w:rFonts w:cs="Calibri"/>
          <w:noProof/>
        </w:rPr>
        <w:t>, 27(4), 780–801.</w:t>
      </w:r>
    </w:p>
    <w:p w14:paraId="6A99E12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Koch, A. E., Bohn, J., Corvin, J. A. &amp; Seaberg, J. (2023). Maturing Into High-Functioning Health-Care Coalitions: A Qualitative Nationwide Study of Emergency Preparedness and Response Leadership. </w:t>
      </w:r>
      <w:r w:rsidRPr="00596C9A">
        <w:rPr>
          <w:rFonts w:cs="Calibri"/>
          <w:i/>
          <w:iCs/>
          <w:noProof/>
        </w:rPr>
        <w:t>Disaster Medicine and Public Health Preparedness</w:t>
      </w:r>
      <w:r w:rsidRPr="00596C9A">
        <w:rPr>
          <w:rFonts w:cs="Calibri"/>
          <w:noProof/>
        </w:rPr>
        <w:t>, 17, 1–9.</w:t>
      </w:r>
    </w:p>
    <w:p w14:paraId="2C5F551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Kook, R., Harel-Shalev, A. &amp; Yuval, F. (2019). Focus Groups and the Collective Construction of Meaning: Listening to Minority Women. </w:t>
      </w:r>
      <w:r w:rsidRPr="00596C9A">
        <w:rPr>
          <w:rFonts w:cs="Calibri"/>
          <w:i/>
          <w:iCs/>
          <w:noProof/>
        </w:rPr>
        <w:t>Women’s Studies International Forum</w:t>
      </w:r>
      <w:r w:rsidRPr="00596C9A">
        <w:rPr>
          <w:rFonts w:cs="Calibri"/>
          <w:noProof/>
        </w:rPr>
        <w:t>, 72(1), 87–94.</w:t>
      </w:r>
    </w:p>
    <w:p w14:paraId="604FDE2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Korosteleva, E. A. &amp; Petrova, I. (2022). What Makes Communities Resilient in Times of Complexity and Change? </w:t>
      </w:r>
      <w:r w:rsidRPr="00596C9A">
        <w:rPr>
          <w:rFonts w:cs="Calibri"/>
          <w:i/>
          <w:iCs/>
          <w:noProof/>
        </w:rPr>
        <w:t>Cambridge Review of International Affairs</w:t>
      </w:r>
      <w:r w:rsidRPr="00596C9A">
        <w:rPr>
          <w:rFonts w:cs="Calibri"/>
          <w:noProof/>
        </w:rPr>
        <w:t>, 35(2), 137–157.</w:t>
      </w:r>
    </w:p>
    <w:p w14:paraId="730A114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Kotus, J. &amp; Sowada, T. (2017). Behavioural Model of Collaborative Urban Management: Extending the Concept of Arnstein’s Ladder. </w:t>
      </w:r>
      <w:r w:rsidRPr="00596C9A">
        <w:rPr>
          <w:rFonts w:cs="Calibri"/>
          <w:i/>
          <w:iCs/>
          <w:noProof/>
        </w:rPr>
        <w:t>Cities</w:t>
      </w:r>
      <w:r w:rsidRPr="00596C9A">
        <w:rPr>
          <w:rFonts w:cs="Calibri"/>
          <w:noProof/>
        </w:rPr>
        <w:t>, 65, 78–86.</w:t>
      </w:r>
    </w:p>
    <w:p w14:paraId="6445907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Krause, N. M., Freiling, I., Beets, B. &amp; Brossard, D. (2020). Fact-Checking as Risk Communication: The Multi-Layered Risk of Misinformation in Times of COVID-19. </w:t>
      </w:r>
      <w:r w:rsidRPr="00596C9A">
        <w:rPr>
          <w:rFonts w:cs="Calibri"/>
          <w:i/>
          <w:iCs/>
          <w:noProof/>
        </w:rPr>
        <w:t>Journal of Risk Research</w:t>
      </w:r>
      <w:r w:rsidRPr="00596C9A">
        <w:rPr>
          <w:rFonts w:cs="Calibri"/>
          <w:noProof/>
        </w:rPr>
        <w:t>, 23(7–8), 1052–1059.</w:t>
      </w:r>
    </w:p>
    <w:p w14:paraId="5BC4A7C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Krisp, J. M. (2010). Planning Fire and Rescue Services by Visualizing Mobile Phone Density. </w:t>
      </w:r>
      <w:r w:rsidRPr="00596C9A">
        <w:rPr>
          <w:rFonts w:cs="Calibri"/>
          <w:i/>
          <w:iCs/>
          <w:noProof/>
        </w:rPr>
        <w:t>Journal of Urban Technology</w:t>
      </w:r>
      <w:r w:rsidRPr="00596C9A">
        <w:rPr>
          <w:rFonts w:cs="Calibri"/>
          <w:noProof/>
        </w:rPr>
        <w:t>, 17(1), 61–69.</w:t>
      </w:r>
    </w:p>
    <w:p w14:paraId="226683F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Kruijf, J. V., Verbrugge, L., Schröter, B., Fliervoet, J., Henze, J. &amp; Albert, C. (2022). Knowledge Co-Production and Researcher Roles in Transdisciplinary Environmental Management Projects. </w:t>
      </w:r>
      <w:r w:rsidRPr="00596C9A">
        <w:rPr>
          <w:rFonts w:cs="Calibri"/>
          <w:i/>
          <w:iCs/>
          <w:noProof/>
        </w:rPr>
        <w:t>Sustainable Development</w:t>
      </w:r>
      <w:r w:rsidRPr="00596C9A">
        <w:rPr>
          <w:rFonts w:cs="Calibri"/>
          <w:noProof/>
        </w:rPr>
        <w:t>, 30(2), 393–405.</w:t>
      </w:r>
    </w:p>
    <w:p w14:paraId="51E19DC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Kuhlicke, C. (2013). Resilience: A Capacity and a Myth: Findings from an in-Depth Case Study in Disaster Management Research. </w:t>
      </w:r>
      <w:r w:rsidRPr="00596C9A">
        <w:rPr>
          <w:rFonts w:cs="Calibri"/>
          <w:i/>
          <w:iCs/>
          <w:noProof/>
        </w:rPr>
        <w:t>Natural Hazards</w:t>
      </w:r>
      <w:r w:rsidRPr="00596C9A">
        <w:rPr>
          <w:rFonts w:cs="Calibri"/>
          <w:noProof/>
        </w:rPr>
        <w:t>, 67, 61–76.</w:t>
      </w:r>
    </w:p>
    <w:p w14:paraId="576ECF9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Lammers, J. C. (2011). How Institutions Communicate: Institutional Messages, Institutional Logics, and Organizational Communication. </w:t>
      </w:r>
      <w:r w:rsidRPr="00596C9A">
        <w:rPr>
          <w:rFonts w:cs="Calibri"/>
          <w:i/>
          <w:iCs/>
          <w:noProof/>
        </w:rPr>
        <w:t>Management Communication Quarterly</w:t>
      </w:r>
      <w:r w:rsidRPr="00596C9A">
        <w:rPr>
          <w:rFonts w:cs="Calibri"/>
          <w:noProof/>
        </w:rPr>
        <w:t>, 25(1), 154–182.</w:t>
      </w:r>
    </w:p>
    <w:p w14:paraId="511E5D5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Lauran, N., Kunneman, F. &amp; Van de Wijngaert, L. (2019). Connecting Social Media Data and </w:t>
      </w:r>
      <w:r w:rsidRPr="00596C9A">
        <w:rPr>
          <w:rFonts w:cs="Calibri"/>
          <w:noProof/>
        </w:rPr>
        <w:lastRenderedPageBreak/>
        <w:t xml:space="preserve">Crisis Communication Theory: A Case Study on the Chicken and the Egg. </w:t>
      </w:r>
      <w:r w:rsidRPr="00596C9A">
        <w:rPr>
          <w:rFonts w:cs="Calibri"/>
          <w:i/>
          <w:iCs/>
          <w:noProof/>
        </w:rPr>
        <w:t>Journal of Risk Research</w:t>
      </w:r>
      <w:r w:rsidRPr="00596C9A">
        <w:rPr>
          <w:rFonts w:cs="Calibri"/>
          <w:noProof/>
        </w:rPr>
        <w:t>, 23(10), 1–20.</w:t>
      </w:r>
    </w:p>
    <w:p w14:paraId="14F0E1F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Lawrence, M. G., Williams, S., Nanz, P. &amp; Renn, O. (2022). Characteristics, Potentials, and Challenges of Transdisciplinary Research. </w:t>
      </w:r>
      <w:r w:rsidRPr="00596C9A">
        <w:rPr>
          <w:rFonts w:cs="Calibri"/>
          <w:i/>
          <w:iCs/>
          <w:noProof/>
        </w:rPr>
        <w:t>One Earth</w:t>
      </w:r>
      <w:r w:rsidRPr="00596C9A">
        <w:rPr>
          <w:rFonts w:cs="Calibri"/>
          <w:noProof/>
        </w:rPr>
        <w:t>, 5(1), 44-61.</w:t>
      </w:r>
    </w:p>
    <w:p w14:paraId="7819ECD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Lee, M. D. P. &amp; Lounsbury, M. (2015). Filtering Institutional Logics: Community Logic Variation and Differential Responses to the Institutional Complexity of Toxic Waste. </w:t>
      </w:r>
      <w:r w:rsidRPr="00596C9A">
        <w:rPr>
          <w:rFonts w:cs="Calibri"/>
          <w:i/>
          <w:iCs/>
          <w:noProof/>
        </w:rPr>
        <w:t>Organization Science</w:t>
      </w:r>
      <w:r w:rsidRPr="00596C9A">
        <w:rPr>
          <w:rFonts w:cs="Calibri"/>
          <w:noProof/>
        </w:rPr>
        <w:t>, 26(3), 847–866.</w:t>
      </w:r>
    </w:p>
    <w:p w14:paraId="159FD6B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Lehn, S. F., Thuesen, J., Bunkenborg, G., Zwisler, A. D. &amp; Rod, M. H. (2018). Implementation between Text and Work-a Qualitative Study of a Readmission Prevention Program Targeting Elderly Patients. </w:t>
      </w:r>
      <w:r w:rsidRPr="00596C9A">
        <w:rPr>
          <w:rFonts w:cs="Calibri"/>
          <w:i/>
          <w:iCs/>
          <w:noProof/>
        </w:rPr>
        <w:t>Implementation Science</w:t>
      </w:r>
      <w:r w:rsidRPr="00596C9A">
        <w:rPr>
          <w:rFonts w:cs="Calibri"/>
          <w:noProof/>
        </w:rPr>
        <w:t>, 13(38), 1–12.</w:t>
      </w:r>
    </w:p>
    <w:p w14:paraId="2FFCDF7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Lelisho, M. E., Pandey, D., Alemu, B. D., Pandey, B. K. &amp; Tareke, S. A. (2023). The Negative Impact of Social Media during COVID-19 Pandemic. </w:t>
      </w:r>
      <w:r w:rsidRPr="00596C9A">
        <w:rPr>
          <w:rFonts w:cs="Calibri"/>
          <w:i/>
          <w:iCs/>
          <w:noProof/>
        </w:rPr>
        <w:t>Trends in Psychology</w:t>
      </w:r>
      <w:r w:rsidRPr="00596C9A">
        <w:rPr>
          <w:rFonts w:cs="Calibri"/>
          <w:noProof/>
        </w:rPr>
        <w:t>, 31(1), 123–142.</w:t>
      </w:r>
    </w:p>
    <w:p w14:paraId="13154F1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Li, C. Y. (2017). Why Do Online Consumers Experience Information Overload? An Extension of Communication Theory. </w:t>
      </w:r>
      <w:r w:rsidRPr="00596C9A">
        <w:rPr>
          <w:rFonts w:cs="Calibri"/>
          <w:i/>
          <w:iCs/>
          <w:noProof/>
        </w:rPr>
        <w:t>Journal of Information Science</w:t>
      </w:r>
      <w:r w:rsidRPr="00596C9A">
        <w:rPr>
          <w:rFonts w:cs="Calibri"/>
          <w:noProof/>
        </w:rPr>
        <w:t>, 43(6), 835–851.</w:t>
      </w:r>
    </w:p>
    <w:p w14:paraId="3387F90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Lin, Y., Osman, M. &amp; Ashcroft, R. (2017). Nudge: Concept, Effectiveness, and Ethics. </w:t>
      </w:r>
      <w:r w:rsidRPr="00596C9A">
        <w:rPr>
          <w:rFonts w:cs="Calibri"/>
          <w:i/>
          <w:iCs/>
          <w:noProof/>
        </w:rPr>
        <w:t>Basic and Applied Social Psychology</w:t>
      </w:r>
      <w:r w:rsidRPr="00596C9A">
        <w:rPr>
          <w:rFonts w:cs="Calibri"/>
          <w:noProof/>
        </w:rPr>
        <w:t>, 39(6), 293–306.</w:t>
      </w:r>
    </w:p>
    <w:p w14:paraId="026A3D7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Liu, B. F. &amp; Fraustino, J. D. (2014). Beyond Image Repair: Suggestions for Crisis Communication Theory Development. </w:t>
      </w:r>
      <w:r w:rsidRPr="00596C9A">
        <w:rPr>
          <w:rFonts w:cs="Calibri"/>
          <w:i/>
          <w:iCs/>
          <w:noProof/>
        </w:rPr>
        <w:t>Public Relations Review</w:t>
      </w:r>
      <w:r w:rsidRPr="00596C9A">
        <w:rPr>
          <w:rFonts w:cs="Calibri"/>
          <w:noProof/>
        </w:rPr>
        <w:t>, 40(3), 543–546.</w:t>
      </w:r>
    </w:p>
    <w:p w14:paraId="40C3EA1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Liu, T. &amp; Jiao, H. (2018). How Does Information Affect Fire Risk Reduction Behaviors? Mediating Effects of Cognitive Processes and Subjective Knowledge. </w:t>
      </w:r>
      <w:r w:rsidRPr="00596C9A">
        <w:rPr>
          <w:rFonts w:cs="Calibri"/>
          <w:i/>
          <w:iCs/>
          <w:noProof/>
        </w:rPr>
        <w:t>Natural Hazards</w:t>
      </w:r>
      <w:r w:rsidRPr="00596C9A">
        <w:rPr>
          <w:rFonts w:cs="Calibri"/>
          <w:noProof/>
        </w:rPr>
        <w:t>, 90, 1461–1483.</w:t>
      </w:r>
    </w:p>
    <w:p w14:paraId="36F896F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Liu, X., Kar, B., Zhang, C. &amp; Cochran, D. M. (2019). Assessing Relevance of Tweets for Risk Communication. </w:t>
      </w:r>
      <w:r w:rsidRPr="00596C9A">
        <w:rPr>
          <w:rFonts w:cs="Calibri"/>
          <w:i/>
          <w:iCs/>
          <w:noProof/>
        </w:rPr>
        <w:t>International Journal of Digital Earth</w:t>
      </w:r>
      <w:r w:rsidRPr="00596C9A">
        <w:rPr>
          <w:rFonts w:cs="Calibri"/>
          <w:noProof/>
        </w:rPr>
        <w:t>, 12(7), 781–801.</w:t>
      </w:r>
    </w:p>
    <w:p w14:paraId="79C3DF4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Longhurst, R. (1996). Refocusing Groups : Pregnant Women ’ s Geographical Experiences of Hamilton , New Zealand / Aotearoal. </w:t>
      </w:r>
      <w:r w:rsidRPr="00596C9A">
        <w:rPr>
          <w:rFonts w:cs="Calibri"/>
          <w:i/>
          <w:iCs/>
          <w:noProof/>
        </w:rPr>
        <w:t>Area</w:t>
      </w:r>
      <w:r w:rsidRPr="00596C9A">
        <w:rPr>
          <w:rFonts w:cs="Calibri"/>
          <w:noProof/>
        </w:rPr>
        <w:t>, 28(2), 143–149.</w:t>
      </w:r>
    </w:p>
    <w:p w14:paraId="6A58F84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Lönnermark, A., Criel, X., Johansson, J., Cedergren, A., Heuverswyn, K. Van, Judek, C., Lange, D., Arnell, K. &amp; Reilly, P. (2016). </w:t>
      </w:r>
      <w:r w:rsidRPr="00596C9A">
        <w:rPr>
          <w:rFonts w:cs="Calibri"/>
          <w:i/>
          <w:iCs/>
          <w:noProof/>
        </w:rPr>
        <w:t>CascEff Glossary and Definitions</w:t>
      </w:r>
      <w:r w:rsidRPr="00596C9A">
        <w:rPr>
          <w:rFonts w:cs="Calibri"/>
          <w:noProof/>
        </w:rPr>
        <w:t>.</w:t>
      </w:r>
    </w:p>
    <w:p w14:paraId="723903F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López-Marrero, T. &amp; Tschakert, P. (2011). From Theory to Practice: Building More Resilient Communities in Flood-Prone Areas. </w:t>
      </w:r>
      <w:r w:rsidRPr="00596C9A">
        <w:rPr>
          <w:rFonts w:cs="Calibri"/>
          <w:i/>
          <w:iCs/>
          <w:noProof/>
        </w:rPr>
        <w:t>Environment and Urbanization</w:t>
      </w:r>
      <w:r w:rsidRPr="00596C9A">
        <w:rPr>
          <w:rFonts w:cs="Calibri"/>
          <w:noProof/>
        </w:rPr>
        <w:t>, 23(1), 229–249.</w:t>
      </w:r>
    </w:p>
    <w:p w14:paraId="105A34F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Lounsbury, M., Steele, C. W. J., Wang, M. S. &amp; Toubiana, M. (2021). New Directions in the Study of Institutional Logics: From Tools to Phenomena. </w:t>
      </w:r>
      <w:r w:rsidRPr="00596C9A">
        <w:rPr>
          <w:rFonts w:cs="Calibri"/>
          <w:i/>
          <w:iCs/>
          <w:noProof/>
        </w:rPr>
        <w:t>Annual Review of Sociology</w:t>
      </w:r>
      <w:r w:rsidRPr="00596C9A">
        <w:rPr>
          <w:rFonts w:cs="Calibri"/>
          <w:noProof/>
        </w:rPr>
        <w:t xml:space="preserve">, </w:t>
      </w:r>
      <w:r w:rsidRPr="00596C9A">
        <w:rPr>
          <w:rFonts w:cs="Calibri"/>
          <w:noProof/>
        </w:rPr>
        <w:lastRenderedPageBreak/>
        <w:t>47(29), 1–20.</w:t>
      </w:r>
    </w:p>
    <w:p w14:paraId="6FAD87C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Lovejoy, K. &amp; Saxton, G. D. (2012). Information, Community, and Action: How Nonprofit Organizations Use Social Media. </w:t>
      </w:r>
      <w:r w:rsidRPr="00596C9A">
        <w:rPr>
          <w:rFonts w:cs="Calibri"/>
          <w:i/>
          <w:iCs/>
          <w:noProof/>
        </w:rPr>
        <w:t>Journal of Computer-Mediated Communication</w:t>
      </w:r>
      <w:r w:rsidRPr="00596C9A">
        <w:rPr>
          <w:rFonts w:cs="Calibri"/>
          <w:noProof/>
        </w:rPr>
        <w:t>, 17(3), 337–353.</w:t>
      </w:r>
    </w:p>
    <w:p w14:paraId="6F3E6D5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Lowrey, W. (2017). The Emergence and Development of News Fact-Checking Sites: Institutional Logics and Population Ecology. </w:t>
      </w:r>
      <w:r w:rsidRPr="00596C9A">
        <w:rPr>
          <w:rFonts w:cs="Calibri"/>
          <w:i/>
          <w:iCs/>
          <w:noProof/>
        </w:rPr>
        <w:t>Journalism Studies</w:t>
      </w:r>
      <w:r w:rsidRPr="00596C9A">
        <w:rPr>
          <w:rFonts w:cs="Calibri"/>
          <w:noProof/>
        </w:rPr>
        <w:t>, 18(3), 376–394.</w:t>
      </w:r>
    </w:p>
    <w:p w14:paraId="48F5048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Lowton, K., Laybourne, A. H., Whiting, D. G. &amp; Martin, F. C. (2010). Can Fire and Rescue Services and the National Health Service Work Together to Improve the Safety and Wellbeing of Vulnerable Older People? Design of a Proof of Concept Study. </w:t>
      </w:r>
      <w:r w:rsidRPr="00596C9A">
        <w:rPr>
          <w:rFonts w:cs="Calibri"/>
          <w:i/>
          <w:iCs/>
          <w:noProof/>
        </w:rPr>
        <w:t>BMC Health Services Research</w:t>
      </w:r>
      <w:r w:rsidRPr="00596C9A">
        <w:rPr>
          <w:rFonts w:cs="Calibri"/>
          <w:noProof/>
        </w:rPr>
        <w:t>, 10, 327–336.</w:t>
      </w:r>
    </w:p>
    <w:p w14:paraId="7ABCC21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Ludin, S. M., Rohaizat, M. &amp; Arbon, P. (2019). The Association between Social Cohesion and Community Disaster Resilience: A Cross‐sectional Study. </w:t>
      </w:r>
      <w:r w:rsidRPr="00596C9A">
        <w:rPr>
          <w:rFonts w:cs="Calibri"/>
          <w:i/>
          <w:iCs/>
          <w:noProof/>
        </w:rPr>
        <w:t>Health and Social Care in the Community</w:t>
      </w:r>
      <w:r w:rsidRPr="00596C9A">
        <w:rPr>
          <w:rFonts w:cs="Calibri"/>
          <w:noProof/>
        </w:rPr>
        <w:t>, 27(3), 621–631.</w:t>
      </w:r>
    </w:p>
    <w:p w14:paraId="366E7B3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Lund, R. (2012). Publishing to Become an ‘Ideal Academic’: An Institutional Ethnography and a Feminist Critique. </w:t>
      </w:r>
      <w:r w:rsidRPr="00596C9A">
        <w:rPr>
          <w:rFonts w:cs="Calibri"/>
          <w:i/>
          <w:iCs/>
          <w:noProof/>
        </w:rPr>
        <w:t>Scandinavian Journal of Management</w:t>
      </w:r>
      <w:r w:rsidRPr="00596C9A">
        <w:rPr>
          <w:rFonts w:cs="Calibri"/>
          <w:noProof/>
        </w:rPr>
        <w:t>, 28(3), 218–228.</w:t>
      </w:r>
    </w:p>
    <w:p w14:paraId="4778DF7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Lund, R. &amp; Tienari, J. (2015). Institutional Ethnography: An Alternative Way to Study M&amp;As, in: Risberg, A., King, D. R., and Meglio, O. (Eds.), </w:t>
      </w:r>
      <w:r w:rsidRPr="00596C9A">
        <w:rPr>
          <w:rFonts w:cs="Calibri"/>
          <w:i/>
          <w:iCs/>
          <w:noProof/>
        </w:rPr>
        <w:t>The Routledge Companion to Mergers and Acquisitions</w:t>
      </w:r>
      <w:r w:rsidRPr="00596C9A">
        <w:rPr>
          <w:rFonts w:cs="Calibri"/>
          <w:noProof/>
        </w:rPr>
        <w:t>, (pp. 242–258). Abingdon: Routledge.</w:t>
      </w:r>
    </w:p>
    <w:p w14:paraId="0320C75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Lyamzina, Y. &amp; Slovic, P. (2019). Community-Oriented Risk Communication in Recovery Efforts after Radiological Contamination/Accidents. </w:t>
      </w:r>
      <w:r w:rsidRPr="00596C9A">
        <w:rPr>
          <w:rFonts w:cs="Calibri"/>
          <w:i/>
          <w:iCs/>
          <w:noProof/>
        </w:rPr>
        <w:t>Risk, Hazards and Crisis in Public Policy</w:t>
      </w:r>
      <w:r w:rsidRPr="00596C9A">
        <w:rPr>
          <w:rFonts w:cs="Calibri"/>
          <w:noProof/>
        </w:rPr>
        <w:t>, 10(2), 197–211.</w:t>
      </w:r>
    </w:p>
    <w:p w14:paraId="1B8B636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Lythreatis, S., Singh, S. K. &amp; El-Kassar, A. N. (2022). The Digital Divide: A Review and Future Research Agenda. </w:t>
      </w:r>
      <w:r w:rsidRPr="00596C9A">
        <w:rPr>
          <w:rFonts w:cs="Calibri"/>
          <w:i/>
          <w:iCs/>
          <w:noProof/>
        </w:rPr>
        <w:t>Technological Forecasting and Social Change</w:t>
      </w:r>
      <w:r w:rsidRPr="00596C9A">
        <w:rPr>
          <w:rFonts w:cs="Calibri"/>
          <w:noProof/>
        </w:rPr>
        <w:t>, 175, 1–11.</w:t>
      </w:r>
    </w:p>
    <w:p w14:paraId="4D70BB9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Macdonagh, P., Comer, M., Mackin, M., O’Byrnes, R., Dobrokhotova, E., Wendt, W., Kloyber, C., Elliot, A. &amp; McCarthy, S. (2016). </w:t>
      </w:r>
      <w:r w:rsidRPr="00596C9A">
        <w:rPr>
          <w:rFonts w:cs="Calibri"/>
          <w:i/>
          <w:iCs/>
          <w:noProof/>
        </w:rPr>
        <w:t>D35.1 - Best Practice In Communication for Civil Resilience</w:t>
      </w:r>
      <w:r w:rsidRPr="00596C9A">
        <w:rPr>
          <w:rFonts w:cs="Calibri"/>
          <w:noProof/>
        </w:rPr>
        <w:t>.</w:t>
      </w:r>
    </w:p>
    <w:p w14:paraId="78D851A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MacNamara, N., Mackle, D., Trew, J. D., Pierson, C. &amp; Bloomer, F. (2021). Reflecting on Asynchronous Internet Mediated Focus Groups for Researching Culturally Sensitive Issues. </w:t>
      </w:r>
      <w:r w:rsidRPr="00596C9A">
        <w:rPr>
          <w:rFonts w:cs="Calibri"/>
          <w:i/>
          <w:iCs/>
          <w:noProof/>
        </w:rPr>
        <w:t>International Journal of Social Research Methodology</w:t>
      </w:r>
      <w:r w:rsidRPr="00596C9A">
        <w:rPr>
          <w:rFonts w:cs="Calibri"/>
          <w:noProof/>
        </w:rPr>
        <w:t>, 24(5), 553–565.</w:t>
      </w:r>
    </w:p>
    <w:p w14:paraId="1DC2A6A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Magis, K. (2010). Community Resilience: An Indicator of Social Sustainability. </w:t>
      </w:r>
      <w:r w:rsidRPr="00596C9A">
        <w:rPr>
          <w:rFonts w:cs="Calibri"/>
          <w:i/>
          <w:iCs/>
          <w:noProof/>
        </w:rPr>
        <w:t>Society and Natural Resources</w:t>
      </w:r>
      <w:r w:rsidRPr="00596C9A">
        <w:rPr>
          <w:rFonts w:cs="Calibri"/>
          <w:noProof/>
        </w:rPr>
        <w:t>, 23(5), 401–416.</w:t>
      </w:r>
    </w:p>
    <w:p w14:paraId="4F7F324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Manyena, B., O’Brien, G., O’Keefe, P. &amp; Rose, J. (2011). Disaster Resilience: A Bounce Back or </w:t>
      </w:r>
      <w:r w:rsidRPr="00596C9A">
        <w:rPr>
          <w:rFonts w:cs="Calibri"/>
          <w:noProof/>
        </w:rPr>
        <w:lastRenderedPageBreak/>
        <w:t xml:space="preserve">Bounce Forward Ability? </w:t>
      </w:r>
      <w:r w:rsidRPr="00596C9A">
        <w:rPr>
          <w:rFonts w:cs="Calibri"/>
          <w:i/>
          <w:iCs/>
          <w:noProof/>
        </w:rPr>
        <w:t>Local Environment</w:t>
      </w:r>
      <w:r w:rsidRPr="00596C9A">
        <w:rPr>
          <w:rFonts w:cs="Calibri"/>
          <w:noProof/>
        </w:rPr>
        <w:t>, 16(6), 1–9.</w:t>
      </w:r>
    </w:p>
    <w:p w14:paraId="5DB9763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Manzi, T. (2015). The Big Society and the Conjunction of Crises: Justifying Welfare Reform and Undermining Social Housing. </w:t>
      </w:r>
      <w:r w:rsidRPr="00596C9A">
        <w:rPr>
          <w:rFonts w:cs="Calibri"/>
          <w:i/>
          <w:iCs/>
          <w:noProof/>
        </w:rPr>
        <w:t>Housing, Theory and Society</w:t>
      </w:r>
      <w:r w:rsidRPr="00596C9A">
        <w:rPr>
          <w:rFonts w:cs="Calibri"/>
          <w:noProof/>
        </w:rPr>
        <w:t>, 32(1), 9–24.</w:t>
      </w:r>
    </w:p>
    <w:p w14:paraId="2EF8BEF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Marano, V. &amp; Kostova, T. (2016). Unpacking the Institutional Complexity in Adoption of CSR Practices in Multinational Enterprises. </w:t>
      </w:r>
      <w:r w:rsidRPr="00596C9A">
        <w:rPr>
          <w:rFonts w:cs="Calibri"/>
          <w:i/>
          <w:iCs/>
          <w:noProof/>
        </w:rPr>
        <w:t>Journal of Management Studies</w:t>
      </w:r>
      <w:r w:rsidRPr="00596C9A">
        <w:rPr>
          <w:rFonts w:cs="Calibri"/>
          <w:noProof/>
        </w:rPr>
        <w:t>, 53(1), 28–54.</w:t>
      </w:r>
    </w:p>
    <w:p w14:paraId="17C329A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Mason-Bish, H. (2014). Beyond the Silo, in: Hall, N., Corb, A., Giannasi, P., and Grieve, J. G. D. (Eds.), </w:t>
      </w:r>
      <w:r w:rsidRPr="00596C9A">
        <w:rPr>
          <w:rFonts w:cs="Calibri"/>
          <w:i/>
          <w:iCs/>
          <w:noProof/>
        </w:rPr>
        <w:t>The Routledge International Handbook on Hate Crime</w:t>
      </w:r>
      <w:r w:rsidRPr="00596C9A">
        <w:rPr>
          <w:rFonts w:cs="Calibri"/>
          <w:noProof/>
        </w:rPr>
        <w:t>, (pp. 1–33).</w:t>
      </w:r>
    </w:p>
    <w:p w14:paraId="3520D0C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Matheson, K., Manning, R. &amp; Williams, S. (2011). From Brigade to Service: An Examination of the Role of Fire and Rescue Services in Modern Local Government. </w:t>
      </w:r>
      <w:r w:rsidRPr="00596C9A">
        <w:rPr>
          <w:rFonts w:cs="Calibri"/>
          <w:i/>
          <w:iCs/>
          <w:noProof/>
        </w:rPr>
        <w:t>Local Government Studies</w:t>
      </w:r>
      <w:r w:rsidRPr="00596C9A">
        <w:rPr>
          <w:rFonts w:cs="Calibri"/>
          <w:noProof/>
        </w:rPr>
        <w:t>, 37(4), 451–465.</w:t>
      </w:r>
    </w:p>
    <w:p w14:paraId="46F6C44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Mattis, J. S., Grayman, N. A., Cowie, S. A., Winston, C., Watson, C. &amp; Jackson, D. (2008). Intersectional Identities and the Politics of Altruistic Care in a Low-Income, Urban Community. </w:t>
      </w:r>
      <w:r w:rsidRPr="00596C9A">
        <w:rPr>
          <w:rFonts w:cs="Calibri"/>
          <w:i/>
          <w:iCs/>
          <w:noProof/>
        </w:rPr>
        <w:t>Sex Roles</w:t>
      </w:r>
      <w:r w:rsidRPr="00596C9A">
        <w:rPr>
          <w:rFonts w:cs="Calibri"/>
          <w:noProof/>
        </w:rPr>
        <w:t>, 59(5–6), 418–428.</w:t>
      </w:r>
    </w:p>
    <w:p w14:paraId="03D4AB0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Mayunga, J. S. (2007). </w:t>
      </w:r>
      <w:r w:rsidRPr="00596C9A">
        <w:rPr>
          <w:rFonts w:cs="Calibri"/>
          <w:i/>
          <w:iCs/>
          <w:noProof/>
        </w:rPr>
        <w:t>Understanding and Applying the Concept of Community Disaster Resilience : A Capital-Based Approach</w:t>
      </w:r>
      <w:r w:rsidRPr="00596C9A">
        <w:rPr>
          <w:rFonts w:cs="Calibri"/>
          <w:noProof/>
        </w:rPr>
        <w:t>. Munich.</w:t>
      </w:r>
    </w:p>
    <w:p w14:paraId="10B270E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Mcareavey, C. R. (2014). </w:t>
      </w:r>
      <w:r w:rsidRPr="00596C9A">
        <w:rPr>
          <w:rFonts w:cs="Calibri"/>
          <w:i/>
          <w:iCs/>
          <w:noProof/>
        </w:rPr>
        <w:t>Doing Focus Groups and Interviews with Recent Migrants to Northern Ireland: A Dynamic Interplay of Ethics, Language and Access</w:t>
      </w:r>
      <w:r w:rsidRPr="00596C9A">
        <w:rPr>
          <w:rFonts w:cs="Calibri"/>
          <w:noProof/>
        </w:rPr>
        <w:t>.</w:t>
      </w:r>
    </w:p>
    <w:p w14:paraId="28A238B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McAreavey, R. &amp; Das, C. (2013). A Delicate Balancing Act: Negotiating with Gatekeepers for Ethical Research When Researching Minority Communities. </w:t>
      </w:r>
      <w:r w:rsidRPr="00596C9A">
        <w:rPr>
          <w:rFonts w:cs="Calibri"/>
          <w:i/>
          <w:iCs/>
          <w:noProof/>
        </w:rPr>
        <w:t>International Journal of Qualitative Methods</w:t>
      </w:r>
      <w:r w:rsidRPr="00596C9A">
        <w:rPr>
          <w:rFonts w:cs="Calibri"/>
          <w:noProof/>
        </w:rPr>
        <w:t>, 12(1), 113–131.</w:t>
      </w:r>
    </w:p>
    <w:p w14:paraId="7265B1E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McMaster, R. &amp; Baber, C. (2012). Multi-Agency Operations: Cooperation during Flooding. </w:t>
      </w:r>
      <w:r w:rsidRPr="00596C9A">
        <w:rPr>
          <w:rFonts w:cs="Calibri"/>
          <w:i/>
          <w:iCs/>
          <w:noProof/>
        </w:rPr>
        <w:t>Applied Ergonomics</w:t>
      </w:r>
      <w:r w:rsidRPr="00596C9A">
        <w:rPr>
          <w:rFonts w:cs="Calibri"/>
          <w:noProof/>
        </w:rPr>
        <w:t>, 43(1), 38–47.</w:t>
      </w:r>
    </w:p>
    <w:p w14:paraId="4267797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McMillan, D. W. &amp; Chavis, D. M. (1986). Sense of Community - A Definition and Theory. </w:t>
      </w:r>
      <w:r w:rsidRPr="00596C9A">
        <w:rPr>
          <w:rFonts w:cs="Calibri"/>
          <w:i/>
          <w:iCs/>
          <w:noProof/>
        </w:rPr>
        <w:t>Journal of Community Psychology</w:t>
      </w:r>
      <w:r w:rsidRPr="00596C9A">
        <w:rPr>
          <w:rFonts w:cs="Calibri"/>
          <w:noProof/>
        </w:rPr>
        <w:t>, 14(1), 6–23.</w:t>
      </w:r>
    </w:p>
    <w:p w14:paraId="16AC604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McMurtrey, M. E., McGaughey, R. E., Downey, J. P. &amp; Zeltmann, S. M. (2013). Seniors and Information Technology: Lessons from the Field. </w:t>
      </w:r>
      <w:r w:rsidRPr="00596C9A">
        <w:rPr>
          <w:rFonts w:cs="Calibri"/>
          <w:i/>
          <w:iCs/>
          <w:noProof/>
        </w:rPr>
        <w:t>International Journal of Intercultural Information Management</w:t>
      </w:r>
      <w:r w:rsidRPr="00596C9A">
        <w:rPr>
          <w:rFonts w:cs="Calibri"/>
          <w:noProof/>
        </w:rPr>
        <w:t>, 3(2), 107–122. Retrieved November 2, 2017, from http://www.inderscience.com/link.php?id=53785</w:t>
      </w:r>
    </w:p>
    <w:p w14:paraId="6DF6D35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Merchant, R. M., Elmer, S. &amp; Lurie, N. (2011). Integrating Social Media into Emergency-Preparedness Efforts. </w:t>
      </w:r>
      <w:r w:rsidRPr="00596C9A">
        <w:rPr>
          <w:rFonts w:cs="Calibri"/>
          <w:i/>
          <w:iCs/>
          <w:noProof/>
        </w:rPr>
        <w:t>New England Journal of Medicine</w:t>
      </w:r>
      <w:r w:rsidRPr="00596C9A">
        <w:rPr>
          <w:rFonts w:cs="Calibri"/>
          <w:noProof/>
        </w:rPr>
        <w:t>, 365(4), 289–291.</w:t>
      </w:r>
    </w:p>
    <w:p w14:paraId="3116B65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Mesch, G. &amp; Talmud, I. (2006). The Quality of Online and Offline Relationships: The Role of Multiplexity and Duration of Social Relationships. </w:t>
      </w:r>
      <w:r w:rsidRPr="00596C9A">
        <w:rPr>
          <w:rFonts w:cs="Calibri"/>
          <w:i/>
          <w:iCs/>
          <w:noProof/>
        </w:rPr>
        <w:t>The Information Society</w:t>
      </w:r>
      <w:r w:rsidRPr="00596C9A">
        <w:rPr>
          <w:rFonts w:cs="Calibri"/>
          <w:noProof/>
        </w:rPr>
        <w:t>, 22(3), 137–</w:t>
      </w:r>
      <w:r w:rsidRPr="00596C9A">
        <w:rPr>
          <w:rFonts w:cs="Calibri"/>
          <w:noProof/>
        </w:rPr>
        <w:lastRenderedPageBreak/>
        <w:t>148.</w:t>
      </w:r>
    </w:p>
    <w:p w14:paraId="4F5E7D6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Meyer, J. W. &amp; Rowan, B. (1977). Institutionalized Organizations: Formal Structure as Myth and Ceremony. </w:t>
      </w:r>
      <w:r w:rsidRPr="00596C9A">
        <w:rPr>
          <w:rFonts w:cs="Calibri"/>
          <w:i/>
          <w:iCs/>
          <w:noProof/>
        </w:rPr>
        <w:t>The American Journal of Sociology</w:t>
      </w:r>
      <w:r w:rsidRPr="00596C9A">
        <w:rPr>
          <w:rFonts w:cs="Calibri"/>
          <w:noProof/>
        </w:rPr>
        <w:t>, 83(2), 340–363.</w:t>
      </w:r>
    </w:p>
    <w:p w14:paraId="76FCAE2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Moon, K. &amp; Blackman, D. (2014). A Guide to Understanding Social Science Research for Natural Scientists. </w:t>
      </w:r>
      <w:r w:rsidRPr="00596C9A">
        <w:rPr>
          <w:rFonts w:cs="Calibri"/>
          <w:i/>
          <w:iCs/>
          <w:noProof/>
        </w:rPr>
        <w:t>Conservation Biology</w:t>
      </w:r>
      <w:r w:rsidRPr="00596C9A">
        <w:rPr>
          <w:rFonts w:cs="Calibri"/>
          <w:noProof/>
        </w:rPr>
        <w:t>, 28(5), 1167–1177.</w:t>
      </w:r>
    </w:p>
    <w:p w14:paraId="56B3008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Mosseray, J., Aernouts, N. &amp; Ryckewaert, M. (2023). Institutional Ethnography: A Transformative Mode of Inquiry in the Renovation of a Brussels High-Rise Housing Estate. </w:t>
      </w:r>
      <w:r w:rsidRPr="00596C9A">
        <w:rPr>
          <w:rFonts w:cs="Calibri"/>
          <w:i/>
          <w:iCs/>
          <w:noProof/>
        </w:rPr>
        <w:t>European Planning Studies</w:t>
      </w:r>
      <w:r w:rsidRPr="00596C9A">
        <w:rPr>
          <w:rFonts w:cs="Calibri"/>
          <w:noProof/>
        </w:rPr>
        <w:t>, 31(2), 392–408.</w:t>
      </w:r>
    </w:p>
    <w:p w14:paraId="2C28824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Mountford, N. &amp; Cai, Y. (2023). Towards a Flatter Ontology of Institutional Logics: How Logics Relate in Situations of Institutional Complexity. </w:t>
      </w:r>
      <w:r w:rsidRPr="00596C9A">
        <w:rPr>
          <w:rFonts w:cs="Calibri"/>
          <w:i/>
          <w:iCs/>
          <w:noProof/>
        </w:rPr>
        <w:t>International Journal of Management Reviews</w:t>
      </w:r>
      <w:r w:rsidRPr="00596C9A">
        <w:rPr>
          <w:rFonts w:cs="Calibri"/>
          <w:noProof/>
        </w:rPr>
        <w:t>, 25(2), 363–383.</w:t>
      </w:r>
    </w:p>
    <w:p w14:paraId="291AB6F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Munir, K. A. (2019). Challenging Institutional Theory’s Critical Credentials. </w:t>
      </w:r>
      <w:r w:rsidRPr="00596C9A">
        <w:rPr>
          <w:rFonts w:cs="Calibri"/>
          <w:i/>
          <w:iCs/>
          <w:noProof/>
        </w:rPr>
        <w:t>Organization Theory</w:t>
      </w:r>
      <w:r w:rsidRPr="00596C9A">
        <w:rPr>
          <w:rFonts w:cs="Calibri"/>
          <w:noProof/>
        </w:rPr>
        <w:t>, 1(1), 1–10.</w:t>
      </w:r>
    </w:p>
    <w:p w14:paraId="00E9B4B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Murakami, M. &amp; Tsubokura, M. (2017). Evaluating Risk Communication after the Fukushima Disaster Based on Nudge Theory. </w:t>
      </w:r>
      <w:r w:rsidRPr="00596C9A">
        <w:rPr>
          <w:rFonts w:cs="Calibri"/>
          <w:i/>
          <w:iCs/>
          <w:noProof/>
        </w:rPr>
        <w:t>Asia-Pacific Journal of Public Health</w:t>
      </w:r>
      <w:r w:rsidRPr="00596C9A">
        <w:rPr>
          <w:rFonts w:cs="Calibri"/>
          <w:noProof/>
        </w:rPr>
        <w:t>, 29(2S), 193S-200S.</w:t>
      </w:r>
    </w:p>
    <w:p w14:paraId="20C59C0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Murphy, H., Aliaj, O., Fontanella-Khan, J. &amp; Bradshaw, T. (2022). Elon Musk Closes $ 44bn Deal to Buy Twitter. </w:t>
      </w:r>
      <w:r w:rsidRPr="00596C9A">
        <w:rPr>
          <w:rFonts w:cs="Calibri"/>
          <w:i/>
          <w:iCs/>
          <w:noProof/>
        </w:rPr>
        <w:t>Financial Times</w:t>
      </w:r>
      <w:r w:rsidRPr="00596C9A">
        <w:rPr>
          <w:rFonts w:cs="Calibri"/>
          <w:noProof/>
        </w:rPr>
        <w:t>. Retrieved from https://www.ft.com/content/b429b624-bf82-4ccd-bf69-b75055403952</w:t>
      </w:r>
    </w:p>
    <w:p w14:paraId="58008FF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Murphy, P. &amp; Ferry, L. (2018). Another Turn of the Screw: Fire and Rescue under the Coalition Government of 2010-2015, in: Murphy, P. and Greenhalgh, K. (Eds.), </w:t>
      </w:r>
      <w:r w:rsidRPr="00596C9A">
        <w:rPr>
          <w:rFonts w:cs="Calibri"/>
          <w:i/>
          <w:iCs/>
          <w:noProof/>
        </w:rPr>
        <w:t>Fire and Rescue Services: Leadership and Management Perspectives</w:t>
      </w:r>
      <w:r w:rsidRPr="00596C9A">
        <w:rPr>
          <w:rFonts w:cs="Calibri"/>
          <w:noProof/>
        </w:rPr>
        <w:t>, (pp. 45–59). Nottingham: Springer.</w:t>
      </w:r>
    </w:p>
    <w:p w14:paraId="289EE12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Murphy, P. &amp; Greenhalgh, K. (2013). Performance Management in Fire and Rescue Services. </w:t>
      </w:r>
      <w:r w:rsidRPr="00596C9A">
        <w:rPr>
          <w:rFonts w:cs="Calibri"/>
          <w:i/>
          <w:iCs/>
          <w:noProof/>
        </w:rPr>
        <w:t>Public Money and Management</w:t>
      </w:r>
      <w:r w:rsidRPr="00596C9A">
        <w:rPr>
          <w:rFonts w:cs="Calibri"/>
          <w:noProof/>
        </w:rPr>
        <w:t>, 33(3), 225–232.</w:t>
      </w:r>
    </w:p>
    <w:p w14:paraId="722FCFE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Murphy, P. &amp; Greenhalgh, K. (2018). The Gathering Storm: Modernisation, Local Alignment and Collaboration. Fire and Rescue Services under the Early New Labour Administrations from 1997 to 2005, in: Murphy, P. and Greenhalgh, K. (Eds.), </w:t>
      </w:r>
      <w:r w:rsidRPr="00596C9A">
        <w:rPr>
          <w:rFonts w:cs="Calibri"/>
          <w:i/>
          <w:iCs/>
          <w:noProof/>
        </w:rPr>
        <w:t>Fire and Rescue Services: Leadership and Management Perspectives</w:t>
      </w:r>
      <w:r w:rsidRPr="00596C9A">
        <w:rPr>
          <w:rFonts w:cs="Calibri"/>
          <w:noProof/>
        </w:rPr>
        <w:t>, (pp. 9–26). Nottingham: Springer.</w:t>
      </w:r>
    </w:p>
    <w:p w14:paraId="2F48E3F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Murphy, P., Greenhalgh, K. &amp; Parkin, C. (2012). Fire and Rescue Service Reconfiguration: A Case Study in Nottinghamshire. </w:t>
      </w:r>
      <w:r w:rsidRPr="00596C9A">
        <w:rPr>
          <w:rFonts w:cs="Calibri"/>
          <w:i/>
          <w:iCs/>
          <w:noProof/>
        </w:rPr>
        <w:t>International Journal of Emergency Services</w:t>
      </w:r>
      <w:r w:rsidRPr="00596C9A">
        <w:rPr>
          <w:rFonts w:cs="Calibri"/>
          <w:noProof/>
        </w:rPr>
        <w:t>, 1(1), 86–</w:t>
      </w:r>
      <w:r w:rsidRPr="00596C9A">
        <w:rPr>
          <w:rFonts w:cs="Calibri"/>
          <w:noProof/>
        </w:rPr>
        <w:lastRenderedPageBreak/>
        <w:t>94.</w:t>
      </w:r>
    </w:p>
    <w:p w14:paraId="1A5E09A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Murphy, P., Wankhade, P. &amp; Lakoma, K. (2020). The Strategic and Operational Landscape of Emergency Services in the UK. </w:t>
      </w:r>
      <w:r w:rsidRPr="00596C9A">
        <w:rPr>
          <w:rFonts w:cs="Calibri"/>
          <w:i/>
          <w:iCs/>
          <w:noProof/>
        </w:rPr>
        <w:t>International Journal of Emergency Services</w:t>
      </w:r>
      <w:r w:rsidRPr="00596C9A">
        <w:rPr>
          <w:rFonts w:cs="Calibri"/>
          <w:noProof/>
        </w:rPr>
        <w:t>, 9(1), 69–88.</w:t>
      </w:r>
    </w:p>
    <w:p w14:paraId="24A4B80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Murray, Ó. M. (2022). Text, Process, Discourse: Doing Feminist Text Analysis in Institutional Ethnography. </w:t>
      </w:r>
      <w:r w:rsidRPr="00596C9A">
        <w:rPr>
          <w:rFonts w:cs="Calibri"/>
          <w:i/>
          <w:iCs/>
          <w:noProof/>
        </w:rPr>
        <w:t>International Journal of Social Research Methodology</w:t>
      </w:r>
      <w:r w:rsidRPr="00596C9A">
        <w:rPr>
          <w:rFonts w:cs="Calibri"/>
          <w:noProof/>
        </w:rPr>
        <w:t>, 25(1), 45–57.</w:t>
      </w:r>
    </w:p>
    <w:p w14:paraId="5E351AD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Mutch, A. (2021). Challenging Community: Logic or Context? </w:t>
      </w:r>
      <w:r w:rsidRPr="00596C9A">
        <w:rPr>
          <w:rFonts w:cs="Calibri"/>
          <w:i/>
          <w:iCs/>
          <w:noProof/>
        </w:rPr>
        <w:t>Organization Theory</w:t>
      </w:r>
      <w:r w:rsidRPr="00596C9A">
        <w:rPr>
          <w:rFonts w:cs="Calibri"/>
          <w:noProof/>
        </w:rPr>
        <w:t>, 2(2), 1–18.</w:t>
      </w:r>
    </w:p>
    <w:p w14:paraId="3653A7B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Nadin, S. &amp; Cassell, C. (2006). The Use of a Research Diary as a Tool for Reflexive Practice: Some Reflections from Management Research. </w:t>
      </w:r>
      <w:r w:rsidRPr="00596C9A">
        <w:rPr>
          <w:rFonts w:cs="Calibri"/>
          <w:i/>
          <w:iCs/>
          <w:noProof/>
        </w:rPr>
        <w:t>Qualitative Research in Accounting &amp; Management</w:t>
      </w:r>
      <w:r w:rsidRPr="00596C9A">
        <w:rPr>
          <w:rFonts w:cs="Calibri"/>
          <w:noProof/>
        </w:rPr>
        <w:t>, 3(3), 208–217.</w:t>
      </w:r>
    </w:p>
    <w:p w14:paraId="4254CEE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National Audit Office. (2020). Investigation into Government Procurement during the COVID-19 Pandemic. </w:t>
      </w:r>
      <w:r w:rsidRPr="00596C9A">
        <w:rPr>
          <w:rFonts w:cs="Calibri"/>
          <w:i/>
          <w:iCs/>
          <w:noProof/>
        </w:rPr>
        <w:t>National Audit Office</w:t>
      </w:r>
      <w:r w:rsidRPr="00596C9A">
        <w:rPr>
          <w:rFonts w:cs="Calibri"/>
          <w:noProof/>
        </w:rPr>
        <w:t>. Retrieved from https://www.nao.org.uk/press-releases/government-procurement-during-the-covid-19-pandemic/</w:t>
      </w:r>
    </w:p>
    <w:p w14:paraId="4A921DB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Newman, R., Chang, V., Walters, R. J. &amp; Wills, G. B. (2016). Web 2.0 - The Past and the Future. </w:t>
      </w:r>
      <w:r w:rsidRPr="00596C9A">
        <w:rPr>
          <w:rFonts w:cs="Calibri"/>
          <w:i/>
          <w:iCs/>
          <w:noProof/>
        </w:rPr>
        <w:t>International Journal of Information Management</w:t>
      </w:r>
      <w:r w:rsidRPr="00596C9A">
        <w:rPr>
          <w:rFonts w:cs="Calibri"/>
          <w:noProof/>
        </w:rPr>
        <w:t>, 36(4), 591–598.</w:t>
      </w:r>
    </w:p>
    <w:p w14:paraId="628B500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Nichols, N. &amp; Braimoh, J. (2018). Community Safety, Housing Precariousness and Processes of Exclusion: An Institutional Ethnography from the Standpoints of Youth in an ‘Unsafe’ Urban Neighbourhood. </w:t>
      </w:r>
      <w:r w:rsidRPr="00596C9A">
        <w:rPr>
          <w:rFonts w:cs="Calibri"/>
          <w:i/>
          <w:iCs/>
          <w:noProof/>
        </w:rPr>
        <w:t>Critical Sociology</w:t>
      </w:r>
      <w:r w:rsidRPr="00596C9A">
        <w:rPr>
          <w:rFonts w:cs="Calibri"/>
          <w:noProof/>
        </w:rPr>
        <w:t>, 44(1), 157–172.</w:t>
      </w:r>
    </w:p>
    <w:p w14:paraId="158AB04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Nilfanion. (2014). South Yorkshire Numbered Districts. Retrieved April 2, 2024, from https://commons.wikimedia.org/wiki/File:South_Yorkshire_numbered_districts.svg</w:t>
      </w:r>
    </w:p>
    <w:p w14:paraId="04997E6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Nimrod, G. (2017). Older Audiences in the Digital Media Environment. </w:t>
      </w:r>
      <w:r w:rsidRPr="00596C9A">
        <w:rPr>
          <w:rFonts w:cs="Calibri"/>
          <w:i/>
          <w:iCs/>
          <w:noProof/>
        </w:rPr>
        <w:t>Information, Communication &amp; Society</w:t>
      </w:r>
      <w:r w:rsidRPr="00596C9A">
        <w:rPr>
          <w:rFonts w:cs="Calibri"/>
          <w:noProof/>
        </w:rPr>
        <w:t>, 20(2), 233–249. Retrieved November 2, 2017, from https://www.tandfonline.com/doi/full/10.1080/1369118X.2016.1164740</w:t>
      </w:r>
    </w:p>
    <w:p w14:paraId="0F93948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Ninomiya, M. E. M., Hurley, N. &amp; Penashue, J. (2018). A Decolonizing Method of Inquiry: Using Institutional Ethnography to Facilitate Community-Based Research and Knowledge Translation. </w:t>
      </w:r>
      <w:r w:rsidRPr="00596C9A">
        <w:rPr>
          <w:rFonts w:cs="Calibri"/>
          <w:i/>
          <w:iCs/>
          <w:noProof/>
        </w:rPr>
        <w:t>Critical Public Health</w:t>
      </w:r>
      <w:r w:rsidRPr="00596C9A">
        <w:rPr>
          <w:rFonts w:cs="Calibri"/>
          <w:noProof/>
        </w:rPr>
        <w:t>, 30(2), 1–12.</w:t>
      </w:r>
    </w:p>
    <w:p w14:paraId="2BB6E29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Nofal, O. M. &amp; van de Lindt, J. W. (2022). Understanding Flood Risk in the Context of Community Resilience Modeling for the Built Environment: Research Needs and Trends. </w:t>
      </w:r>
      <w:r w:rsidRPr="00596C9A">
        <w:rPr>
          <w:rFonts w:cs="Calibri"/>
          <w:i/>
          <w:iCs/>
          <w:noProof/>
        </w:rPr>
        <w:t>Sustainable and Resilient Infrastructure</w:t>
      </w:r>
      <w:r w:rsidRPr="00596C9A">
        <w:rPr>
          <w:rFonts w:cs="Calibri"/>
          <w:noProof/>
        </w:rPr>
        <w:t>, 7(3), 171–187.</w:t>
      </w:r>
    </w:p>
    <w:p w14:paraId="221F1D3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Nordanstig, A., Asplund, K., Norrving, B., Wahlgren, N., Wester, P. &amp; Rosengren, L. (2017). Impact of the Swedish National Stroke Campaign on Stroke Awareness. </w:t>
      </w:r>
      <w:r w:rsidRPr="00596C9A">
        <w:rPr>
          <w:rFonts w:cs="Calibri"/>
          <w:i/>
          <w:iCs/>
          <w:noProof/>
        </w:rPr>
        <w:t xml:space="preserve">Acta </w:t>
      </w:r>
      <w:r w:rsidRPr="00596C9A">
        <w:rPr>
          <w:rFonts w:cs="Calibri"/>
          <w:i/>
          <w:iCs/>
          <w:noProof/>
        </w:rPr>
        <w:lastRenderedPageBreak/>
        <w:t>Neurologica Scandinavica</w:t>
      </w:r>
      <w:r w:rsidRPr="00596C9A">
        <w:rPr>
          <w:rFonts w:cs="Calibri"/>
          <w:noProof/>
        </w:rPr>
        <w:t>, 136(4), 345–351.</w:t>
      </w:r>
    </w:p>
    <w:p w14:paraId="1EAF709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Norris, F. H., Stevens, S. P., Pfefferbaum, B., Wyche, K. F. &amp; Pfefferbaum, R. L. (2008). Community Resilience as a Metaphor, Theory, Set of Capacities, and Strategy for Disaster Readiness. </w:t>
      </w:r>
      <w:r w:rsidRPr="00596C9A">
        <w:rPr>
          <w:rFonts w:cs="Calibri"/>
          <w:i/>
          <w:iCs/>
          <w:noProof/>
        </w:rPr>
        <w:t>American Journal of Community Psychology</w:t>
      </w:r>
      <w:r w:rsidRPr="00596C9A">
        <w:rPr>
          <w:rFonts w:cs="Calibri"/>
          <w:noProof/>
        </w:rPr>
        <w:t>, 41, 127–150.</w:t>
      </w:r>
    </w:p>
    <w:p w14:paraId="4B7FF70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Nwabueze, C. &amp; Okonkwo, E. (2018). Rethinking the Bullet Theory in the Digital Age. </w:t>
      </w:r>
      <w:r w:rsidRPr="00596C9A">
        <w:rPr>
          <w:rFonts w:cs="Calibri"/>
          <w:i/>
          <w:iCs/>
          <w:noProof/>
        </w:rPr>
        <w:t>International Journal of Media, Journalism and Mass Communications</w:t>
      </w:r>
      <w:r w:rsidRPr="00596C9A">
        <w:rPr>
          <w:rFonts w:cs="Calibri"/>
          <w:noProof/>
        </w:rPr>
        <w:t>, 4(2), 1–10.</w:t>
      </w:r>
    </w:p>
    <w:p w14:paraId="07347FA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O’Brien, G., O’Keefe, P., Gadema, Z. &amp; Swords, J. (2010). Approaching Disaster Management through Social Learning. </w:t>
      </w:r>
      <w:r w:rsidRPr="00596C9A">
        <w:rPr>
          <w:rFonts w:cs="Calibri"/>
          <w:i/>
          <w:iCs/>
          <w:noProof/>
        </w:rPr>
        <w:t>Disaster Prevention and Management: An International Journal</w:t>
      </w:r>
      <w:r w:rsidRPr="00596C9A">
        <w:rPr>
          <w:rFonts w:cs="Calibri"/>
          <w:noProof/>
        </w:rPr>
        <w:t>, 19(4), 498–508.</w:t>
      </w:r>
    </w:p>
    <w:p w14:paraId="0412787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Ocasio, W., Loewenstein, J. &amp; Nigam, A. (2015). How Streams of Communication Reproduce and Change Institutional Logics: The Role of Categories. </w:t>
      </w:r>
      <w:r w:rsidRPr="00596C9A">
        <w:rPr>
          <w:rFonts w:cs="Calibri"/>
          <w:i/>
          <w:iCs/>
          <w:noProof/>
        </w:rPr>
        <w:t>Academy of Management Review</w:t>
      </w:r>
      <w:r w:rsidRPr="00596C9A">
        <w:rPr>
          <w:rFonts w:cs="Calibri"/>
          <w:noProof/>
        </w:rPr>
        <w:t>, 40(1), 28–48.</w:t>
      </w:r>
    </w:p>
    <w:p w14:paraId="53A47A0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Ocasio, W. &amp; Radoynovska, N. (2016). Strategy and Commitments to Institutional Logics : Organizational Heterogeneity in Business Models and Governance. </w:t>
      </w:r>
      <w:r w:rsidRPr="00596C9A">
        <w:rPr>
          <w:rFonts w:cs="Calibri"/>
          <w:i/>
          <w:iCs/>
          <w:noProof/>
        </w:rPr>
        <w:t>Strategic Organization</w:t>
      </w:r>
      <w:r w:rsidRPr="00596C9A">
        <w:rPr>
          <w:rFonts w:cs="Calibri"/>
          <w:noProof/>
        </w:rPr>
        <w:t>, 14(4), 287–309.</w:t>
      </w:r>
    </w:p>
    <w:p w14:paraId="67E9F74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Ofcom. (2022). </w:t>
      </w:r>
      <w:r w:rsidRPr="00596C9A">
        <w:rPr>
          <w:rFonts w:cs="Calibri"/>
          <w:i/>
          <w:iCs/>
          <w:noProof/>
        </w:rPr>
        <w:t>Online Nation 2022 Report</w:t>
      </w:r>
      <w:r w:rsidRPr="00596C9A">
        <w:rPr>
          <w:rFonts w:cs="Calibri"/>
          <w:noProof/>
        </w:rPr>
        <w:t>. Retrieved from https://www.ofcom.org.uk/__data/assets/pdf_file/0023/238361/online-nation-2022-report.pdf</w:t>
      </w:r>
    </w:p>
    <w:p w14:paraId="15BFE9A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Ofcom. (2024). </w:t>
      </w:r>
      <w:r w:rsidRPr="00596C9A">
        <w:rPr>
          <w:rFonts w:cs="Calibri"/>
          <w:i/>
          <w:iCs/>
          <w:noProof/>
        </w:rPr>
        <w:t>Adults’ Media Use and Attitudes Report 2024</w:t>
      </w:r>
      <w:r w:rsidRPr="00596C9A">
        <w:rPr>
          <w:rFonts w:cs="Calibri"/>
          <w:noProof/>
        </w:rPr>
        <w:t>. Retrieved from http://stakeholders.ofcom.org.uk/market-data-research/other/research-publications/adults/media-lit-10years/%5Cnhttp://stakeholders.ofcom.org.uk/market-data-research/other/research-publications/adults/adults-media-lit-14/</w:t>
      </w:r>
    </w:p>
    <w:p w14:paraId="7E73B8D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Office for National Statistics. (2023). How Life Has Changed in Sheffield: Census 2021. </w:t>
      </w:r>
      <w:r w:rsidRPr="00596C9A">
        <w:rPr>
          <w:rFonts w:cs="Calibri"/>
          <w:i/>
          <w:iCs/>
          <w:noProof/>
        </w:rPr>
        <w:t>Census 2021</w:t>
      </w:r>
      <w:r w:rsidRPr="00596C9A">
        <w:rPr>
          <w:rFonts w:cs="Calibri"/>
          <w:noProof/>
        </w:rPr>
        <w:t>. Retrieved April 2, 2024, from https://www.ons.gov.uk/visualisations/censusareachanges/E08000019/</w:t>
      </w:r>
    </w:p>
    <w:p w14:paraId="3886A55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Ogie, R. I., James, S., Moore, A., Dilworth, T., Amirghasemi, M. &amp; Whittaker, J. (2022). Social Media Use in Disaster Recovery: A Systematic Literature Review. </w:t>
      </w:r>
      <w:r w:rsidRPr="00596C9A">
        <w:rPr>
          <w:rFonts w:cs="Calibri"/>
          <w:i/>
          <w:iCs/>
          <w:noProof/>
        </w:rPr>
        <w:t>International Journal of Disaster Risk Reduction</w:t>
      </w:r>
      <w:r w:rsidRPr="00596C9A">
        <w:rPr>
          <w:rFonts w:cs="Calibri"/>
          <w:noProof/>
        </w:rPr>
        <w:t>, 70, 1–18.</w:t>
      </w:r>
    </w:p>
    <w:p w14:paraId="2080B12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Ohlson, S. &amp; Melich, R. (2014). Designing and Developing Sustainable Housing for Refugee and Disaster Communities. </w:t>
      </w:r>
      <w:r w:rsidRPr="00596C9A">
        <w:rPr>
          <w:rFonts w:cs="Calibri"/>
          <w:i/>
          <w:iCs/>
          <w:noProof/>
        </w:rPr>
        <w:t>Proceedings of the 4th IEEE Global Humanitarian Technology Conference, GHTC 2014</w:t>
      </w:r>
      <w:r w:rsidRPr="00596C9A">
        <w:rPr>
          <w:rFonts w:cs="Calibri"/>
          <w:noProof/>
        </w:rPr>
        <w:t>, 614–619.</w:t>
      </w:r>
    </w:p>
    <w:p w14:paraId="0417E1E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Opara, V., Spangsdorf, S. &amp; Ryan, M. K. (2023). Reflecting on the Use of Google Docs for </w:t>
      </w:r>
      <w:r w:rsidRPr="00596C9A">
        <w:rPr>
          <w:rFonts w:cs="Calibri"/>
          <w:noProof/>
        </w:rPr>
        <w:lastRenderedPageBreak/>
        <w:t xml:space="preserve">Online Interviews: Innovation in Qualitative Data Collection. </w:t>
      </w:r>
      <w:r w:rsidRPr="00596C9A">
        <w:rPr>
          <w:rFonts w:cs="Calibri"/>
          <w:i/>
          <w:iCs/>
          <w:noProof/>
        </w:rPr>
        <w:t>Qualitative Research</w:t>
      </w:r>
      <w:r w:rsidRPr="00596C9A">
        <w:rPr>
          <w:rFonts w:cs="Calibri"/>
          <w:noProof/>
        </w:rPr>
        <w:t>, 23(3), 561–578.</w:t>
      </w:r>
    </w:p>
    <w:p w14:paraId="23424D7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Orb, A., Eisenhauer, L. &amp; Wynade, D. (2000). Ethics in Qualitative Research Methods. </w:t>
      </w:r>
      <w:r w:rsidRPr="00596C9A">
        <w:rPr>
          <w:rFonts w:cs="Calibri"/>
          <w:i/>
          <w:iCs/>
          <w:noProof/>
        </w:rPr>
        <w:t>Journal of nursing scholarship</w:t>
      </w:r>
      <w:r w:rsidRPr="00596C9A">
        <w:rPr>
          <w:rFonts w:cs="Calibri"/>
          <w:noProof/>
        </w:rPr>
        <w:t>, 33(1), 93–96.</w:t>
      </w:r>
    </w:p>
    <w:p w14:paraId="41A35D7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Orru, K., Hansson, S., Gabel, F., Tammpuu, P., Krüger, M., Savadori, L., Meyer, S. F., Torpan, S., Jukarainen, P., Schieffelers, A., Lovasz, G. &amp; Rhinard, M. (2022). Approaches to ‘Vulnerability’ in Eight European Disaster Management Systems. </w:t>
      </w:r>
      <w:r w:rsidRPr="00596C9A">
        <w:rPr>
          <w:rFonts w:cs="Calibri"/>
          <w:i/>
          <w:iCs/>
          <w:noProof/>
        </w:rPr>
        <w:t>Disasters</w:t>
      </w:r>
      <w:r w:rsidRPr="00596C9A">
        <w:rPr>
          <w:rFonts w:cs="Calibri"/>
          <w:noProof/>
        </w:rPr>
        <w:t>, 46(3), 742–767.</w:t>
      </w:r>
    </w:p>
    <w:p w14:paraId="3345B31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Pache, A.-C. &amp; Santos, F. (2013). Inside The Hybrid Organization : Selective Coupling As A Response To Competing Institutional Logics. </w:t>
      </w:r>
      <w:r w:rsidRPr="00596C9A">
        <w:rPr>
          <w:rFonts w:cs="Calibri"/>
          <w:i/>
          <w:iCs/>
          <w:noProof/>
        </w:rPr>
        <w:t>The Academy of Managemet Journal</w:t>
      </w:r>
      <w:r w:rsidRPr="00596C9A">
        <w:rPr>
          <w:rFonts w:cs="Calibri"/>
          <w:noProof/>
        </w:rPr>
        <w:t>, 56(4), 972–1001.</w:t>
      </w:r>
    </w:p>
    <w:p w14:paraId="13F5364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Park, S. Y., Kim, E. &amp; Moon, M. J. (2020). Designing Public Information Campaigns as an Effective Policy Tool: Construal-Level Fit Effects and Evidence from an Experimental Study. </w:t>
      </w:r>
      <w:r w:rsidRPr="00596C9A">
        <w:rPr>
          <w:rFonts w:cs="Calibri"/>
          <w:i/>
          <w:iCs/>
          <w:noProof/>
        </w:rPr>
        <w:t>Journal of Comparative Policy Analysis: Research and Practice</w:t>
      </w:r>
      <w:r w:rsidRPr="00596C9A">
        <w:rPr>
          <w:rFonts w:cs="Calibri"/>
          <w:noProof/>
        </w:rPr>
        <w:t>, 22(6), 579–592.</w:t>
      </w:r>
    </w:p>
    <w:p w14:paraId="41310ED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Pascual-Ferrá, P., Alperstein, N. &amp; Barnett, D. J. (2022). Social Network Analysis of COVID-19 Public Discourse on Twitter: Implications for Risk Communication. </w:t>
      </w:r>
      <w:r w:rsidRPr="00596C9A">
        <w:rPr>
          <w:rFonts w:cs="Calibri"/>
          <w:i/>
          <w:iCs/>
          <w:noProof/>
        </w:rPr>
        <w:t>Disaster Medicine and Public Health Preparedness</w:t>
      </w:r>
      <w:r w:rsidRPr="00596C9A">
        <w:rPr>
          <w:rFonts w:cs="Calibri"/>
          <w:noProof/>
        </w:rPr>
        <w:t>, 16(2), 561–569.</w:t>
      </w:r>
    </w:p>
    <w:p w14:paraId="121383B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Patel, S. S., Rogers, M. B., Amlôt, R. &amp; Rubin, G. J. (2017). What Do We Mean by ‘Community Resilience’? A Systematic Literature Review of How It Is Defined in the Literature. </w:t>
      </w:r>
      <w:r w:rsidRPr="00596C9A">
        <w:rPr>
          <w:rFonts w:cs="Calibri"/>
          <w:i/>
          <w:iCs/>
          <w:noProof/>
        </w:rPr>
        <w:t>PLoS currents</w:t>
      </w:r>
      <w:r w:rsidRPr="00596C9A">
        <w:rPr>
          <w:rFonts w:cs="Calibri"/>
          <w:noProof/>
        </w:rPr>
        <w:t>, 9, 1–22.</w:t>
      </w:r>
    </w:p>
    <w:p w14:paraId="11B1822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Perrott, T. (2016). Beyond ‘token’ Firefighters: Exploring Women’s Experiences of Gender and Identity at Work. </w:t>
      </w:r>
      <w:r w:rsidRPr="00596C9A">
        <w:rPr>
          <w:rFonts w:cs="Calibri"/>
          <w:i/>
          <w:iCs/>
          <w:noProof/>
        </w:rPr>
        <w:t>Sociological Research Online</w:t>
      </w:r>
      <w:r w:rsidRPr="00596C9A">
        <w:rPr>
          <w:rFonts w:cs="Calibri"/>
          <w:noProof/>
        </w:rPr>
        <w:t>, 21(1), 1–14.</w:t>
      </w:r>
    </w:p>
    <w:p w14:paraId="61DB47F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Perry, R. W. (2007). What Is a Disaster?, in: Rodrıguez, H., Quarantelli, E. L., and Dynes, R. (Eds.), </w:t>
      </w:r>
      <w:r w:rsidRPr="00596C9A">
        <w:rPr>
          <w:rFonts w:cs="Calibri"/>
          <w:i/>
          <w:iCs/>
          <w:noProof/>
        </w:rPr>
        <w:t>Handbook of Disaster Research</w:t>
      </w:r>
      <w:r w:rsidRPr="00596C9A">
        <w:rPr>
          <w:rFonts w:cs="Calibri"/>
          <w:noProof/>
        </w:rPr>
        <w:t>. New York: Springer.</w:t>
      </w:r>
    </w:p>
    <w:p w14:paraId="3463DBB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Pescaroli, G. &amp; Alexander, D. (2015). A Definition of Cascading Disasters and Cascading Effects: Going beyond the “Toppling Dominos” Metaphor. </w:t>
      </w:r>
      <w:r w:rsidRPr="00596C9A">
        <w:rPr>
          <w:rFonts w:cs="Calibri"/>
          <w:i/>
          <w:iCs/>
          <w:noProof/>
        </w:rPr>
        <w:t>GRF Davos Planet@Risk</w:t>
      </w:r>
      <w:r w:rsidRPr="00596C9A">
        <w:rPr>
          <w:rFonts w:cs="Calibri"/>
          <w:noProof/>
        </w:rPr>
        <w:t>, 3(1), 58–67.</w:t>
      </w:r>
    </w:p>
    <w:p w14:paraId="75F0DC4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Peters, B. G. (2000). Institutional Theory: Problems and Prospects 69 Reihe Politikwissenschaft Political Science Series. </w:t>
      </w:r>
      <w:r w:rsidRPr="00596C9A">
        <w:rPr>
          <w:rFonts w:cs="Calibri"/>
          <w:i/>
          <w:iCs/>
          <w:noProof/>
        </w:rPr>
        <w:t>Political Science Series</w:t>
      </w:r>
      <w:r w:rsidRPr="00596C9A">
        <w:rPr>
          <w:rFonts w:cs="Calibri"/>
          <w:noProof/>
        </w:rPr>
        <w:t>. Retrieved from https://www.ihs.ac.at/publications/pol/pw_69.pdf</w:t>
      </w:r>
    </w:p>
    <w:p w14:paraId="343FD06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Pfefferbaum, B., Pfefferbaum, R. L. &amp; Van Horn, R. L. (2018). Involving Children in Disaster Risk Reduction: The Importance of Participation. </w:t>
      </w:r>
      <w:r w:rsidRPr="00596C9A">
        <w:rPr>
          <w:rFonts w:cs="Calibri"/>
          <w:i/>
          <w:iCs/>
          <w:noProof/>
        </w:rPr>
        <w:t xml:space="preserve">European Journal of </w:t>
      </w:r>
      <w:r w:rsidRPr="00596C9A">
        <w:rPr>
          <w:rFonts w:cs="Calibri"/>
          <w:i/>
          <w:iCs/>
          <w:noProof/>
        </w:rPr>
        <w:lastRenderedPageBreak/>
        <w:t>Psychotraumatology</w:t>
      </w:r>
      <w:r w:rsidRPr="00596C9A">
        <w:rPr>
          <w:rFonts w:cs="Calibri"/>
          <w:noProof/>
        </w:rPr>
        <w:t>, 9(S2).</w:t>
      </w:r>
    </w:p>
    <w:p w14:paraId="0F2C0C2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Phillips, W. (2011). Meet the Trolls. </w:t>
      </w:r>
      <w:r w:rsidRPr="00596C9A">
        <w:rPr>
          <w:rFonts w:cs="Calibri"/>
          <w:i/>
          <w:iCs/>
          <w:noProof/>
        </w:rPr>
        <w:t>Index on Censorship</w:t>
      </w:r>
      <w:r w:rsidRPr="00596C9A">
        <w:rPr>
          <w:rFonts w:cs="Calibri"/>
          <w:noProof/>
        </w:rPr>
        <w:t>, 40(2), 68–76.</w:t>
      </w:r>
    </w:p>
    <w:p w14:paraId="27DB78E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Phillips, W. (2019). It Wasn’t Just the Trolls: Early Internet Culture, “Fun,” and the Fires of Exclusionary Laughter. </w:t>
      </w:r>
      <w:r w:rsidRPr="00596C9A">
        <w:rPr>
          <w:rFonts w:cs="Calibri"/>
          <w:i/>
          <w:iCs/>
          <w:noProof/>
        </w:rPr>
        <w:t>Social Media and Society</w:t>
      </w:r>
      <w:r w:rsidRPr="00596C9A">
        <w:rPr>
          <w:rFonts w:cs="Calibri"/>
          <w:noProof/>
        </w:rPr>
        <w:t>, 5(3), 1–4.</w:t>
      </w:r>
    </w:p>
    <w:p w14:paraId="29BB1BD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Plummer, R., Blythe, J., Gurney, G. G., Witkowski, S. &amp; Armitage, D. (2022). Transdisciplinary Partnerships for Sustainability: An Evaluation Guide. </w:t>
      </w:r>
      <w:r w:rsidRPr="00596C9A">
        <w:rPr>
          <w:rFonts w:cs="Calibri"/>
          <w:i/>
          <w:iCs/>
          <w:noProof/>
        </w:rPr>
        <w:t>Sustainability Science</w:t>
      </w:r>
      <w:r w:rsidRPr="00596C9A">
        <w:rPr>
          <w:rFonts w:cs="Calibri"/>
          <w:noProof/>
        </w:rPr>
        <w:t>, 17, 955–967.</w:t>
      </w:r>
    </w:p>
    <w:p w14:paraId="0A28486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Pohl, C. (2008). From Science to Policy through Transdisciplinary Research. </w:t>
      </w:r>
      <w:r w:rsidRPr="00596C9A">
        <w:rPr>
          <w:rFonts w:cs="Calibri"/>
          <w:i/>
          <w:iCs/>
          <w:noProof/>
        </w:rPr>
        <w:t>Environmental Science and Policy</w:t>
      </w:r>
      <w:r w:rsidRPr="00596C9A">
        <w:rPr>
          <w:rFonts w:cs="Calibri"/>
          <w:noProof/>
        </w:rPr>
        <w:t>, 11(1), 46–53.</w:t>
      </w:r>
    </w:p>
    <w:p w14:paraId="466F22F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Potts, L. (2013). </w:t>
      </w:r>
      <w:r w:rsidRPr="00596C9A">
        <w:rPr>
          <w:rFonts w:cs="Calibri"/>
          <w:i/>
          <w:iCs/>
          <w:noProof/>
        </w:rPr>
        <w:t>Social Media in Disaster Response : How Experience Architects Can Build for Participation</w:t>
      </w:r>
      <w:r w:rsidRPr="00596C9A">
        <w:rPr>
          <w:rFonts w:cs="Calibri"/>
          <w:noProof/>
        </w:rPr>
        <w:t>. London, UNITED KINGDOM: Routledge.</w:t>
      </w:r>
    </w:p>
    <w:p w14:paraId="309E0FE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Powell, W. W. &amp; Colyvas, J. A. (2012). Microfoundations of Institutional Theory, in: Greenwood, R., Oliver, C., Sahlin, K., and Suddaby, R. (Eds.), </w:t>
      </w:r>
      <w:r w:rsidRPr="00596C9A">
        <w:rPr>
          <w:rFonts w:cs="Calibri"/>
          <w:i/>
          <w:iCs/>
          <w:noProof/>
        </w:rPr>
        <w:t>The SAGE Handbook of Organizational Institutionalism</w:t>
      </w:r>
      <w:r w:rsidRPr="00596C9A">
        <w:rPr>
          <w:rFonts w:cs="Calibri"/>
          <w:noProof/>
        </w:rPr>
        <w:t>, (pp. 276–298). Sage Publications.</w:t>
      </w:r>
    </w:p>
    <w:p w14:paraId="3AD4585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Power, N. (2018). Extreme Teams: Towards a Greater Understanding of Multi-Agency Teamwork During Major Emergencies and Disasters. </w:t>
      </w:r>
      <w:r w:rsidRPr="00596C9A">
        <w:rPr>
          <w:rFonts w:cs="Calibri"/>
          <w:i/>
          <w:iCs/>
          <w:noProof/>
        </w:rPr>
        <w:t>American Psychologist</w:t>
      </w:r>
      <w:r w:rsidRPr="00596C9A">
        <w:rPr>
          <w:rFonts w:cs="Calibri"/>
          <w:noProof/>
        </w:rPr>
        <w:t>, 73(4), 478–490.</w:t>
      </w:r>
    </w:p>
    <w:p w14:paraId="7F4E22D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Pöyry, E., Reinikainen, H. &amp; Luoma-Aho, V. (2022). The Role of Social Media Influencers in Public Health Communication: Case COVID-19 Pandemic. </w:t>
      </w:r>
      <w:r w:rsidRPr="00596C9A">
        <w:rPr>
          <w:rFonts w:cs="Calibri"/>
          <w:i/>
          <w:iCs/>
          <w:noProof/>
        </w:rPr>
        <w:t>International Journal of Strategic Communication</w:t>
      </w:r>
      <w:r w:rsidRPr="00596C9A">
        <w:rPr>
          <w:rFonts w:cs="Calibri"/>
          <w:noProof/>
        </w:rPr>
        <w:t>, 16(3), 469–484.</w:t>
      </w:r>
    </w:p>
    <w:p w14:paraId="739BDAD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Prior, D. (2007). Decolonising Research: A Shift toward Reconciliation. </w:t>
      </w:r>
      <w:r w:rsidRPr="00596C9A">
        <w:rPr>
          <w:rFonts w:cs="Calibri"/>
          <w:i/>
          <w:iCs/>
          <w:noProof/>
        </w:rPr>
        <w:t>Nursing Inquiry</w:t>
      </w:r>
      <w:r w:rsidRPr="00596C9A">
        <w:rPr>
          <w:rFonts w:cs="Calibri"/>
          <w:noProof/>
        </w:rPr>
        <w:t>, 14(2), 162–168.</w:t>
      </w:r>
    </w:p>
    <w:p w14:paraId="3D27354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Prodinger, B., Rudman, D. L. &amp; Shaw, L. (2015). Institutional Ethnography: Studying the Situated Nature of Human Occupation. </w:t>
      </w:r>
      <w:r w:rsidRPr="00596C9A">
        <w:rPr>
          <w:rFonts w:cs="Calibri"/>
          <w:i/>
          <w:iCs/>
          <w:noProof/>
        </w:rPr>
        <w:t>Journal of Occupational Science</w:t>
      </w:r>
      <w:r w:rsidRPr="00596C9A">
        <w:rPr>
          <w:rFonts w:cs="Calibri"/>
          <w:noProof/>
        </w:rPr>
        <w:t>, 22(1), 71–81.</w:t>
      </w:r>
    </w:p>
    <w:p w14:paraId="2433060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Puschmann, C. &amp; Burgess, J. (2013). The Politics of Twitter Data, in: Bruns, A., Mahrt, M., Weller, K., Burgess, J., and Puschmann, C. (Eds.), </w:t>
      </w:r>
      <w:r w:rsidRPr="00596C9A">
        <w:rPr>
          <w:rFonts w:cs="Calibri"/>
          <w:i/>
          <w:iCs/>
          <w:noProof/>
        </w:rPr>
        <w:t>Twitter and Society</w:t>
      </w:r>
      <w:r w:rsidRPr="00596C9A">
        <w:rPr>
          <w:rFonts w:cs="Calibri"/>
          <w:noProof/>
        </w:rPr>
        <w:t>, (pp. 43–54). Peter Lang Publishing.</w:t>
      </w:r>
    </w:p>
    <w:p w14:paraId="547A5D2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Putnam, R. D. (1995). Bowling Alone: America’s Declining Social Capital. </w:t>
      </w:r>
      <w:r w:rsidRPr="00596C9A">
        <w:rPr>
          <w:rFonts w:cs="Calibri"/>
          <w:i/>
          <w:iCs/>
          <w:noProof/>
        </w:rPr>
        <w:t>Journal of democracy</w:t>
      </w:r>
      <w:r w:rsidRPr="00596C9A">
        <w:rPr>
          <w:rFonts w:cs="Calibri"/>
          <w:noProof/>
        </w:rPr>
        <w:t>, 6(1), 65–78.</w:t>
      </w:r>
    </w:p>
    <w:p w14:paraId="7555A17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Puttick, S., Bosher, L. &amp; Chmutina, K. (2018). Disasters Are Not Natural. </w:t>
      </w:r>
      <w:r w:rsidRPr="00596C9A">
        <w:rPr>
          <w:rFonts w:cs="Calibri"/>
          <w:i/>
          <w:iCs/>
          <w:noProof/>
        </w:rPr>
        <w:t>Teaching Geography</w:t>
      </w:r>
      <w:r w:rsidRPr="00596C9A">
        <w:rPr>
          <w:rFonts w:cs="Calibri"/>
          <w:noProof/>
        </w:rPr>
        <w:t>, 43(3), 118–120.</w:t>
      </w:r>
    </w:p>
    <w:p w14:paraId="7120912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Quarantelli, E. L. &amp; Dynes, R. R. (1977). Response to Social Crisis and Disaster. </w:t>
      </w:r>
      <w:r w:rsidRPr="00596C9A">
        <w:rPr>
          <w:rFonts w:cs="Calibri"/>
          <w:i/>
          <w:iCs/>
          <w:noProof/>
        </w:rPr>
        <w:t xml:space="preserve">Annual Review </w:t>
      </w:r>
      <w:r w:rsidRPr="00596C9A">
        <w:rPr>
          <w:rFonts w:cs="Calibri"/>
          <w:i/>
          <w:iCs/>
          <w:noProof/>
        </w:rPr>
        <w:lastRenderedPageBreak/>
        <w:t>of Sociology</w:t>
      </w:r>
      <w:r w:rsidRPr="00596C9A">
        <w:rPr>
          <w:rFonts w:cs="Calibri"/>
          <w:noProof/>
        </w:rPr>
        <w:t>, 3(1), 23–49.</w:t>
      </w:r>
    </w:p>
    <w:p w14:paraId="096D31C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Rainie, L. &amp; Wellman, B. (2012). Networked Relationships, in: </w:t>
      </w:r>
      <w:r w:rsidRPr="00596C9A">
        <w:rPr>
          <w:rFonts w:cs="Calibri"/>
          <w:i/>
          <w:iCs/>
          <w:noProof/>
        </w:rPr>
        <w:t>Networked: The New Social Operating System</w:t>
      </w:r>
      <w:r w:rsidRPr="00596C9A">
        <w:rPr>
          <w:rFonts w:cs="Calibri"/>
          <w:noProof/>
        </w:rPr>
        <w:t>, (pp. 117–146). MIT Press.</w:t>
      </w:r>
    </w:p>
    <w:p w14:paraId="3D1A6F9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Ramakrishnan, T., Ngamassi, L. &amp; Rahman, S. (2022). Examining the Factors That Influence the Use of Social Media for Disaster Management by Underserved Communities. </w:t>
      </w:r>
      <w:r w:rsidRPr="00596C9A">
        <w:rPr>
          <w:rFonts w:cs="Calibri"/>
          <w:i/>
          <w:iCs/>
          <w:noProof/>
        </w:rPr>
        <w:t>International Journal of Disaster Risk Science</w:t>
      </w:r>
      <w:r w:rsidRPr="00596C9A">
        <w:rPr>
          <w:rFonts w:cs="Calibri"/>
          <w:noProof/>
        </w:rPr>
        <w:t>, 13, 52–65.</w:t>
      </w:r>
    </w:p>
    <w:p w14:paraId="3A37A95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Rana, T. &amp; Hoque, Z. (2020). Institutionalising Multiple Accountability Logics in Public Services: Insights from Australia. </w:t>
      </w:r>
      <w:r w:rsidRPr="00596C9A">
        <w:rPr>
          <w:rFonts w:cs="Calibri"/>
          <w:i/>
          <w:iCs/>
          <w:noProof/>
        </w:rPr>
        <w:t>British Accounting Review</w:t>
      </w:r>
      <w:r w:rsidRPr="00596C9A">
        <w:rPr>
          <w:rFonts w:cs="Calibri"/>
          <w:noProof/>
        </w:rPr>
        <w:t>, 52(4), 1–14.</w:t>
      </w:r>
    </w:p>
    <w:p w14:paraId="0468D61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Rankin, J. (2017). Conducting Analysis in Institutional Ethnography: Guidance and Cautions. </w:t>
      </w:r>
      <w:r w:rsidRPr="00596C9A">
        <w:rPr>
          <w:rFonts w:cs="Calibri"/>
          <w:i/>
          <w:iCs/>
          <w:noProof/>
        </w:rPr>
        <w:t>International Journal of Qualitative Methods</w:t>
      </w:r>
      <w:r w:rsidRPr="00596C9A">
        <w:rPr>
          <w:rFonts w:cs="Calibri"/>
          <w:noProof/>
        </w:rPr>
        <w:t>, 16(1), 1–11.</w:t>
      </w:r>
    </w:p>
    <w:p w14:paraId="44E8DAA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Reay, T. &amp; Jones, C. (2016). Qualitatively Capturing Institutional Logics. </w:t>
      </w:r>
      <w:r w:rsidRPr="00596C9A">
        <w:rPr>
          <w:rFonts w:cs="Calibri"/>
          <w:i/>
          <w:iCs/>
          <w:noProof/>
        </w:rPr>
        <w:t>Strategic Organization</w:t>
      </w:r>
      <w:r w:rsidRPr="00596C9A">
        <w:rPr>
          <w:rFonts w:cs="Calibri"/>
          <w:noProof/>
        </w:rPr>
        <w:t>, 14(4), 441–454.</w:t>
      </w:r>
    </w:p>
    <w:p w14:paraId="34195DB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Regan, Á., Raats, M., Shan, L. C., Wall, P. G. &amp; McConnon, A. (2016). Risk Communication and Social Media during Food Safety Crises : A Study of Stakeholders ’ Opinions in Ireland. </w:t>
      </w:r>
      <w:r w:rsidRPr="00596C9A">
        <w:rPr>
          <w:rFonts w:cs="Calibri"/>
          <w:i/>
          <w:iCs/>
          <w:noProof/>
        </w:rPr>
        <w:t>Journal of Risk Research</w:t>
      </w:r>
      <w:r w:rsidRPr="00596C9A">
        <w:rPr>
          <w:rFonts w:cs="Calibri"/>
          <w:noProof/>
        </w:rPr>
        <w:t>, 19(1), 119–132.</w:t>
      </w:r>
    </w:p>
    <w:p w14:paraId="4C2DD50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Regel, S. (2007). Post-Trauma Support in the Workplace: The Current Status and Practice of Critical Incident Stress Management (CISM) and Psychological Debriefing (PD) within Organizations in the UK. </w:t>
      </w:r>
      <w:r w:rsidRPr="00596C9A">
        <w:rPr>
          <w:rFonts w:cs="Calibri"/>
          <w:i/>
          <w:iCs/>
          <w:noProof/>
        </w:rPr>
        <w:t>Occupational Medicine</w:t>
      </w:r>
      <w:r w:rsidRPr="00596C9A">
        <w:rPr>
          <w:rFonts w:cs="Calibri"/>
          <w:noProof/>
        </w:rPr>
        <w:t>, 57(6), 411–416.</w:t>
      </w:r>
    </w:p>
    <w:p w14:paraId="1553592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Reilly, P. (2011). ‘Anti-Social’ Networking in Northern Ireland: Policy Responses to Young People’s Use of Social Media for Organizing Anti-Social Behavior. </w:t>
      </w:r>
      <w:r w:rsidRPr="00596C9A">
        <w:rPr>
          <w:rFonts w:cs="Calibri"/>
          <w:i/>
          <w:iCs/>
          <w:noProof/>
        </w:rPr>
        <w:t>Policy &amp; Internet</w:t>
      </w:r>
      <w:r w:rsidRPr="00596C9A">
        <w:rPr>
          <w:rFonts w:cs="Calibri"/>
          <w:noProof/>
        </w:rPr>
        <w:t>, 3(1), 1–23.</w:t>
      </w:r>
    </w:p>
    <w:p w14:paraId="3990B3B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Reilly, P. &amp; Atanasova, D. (2016a). </w:t>
      </w:r>
      <w:r w:rsidRPr="00596C9A">
        <w:rPr>
          <w:rFonts w:cs="Calibri"/>
          <w:i/>
          <w:iCs/>
          <w:noProof/>
        </w:rPr>
        <w:t>A Strategy for Communication between Key Agencies and Members of the Public during Crisis Situations</w:t>
      </w:r>
      <w:r w:rsidRPr="00596C9A">
        <w:rPr>
          <w:rFonts w:cs="Calibri"/>
          <w:noProof/>
        </w:rPr>
        <w:t>.</w:t>
      </w:r>
    </w:p>
    <w:p w14:paraId="7F4B5F4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Reilly, P. &amp; Atanasova, D. (2016b). </w:t>
      </w:r>
      <w:r w:rsidRPr="00596C9A">
        <w:rPr>
          <w:rFonts w:cs="Calibri"/>
          <w:i/>
          <w:iCs/>
          <w:noProof/>
        </w:rPr>
        <w:t>A Report on the Role of the Media in the Information Flows That Emerge during Crisis Situations</w:t>
      </w:r>
      <w:r w:rsidRPr="00596C9A">
        <w:rPr>
          <w:rFonts w:cs="Calibri"/>
          <w:noProof/>
        </w:rPr>
        <w:t>.</w:t>
      </w:r>
    </w:p>
    <w:p w14:paraId="0993F56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Reilly, P. &amp; Gordon, F. (2023). Can Social Media Help End the Harm? Public Information Campaigns, Online Platforms, and Paramilitary-Style Attacks in a Deeply Divided Society. </w:t>
      </w:r>
      <w:r w:rsidRPr="00596C9A">
        <w:rPr>
          <w:rFonts w:cs="Calibri"/>
          <w:i/>
          <w:iCs/>
          <w:noProof/>
        </w:rPr>
        <w:t>European Journal of Communication</w:t>
      </w:r>
      <w:r w:rsidRPr="00596C9A">
        <w:rPr>
          <w:rFonts w:cs="Calibri"/>
          <w:noProof/>
        </w:rPr>
        <w:t>, 38(1), 3–21.</w:t>
      </w:r>
    </w:p>
    <w:p w14:paraId="0C3B122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Resnyansky, L. (2014). Social Media, Disaster Studies, Communication and Human Communication. </w:t>
      </w:r>
      <w:r w:rsidRPr="00596C9A">
        <w:rPr>
          <w:rFonts w:cs="Calibri"/>
          <w:i/>
          <w:iCs/>
          <w:noProof/>
        </w:rPr>
        <w:t>IEEE Technology and Society Magazine</w:t>
      </w:r>
      <w:r w:rsidRPr="00596C9A">
        <w:rPr>
          <w:rFonts w:cs="Calibri"/>
          <w:noProof/>
        </w:rPr>
        <w:t>, 33(1), 54–65.</w:t>
      </w:r>
    </w:p>
    <w:p w14:paraId="5134BE9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Rigolot, C. (2020). Transdisciplinarity as a Discipline and a Way of Being: Complementarities and Creative Tensions. </w:t>
      </w:r>
      <w:r w:rsidRPr="00596C9A">
        <w:rPr>
          <w:rFonts w:cs="Calibri"/>
          <w:i/>
          <w:iCs/>
          <w:noProof/>
        </w:rPr>
        <w:t>Humanities and Social Sciences Communications</w:t>
      </w:r>
      <w:r w:rsidRPr="00596C9A">
        <w:rPr>
          <w:rFonts w:cs="Calibri"/>
          <w:noProof/>
        </w:rPr>
        <w:t>, 7(100), 1–5.</w:t>
      </w:r>
    </w:p>
    <w:p w14:paraId="6F8128F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lastRenderedPageBreak/>
        <w:t xml:space="preserve">Ripberger, J. T., Jenkins-Smith, H. C., Silva, C. L., Carlson, D. E. &amp; Henderson, M. (2014). Social Media and Severe Weather: Do Tweets Provide a Valid Indicator of Public Attention to Severe Weather Risk Communication? </w:t>
      </w:r>
      <w:r w:rsidRPr="00596C9A">
        <w:rPr>
          <w:rFonts w:cs="Calibri"/>
          <w:i/>
          <w:iCs/>
          <w:noProof/>
        </w:rPr>
        <w:t>Weather, Climate, and Society</w:t>
      </w:r>
      <w:r w:rsidRPr="00596C9A">
        <w:rPr>
          <w:rFonts w:cs="Calibri"/>
          <w:noProof/>
        </w:rPr>
        <w:t>, 6(4), 520–530.</w:t>
      </w:r>
    </w:p>
    <w:p w14:paraId="490E1BD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Ripoll, G. &amp; Ballart, X. (2020). Judging Unethical Behavior: The Different Effects of External and Public Service Motivation. </w:t>
      </w:r>
      <w:r w:rsidRPr="00596C9A">
        <w:rPr>
          <w:rFonts w:cs="Calibri"/>
          <w:i/>
          <w:iCs/>
          <w:noProof/>
        </w:rPr>
        <w:t>International Public Management Journal</w:t>
      </w:r>
      <w:r w:rsidRPr="00596C9A">
        <w:rPr>
          <w:rFonts w:cs="Calibri"/>
          <w:noProof/>
        </w:rPr>
        <w:t>, 23(5), 631–649.</w:t>
      </w:r>
    </w:p>
    <w:p w14:paraId="3D50091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Ritchie, D. (1986). Shannon and Weaver: Unravelling the Paradox of Information. </w:t>
      </w:r>
      <w:r w:rsidRPr="00596C9A">
        <w:rPr>
          <w:rFonts w:cs="Calibri"/>
          <w:i/>
          <w:iCs/>
          <w:noProof/>
        </w:rPr>
        <w:t>Communication Research</w:t>
      </w:r>
      <w:r w:rsidRPr="00596C9A">
        <w:rPr>
          <w:rFonts w:cs="Calibri"/>
          <w:noProof/>
        </w:rPr>
        <w:t>, 13(2), 278–289.</w:t>
      </w:r>
    </w:p>
    <w:p w14:paraId="4278767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Robards, J. (2022). </w:t>
      </w:r>
      <w:r w:rsidRPr="00596C9A">
        <w:rPr>
          <w:rFonts w:cs="Calibri"/>
          <w:i/>
          <w:iCs/>
          <w:noProof/>
        </w:rPr>
        <w:t>National Population Projections: 2020-Based Interim</w:t>
      </w:r>
      <w:r w:rsidRPr="00596C9A">
        <w:rPr>
          <w:rFonts w:cs="Calibri"/>
          <w:noProof/>
        </w:rPr>
        <w:t>.</w:t>
      </w:r>
    </w:p>
    <w:p w14:paraId="226684C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Rogers, P. (2024). Arnstein’s Ladder of Participation Image.</w:t>
      </w:r>
    </w:p>
    <w:p w14:paraId="5200D1A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Rollason, E., Bracken, L. J., Hardy, R. J. &amp; Large, A. R. G. (2018). Rethinking Flood Risk Communication. </w:t>
      </w:r>
      <w:r w:rsidRPr="00596C9A">
        <w:rPr>
          <w:rFonts w:cs="Calibri"/>
          <w:i/>
          <w:iCs/>
          <w:noProof/>
        </w:rPr>
        <w:t>Natural Hazards</w:t>
      </w:r>
      <w:r w:rsidRPr="00596C9A">
        <w:rPr>
          <w:rFonts w:cs="Calibri"/>
          <w:noProof/>
        </w:rPr>
        <w:t>, 92, 1665–1686.</w:t>
      </w:r>
    </w:p>
    <w:p w14:paraId="0478148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Rolls, K., Hansen, M., Jackson, D. &amp; Elliott, D. (2016). How Health Care Professionals Use Social Media to Create Virtual Communities: An Integrative Review. </w:t>
      </w:r>
      <w:r w:rsidRPr="00596C9A">
        <w:rPr>
          <w:rFonts w:cs="Calibri"/>
          <w:i/>
          <w:iCs/>
          <w:noProof/>
        </w:rPr>
        <w:t>Journal of Medical Internet Research</w:t>
      </w:r>
      <w:r w:rsidRPr="00596C9A">
        <w:rPr>
          <w:rFonts w:cs="Calibri"/>
          <w:noProof/>
        </w:rPr>
        <w:t>, 18(6), 1–19.</w:t>
      </w:r>
    </w:p>
    <w:p w14:paraId="0DB8CB4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Roshan, M., Warren, M. &amp; Carr, R. (2016). Understanding the Use of Social Media by Organisations for Crisis. </w:t>
      </w:r>
      <w:r w:rsidRPr="00596C9A">
        <w:rPr>
          <w:rFonts w:cs="Calibri"/>
          <w:i/>
          <w:iCs/>
          <w:noProof/>
        </w:rPr>
        <w:t>Computers in Human Behavior</w:t>
      </w:r>
      <w:r w:rsidRPr="00596C9A">
        <w:rPr>
          <w:rFonts w:cs="Calibri"/>
          <w:noProof/>
        </w:rPr>
        <w:t>, 63, 350–361.</w:t>
      </w:r>
    </w:p>
    <w:p w14:paraId="055C024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Ruben, B. D. &amp; Gigliotti, R. A. (2016). Leadership as Social Influence: An Expanded View of Leadership Communication Theory and Practice. </w:t>
      </w:r>
      <w:r w:rsidRPr="00596C9A">
        <w:rPr>
          <w:rFonts w:cs="Calibri"/>
          <w:i/>
          <w:iCs/>
          <w:noProof/>
        </w:rPr>
        <w:t>Journal of Leadership and Organizational Studies</w:t>
      </w:r>
      <w:r w:rsidRPr="00596C9A">
        <w:rPr>
          <w:rFonts w:cs="Calibri"/>
          <w:noProof/>
        </w:rPr>
        <w:t>, 23(4), 467–479.</w:t>
      </w:r>
    </w:p>
    <w:p w14:paraId="35D0CF5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Rudrum, S. (2016). Institutional Ethnography Research in Global South Settings: The Role of Texts. </w:t>
      </w:r>
      <w:r w:rsidRPr="00596C9A">
        <w:rPr>
          <w:rFonts w:cs="Calibri"/>
          <w:i/>
          <w:iCs/>
          <w:noProof/>
        </w:rPr>
        <w:t>International Journal of Qualitative Methods</w:t>
      </w:r>
      <w:r w:rsidRPr="00596C9A">
        <w:rPr>
          <w:rFonts w:cs="Calibri"/>
          <w:noProof/>
        </w:rPr>
        <w:t>, 15(1), 1–8.</w:t>
      </w:r>
    </w:p>
    <w:p w14:paraId="26AFEDA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van Ruler, B. (2018). Communication Theory: An Underrated Pillar on Which Strategic Communication Rests. </w:t>
      </w:r>
      <w:r w:rsidRPr="00596C9A">
        <w:rPr>
          <w:rFonts w:cs="Calibri"/>
          <w:i/>
          <w:iCs/>
          <w:noProof/>
        </w:rPr>
        <w:t>International Journal of Strategic Communication</w:t>
      </w:r>
      <w:r w:rsidRPr="00596C9A">
        <w:rPr>
          <w:rFonts w:cs="Calibri"/>
          <w:noProof/>
        </w:rPr>
        <w:t>, 12(4), 367–381.</w:t>
      </w:r>
    </w:p>
    <w:p w14:paraId="463C71A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Salman, A. M. &amp; Li, Y. (2018). Flood Risk Assessment, Future Trend Modeling, and Risk Communication: A Review of Ongoing Research. </w:t>
      </w:r>
      <w:r w:rsidRPr="00596C9A">
        <w:rPr>
          <w:rFonts w:cs="Calibri"/>
          <w:i/>
          <w:iCs/>
          <w:noProof/>
        </w:rPr>
        <w:t>Natural Hazards Review</w:t>
      </w:r>
      <w:r w:rsidRPr="00596C9A">
        <w:rPr>
          <w:rFonts w:cs="Calibri"/>
          <w:noProof/>
        </w:rPr>
        <w:t>, 19(3), 1–21.</w:t>
      </w:r>
    </w:p>
    <w:p w14:paraId="17E14C5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Salmon, C. T. &amp; Murray-Johnson, L. (2013). Communication Campaign Effectiveness and Effects: Some Critical Distinctions, in: Rice, R. E. and Atkin, C. K. (Eds.), </w:t>
      </w:r>
      <w:r w:rsidRPr="00596C9A">
        <w:rPr>
          <w:rFonts w:cs="Calibri"/>
          <w:i/>
          <w:iCs/>
          <w:noProof/>
        </w:rPr>
        <w:t>Public Communication Campaigns</w:t>
      </w:r>
      <w:r w:rsidRPr="00596C9A">
        <w:rPr>
          <w:rFonts w:cs="Calibri"/>
          <w:noProof/>
        </w:rPr>
        <w:t>, (pp. 184–208). Thousand Oaks: SAGE.</w:t>
      </w:r>
    </w:p>
    <w:p w14:paraId="393B822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Sanyal, S. &amp; Routray, J. K. (2016). Social Capital for Disaster Risk Reduction and Management with Empirical Evidences from Sundarbans of India. </w:t>
      </w:r>
      <w:r w:rsidRPr="00596C9A">
        <w:rPr>
          <w:rFonts w:cs="Calibri"/>
          <w:i/>
          <w:iCs/>
          <w:noProof/>
        </w:rPr>
        <w:t xml:space="preserve">International Journal of Disaster </w:t>
      </w:r>
      <w:r w:rsidRPr="00596C9A">
        <w:rPr>
          <w:rFonts w:cs="Calibri"/>
          <w:i/>
          <w:iCs/>
          <w:noProof/>
        </w:rPr>
        <w:lastRenderedPageBreak/>
        <w:t>Risk Reduction</w:t>
      </w:r>
      <w:r w:rsidRPr="00596C9A">
        <w:rPr>
          <w:rFonts w:cs="Calibri"/>
          <w:noProof/>
        </w:rPr>
        <w:t>, 19, 101–111.</w:t>
      </w:r>
    </w:p>
    <w:p w14:paraId="3AFDAB8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Saunders, M., Lewis, P. &amp; Thornhill, A. (2019). Understanding Research Philosophy and Approaches to Theory Development, in: </w:t>
      </w:r>
      <w:r w:rsidRPr="00596C9A">
        <w:rPr>
          <w:rFonts w:cs="Calibri"/>
          <w:i/>
          <w:iCs/>
          <w:noProof/>
        </w:rPr>
        <w:t>Research methods for business students</w:t>
      </w:r>
      <w:r w:rsidRPr="00596C9A">
        <w:rPr>
          <w:rFonts w:cs="Calibri"/>
          <w:noProof/>
        </w:rPr>
        <w:t>, (pp. 128–170). Harlow: Pearson Eduction Limited.</w:t>
      </w:r>
    </w:p>
    <w:p w14:paraId="30AA0FD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Schlosser, A. E. (2020). Self-Disclosure versus Self-Presentation on Social Media. </w:t>
      </w:r>
      <w:r w:rsidRPr="00596C9A">
        <w:rPr>
          <w:rFonts w:cs="Calibri"/>
          <w:i/>
          <w:iCs/>
          <w:noProof/>
        </w:rPr>
        <w:t>Current Opinion in Psychology</w:t>
      </w:r>
      <w:r w:rsidRPr="00596C9A">
        <w:rPr>
          <w:rFonts w:cs="Calibri"/>
          <w:noProof/>
        </w:rPr>
        <w:t>, 31, 1–6.</w:t>
      </w:r>
    </w:p>
    <w:p w14:paraId="072E94F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Schwandt, T. (1998). Constructivist, Interpretivist Approaches to Human Inquiry, in: Denzin, N. K. and Lincoln, Y. S. (Eds.), </w:t>
      </w:r>
      <w:r w:rsidRPr="00596C9A">
        <w:rPr>
          <w:rFonts w:cs="Calibri"/>
          <w:i/>
          <w:iCs/>
          <w:noProof/>
        </w:rPr>
        <w:t>The Landscape of Qualitative Research: Theories and Issues</w:t>
      </w:r>
      <w:r w:rsidRPr="00596C9A">
        <w:rPr>
          <w:rFonts w:cs="Calibri"/>
          <w:noProof/>
        </w:rPr>
        <w:t>, (pp. 221–259). Thousand Oaks: Sage Publications.</w:t>
      </w:r>
    </w:p>
    <w:p w14:paraId="21162DE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Scott, W. R. (1987). The Adolescence of Institutional Theory. </w:t>
      </w:r>
      <w:r w:rsidRPr="00596C9A">
        <w:rPr>
          <w:rFonts w:cs="Calibri"/>
          <w:i/>
          <w:iCs/>
          <w:noProof/>
        </w:rPr>
        <w:t>Administrative Science Quarterly</w:t>
      </w:r>
      <w:r w:rsidRPr="00596C9A">
        <w:rPr>
          <w:rFonts w:cs="Calibri"/>
          <w:noProof/>
        </w:rPr>
        <w:t>, 32(4), 493–511.</w:t>
      </w:r>
    </w:p>
    <w:p w14:paraId="6AEC1D7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Scott, W. R. (2005). Institutional Theory: Contributing to a Theoretical Research Program, in: Smith, K. G. and Hitt, M. A. (Eds.), </w:t>
      </w:r>
      <w:r w:rsidRPr="00596C9A">
        <w:rPr>
          <w:rFonts w:cs="Calibri"/>
          <w:i/>
          <w:iCs/>
          <w:noProof/>
        </w:rPr>
        <w:t>Great Minds in Management: The Process of Theory Development</w:t>
      </w:r>
      <w:r w:rsidRPr="00596C9A">
        <w:rPr>
          <w:rFonts w:cs="Calibri"/>
          <w:noProof/>
        </w:rPr>
        <w:t>, (pp. 460–484). Oxford: Oxford University Press.</w:t>
      </w:r>
    </w:p>
    <w:p w14:paraId="7F33EFB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Scott, W. R. (2008a). Approaching Adulthood: The Maturing of Institutional Theory. </w:t>
      </w:r>
      <w:r w:rsidRPr="00596C9A">
        <w:rPr>
          <w:rFonts w:cs="Calibri"/>
          <w:i/>
          <w:iCs/>
          <w:noProof/>
        </w:rPr>
        <w:t>Theory and Society</w:t>
      </w:r>
      <w:r w:rsidRPr="00596C9A">
        <w:rPr>
          <w:rFonts w:cs="Calibri"/>
          <w:noProof/>
        </w:rPr>
        <w:t>, 37, 427–442.</w:t>
      </w:r>
    </w:p>
    <w:p w14:paraId="06803F6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Scott, W. R. (2008b). Lords of the Dance: Professionals as Institutional Agents. </w:t>
      </w:r>
      <w:r w:rsidRPr="00596C9A">
        <w:rPr>
          <w:rFonts w:cs="Calibri"/>
          <w:i/>
          <w:iCs/>
          <w:noProof/>
        </w:rPr>
        <w:t>Organization Studies</w:t>
      </w:r>
      <w:r w:rsidRPr="00596C9A">
        <w:rPr>
          <w:rFonts w:cs="Calibri"/>
          <w:noProof/>
        </w:rPr>
        <w:t>, 29(2), 219–238.</w:t>
      </w:r>
    </w:p>
    <w:p w14:paraId="010C6ED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Scott, W. R. (2010a). Entrepreneurs and Professionals: The Mediating Role of Institutions, in: Wesley D. Sine, R. J. D. (Ed.), </w:t>
      </w:r>
      <w:r w:rsidRPr="00596C9A">
        <w:rPr>
          <w:rFonts w:cs="Calibri"/>
          <w:i/>
          <w:iCs/>
          <w:noProof/>
        </w:rPr>
        <w:t>Institutions and Entrepreneurship (Research in the Sociology of Work, Vol. 21)</w:t>
      </w:r>
      <w:r w:rsidRPr="00596C9A">
        <w:rPr>
          <w:rFonts w:cs="Calibri"/>
          <w:noProof/>
        </w:rPr>
        <w:t>, (pp. 27–49). Leeds: Emerald Group Publishing Limited.</w:t>
      </w:r>
    </w:p>
    <w:p w14:paraId="5504F89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Scott, W. R. (2010b). Reflections: The Past and Future of Research on Institutions and Institutional Change. </w:t>
      </w:r>
      <w:r w:rsidRPr="00596C9A">
        <w:rPr>
          <w:rFonts w:cs="Calibri"/>
          <w:i/>
          <w:iCs/>
          <w:noProof/>
        </w:rPr>
        <w:t>Journal of Change Management</w:t>
      </w:r>
      <w:r w:rsidRPr="00596C9A">
        <w:rPr>
          <w:rFonts w:cs="Calibri"/>
          <w:noProof/>
        </w:rPr>
        <w:t>, 10(1), 5–21.</w:t>
      </w:r>
    </w:p>
    <w:p w14:paraId="3AC15B1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Sellberg, M. M., Cockburn, J., Holden, P. B. &amp; Lam, D. P. M. (2021). Towards a Caring Transdisciplinary Research Practice: Navigating Science, Society and Self. </w:t>
      </w:r>
      <w:r w:rsidRPr="00596C9A">
        <w:rPr>
          <w:rFonts w:cs="Calibri"/>
          <w:i/>
          <w:iCs/>
          <w:noProof/>
        </w:rPr>
        <w:t>Ecosystems and People</w:t>
      </w:r>
      <w:r w:rsidRPr="00596C9A">
        <w:rPr>
          <w:rFonts w:cs="Calibri"/>
          <w:noProof/>
        </w:rPr>
        <w:t>, 17(1), 292–305.</w:t>
      </w:r>
    </w:p>
    <w:p w14:paraId="26D0B3C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Sellnow, T. &amp; Sellnow, D. (2010). The Instructional Dynamic of Risk and Crisis Communication: Distinguishing Instructional Messages from Dialogue. </w:t>
      </w:r>
      <w:r w:rsidRPr="00596C9A">
        <w:rPr>
          <w:rFonts w:cs="Calibri"/>
          <w:i/>
          <w:iCs/>
          <w:noProof/>
        </w:rPr>
        <w:t>The Review of Communication</w:t>
      </w:r>
      <w:r w:rsidRPr="00596C9A">
        <w:rPr>
          <w:rFonts w:cs="Calibri"/>
          <w:noProof/>
        </w:rPr>
        <w:t>, 10(2), 112–126.</w:t>
      </w:r>
    </w:p>
    <w:p w14:paraId="2F8D05F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Sharma, B., Lee, S. S. &amp; Johnson, B. K. (2022). The Dark at the End of the Tunnel: Doomscrolling on Social Media Newsfeeds. </w:t>
      </w:r>
      <w:r w:rsidRPr="00596C9A">
        <w:rPr>
          <w:rFonts w:cs="Calibri"/>
          <w:i/>
          <w:iCs/>
          <w:noProof/>
        </w:rPr>
        <w:t>Technology, Mind, and Behavior</w:t>
      </w:r>
      <w:r w:rsidRPr="00596C9A">
        <w:rPr>
          <w:rFonts w:cs="Calibri"/>
          <w:noProof/>
        </w:rPr>
        <w:t>, 3(1), 1–13.</w:t>
      </w:r>
    </w:p>
    <w:p w14:paraId="502AFBE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Shaw, D. &amp; Satalkar, P. (2018). Researchers’ Interpretations of Research Integrity: A </w:t>
      </w:r>
      <w:r w:rsidRPr="00596C9A">
        <w:rPr>
          <w:rFonts w:cs="Calibri"/>
          <w:noProof/>
        </w:rPr>
        <w:lastRenderedPageBreak/>
        <w:t xml:space="preserve">Qualitative Study. </w:t>
      </w:r>
      <w:r w:rsidRPr="00596C9A">
        <w:rPr>
          <w:rFonts w:cs="Calibri"/>
          <w:i/>
          <w:iCs/>
          <w:noProof/>
        </w:rPr>
        <w:t>Accountability in Research</w:t>
      </w:r>
      <w:r w:rsidRPr="00596C9A">
        <w:rPr>
          <w:rFonts w:cs="Calibri"/>
          <w:noProof/>
        </w:rPr>
        <w:t>, 25(2), 79–93. Retrieved from https://doi.org/10.1080/08989621.2017.1413940</w:t>
      </w:r>
    </w:p>
    <w:p w14:paraId="1C0E634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Sherrieb, K., Norris, F. H. &amp; Galea, S. (2010). Measuring Capacities for Community Resilience. </w:t>
      </w:r>
      <w:r w:rsidRPr="00596C9A">
        <w:rPr>
          <w:rFonts w:cs="Calibri"/>
          <w:i/>
          <w:iCs/>
          <w:noProof/>
        </w:rPr>
        <w:t>Social Indicators Research</w:t>
      </w:r>
      <w:r w:rsidRPr="00596C9A">
        <w:rPr>
          <w:rFonts w:cs="Calibri"/>
          <w:noProof/>
        </w:rPr>
        <w:t>, 99(2), 227–247.</w:t>
      </w:r>
    </w:p>
    <w:p w14:paraId="6F0246A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Shi, C., Liao, L., Li, H. &amp; Su, Z. (2022). Which Urban Communities Are Susceptible to COVID-19? An Empirical Study through the Lens of Community Resilience. </w:t>
      </w:r>
      <w:r w:rsidRPr="00596C9A">
        <w:rPr>
          <w:rFonts w:cs="Calibri"/>
          <w:i/>
          <w:iCs/>
          <w:noProof/>
        </w:rPr>
        <w:t>BMC Public Health</w:t>
      </w:r>
      <w:r w:rsidRPr="00596C9A">
        <w:rPr>
          <w:rFonts w:cs="Calibri"/>
          <w:noProof/>
        </w:rPr>
        <w:t>, 22(1), 1–15.</w:t>
      </w:r>
    </w:p>
    <w:p w14:paraId="455E05B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Shi, J., Poorisat, T. &amp; Salmon, C. T. (2018). The Use of Social Networking Sites (SNSs) in Health Communication Campaigns: Review and Recommendations. </w:t>
      </w:r>
      <w:r w:rsidRPr="00596C9A">
        <w:rPr>
          <w:rFonts w:cs="Calibri"/>
          <w:i/>
          <w:iCs/>
          <w:noProof/>
        </w:rPr>
        <w:t>Health Communication</w:t>
      </w:r>
      <w:r w:rsidRPr="00596C9A">
        <w:rPr>
          <w:rFonts w:cs="Calibri"/>
          <w:noProof/>
        </w:rPr>
        <w:t>, 33(1), 49–56.</w:t>
      </w:r>
    </w:p>
    <w:p w14:paraId="430DC6B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Sim, T., Han, Z., Guo, C., Lau, J., Yu, J. &amp; Su, G. (2021). Disaster Preparedness, Perceived Community Resilience, and Place of Rural Villages in Northwest China. </w:t>
      </w:r>
      <w:r w:rsidRPr="00596C9A">
        <w:rPr>
          <w:rFonts w:cs="Calibri"/>
          <w:i/>
          <w:iCs/>
          <w:noProof/>
        </w:rPr>
        <w:t>Natural Hazards</w:t>
      </w:r>
      <w:r w:rsidRPr="00596C9A">
        <w:rPr>
          <w:rFonts w:cs="Calibri"/>
          <w:noProof/>
        </w:rPr>
        <w:t>, 108(1), 907–923.</w:t>
      </w:r>
    </w:p>
    <w:p w14:paraId="028C819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Simon, T., Goldberg, A. &amp; Adini, B. (2015). Socializing in Emergencies—A Review of the Use of Social Media in Emergency Situations. </w:t>
      </w:r>
      <w:r w:rsidRPr="00596C9A">
        <w:rPr>
          <w:rFonts w:cs="Calibri"/>
          <w:i/>
          <w:iCs/>
          <w:noProof/>
        </w:rPr>
        <w:t>International Journal of Information Management</w:t>
      </w:r>
      <w:r w:rsidRPr="00596C9A">
        <w:rPr>
          <w:rFonts w:cs="Calibri"/>
          <w:noProof/>
        </w:rPr>
        <w:t>, 35(5), 609–619.</w:t>
      </w:r>
    </w:p>
    <w:p w14:paraId="635553E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Singh, P., Tabe, T. &amp; Martin, T. (2022). The Role of Women in Community Resilience to Climate Change: A Case Study of an Indigenous Fijian Community. </w:t>
      </w:r>
      <w:r w:rsidRPr="00596C9A">
        <w:rPr>
          <w:rFonts w:cs="Calibri"/>
          <w:i/>
          <w:iCs/>
          <w:noProof/>
        </w:rPr>
        <w:t>Women’s Studies International Forum</w:t>
      </w:r>
      <w:r w:rsidRPr="00596C9A">
        <w:rPr>
          <w:rFonts w:cs="Calibri"/>
          <w:noProof/>
        </w:rPr>
        <w:t>, 90, 1–13.</w:t>
      </w:r>
    </w:p>
    <w:p w14:paraId="5B80A60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Sjöberg, L. (1998). Worry and Risk Perception. </w:t>
      </w:r>
      <w:r w:rsidRPr="00596C9A">
        <w:rPr>
          <w:rFonts w:cs="Calibri"/>
          <w:i/>
          <w:iCs/>
          <w:noProof/>
        </w:rPr>
        <w:t>Risk Analysis</w:t>
      </w:r>
      <w:r w:rsidRPr="00596C9A">
        <w:rPr>
          <w:rFonts w:cs="Calibri"/>
          <w:noProof/>
        </w:rPr>
        <w:t>, 18(1), 85–93.</w:t>
      </w:r>
    </w:p>
    <w:p w14:paraId="716E349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Sjöberg, L. (2000). Factors in Risk Perception. </w:t>
      </w:r>
      <w:r w:rsidRPr="00596C9A">
        <w:rPr>
          <w:rFonts w:cs="Calibri"/>
          <w:i/>
          <w:iCs/>
          <w:noProof/>
        </w:rPr>
        <w:t>Risk Analysis</w:t>
      </w:r>
      <w:r w:rsidRPr="00596C9A">
        <w:rPr>
          <w:rFonts w:cs="Calibri"/>
          <w:noProof/>
        </w:rPr>
        <w:t>, 20(1), 1–12.</w:t>
      </w:r>
    </w:p>
    <w:p w14:paraId="2BE504E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Skrimizea, E., Bakema, M., McCann, P. &amp; Parra, C. (2021). Disaster Governance and Institutional Dynamics in Times of Social-Ecological Change: Insights from New Zealand, the Netherlands and Greece. </w:t>
      </w:r>
      <w:r w:rsidRPr="00596C9A">
        <w:rPr>
          <w:rFonts w:cs="Calibri"/>
          <w:i/>
          <w:iCs/>
          <w:noProof/>
        </w:rPr>
        <w:t>Applied Geography</w:t>
      </w:r>
      <w:r w:rsidRPr="00596C9A">
        <w:rPr>
          <w:rFonts w:cs="Calibri"/>
          <w:noProof/>
        </w:rPr>
        <w:t>, 136, 1–10.</w:t>
      </w:r>
    </w:p>
    <w:p w14:paraId="0BF9459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Slee, D. (2019). LONG READ: I Read 147 Facebook Updates across Seven Pages to See How the Whaley Bridge Dam Crisis Was Communicated on Facebook. </w:t>
      </w:r>
      <w:r w:rsidRPr="00596C9A">
        <w:rPr>
          <w:rFonts w:cs="Calibri"/>
          <w:i/>
          <w:iCs/>
          <w:noProof/>
        </w:rPr>
        <w:t>Dan Slee</w:t>
      </w:r>
      <w:r w:rsidRPr="00596C9A">
        <w:rPr>
          <w:rFonts w:cs="Calibri"/>
          <w:noProof/>
        </w:rPr>
        <w:t>, (August), 1–11. Retrieved from https://danslee.wordpress.com/2019/08/16/long-read-i-read-147-facebook-updates-across-seven-pages-to-see-how-the-whaley-bridge-dam-crisis-was-communicated-on-facebook/</w:t>
      </w:r>
    </w:p>
    <w:p w14:paraId="74EEA1F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Smith, D. E. (1987). Institutional Ethnography: A Feminist Research Strategy, in: </w:t>
      </w:r>
      <w:r w:rsidRPr="00596C9A">
        <w:rPr>
          <w:rFonts w:cs="Calibri"/>
          <w:i/>
          <w:iCs/>
          <w:noProof/>
        </w:rPr>
        <w:t>The Everyday World as Problematic: a Feminist Sociology</w:t>
      </w:r>
      <w:r w:rsidRPr="00596C9A">
        <w:rPr>
          <w:rFonts w:cs="Calibri"/>
          <w:noProof/>
        </w:rPr>
        <w:t>, (pp. 151–180). Boston, [Massachusetts]: Boston, Massachusetts : Northeastern University Press, 1987.</w:t>
      </w:r>
    </w:p>
    <w:p w14:paraId="01C970B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lastRenderedPageBreak/>
        <w:t xml:space="preserve">Smith, L., Liang, Q., James, P. &amp; Lin, W. (2017). Assessing the Utility of Social Media as a Data Source for Flood Risk Management Using a Real‐time Modelling Framework. </w:t>
      </w:r>
      <w:r w:rsidRPr="00596C9A">
        <w:rPr>
          <w:rFonts w:cs="Calibri"/>
          <w:i/>
          <w:iCs/>
          <w:noProof/>
        </w:rPr>
        <w:t>Flood Risk Management</w:t>
      </w:r>
      <w:r w:rsidRPr="00596C9A">
        <w:rPr>
          <w:rFonts w:cs="Calibri"/>
          <w:noProof/>
        </w:rPr>
        <w:t>, 10(3), 370–380.</w:t>
      </w:r>
    </w:p>
    <w:p w14:paraId="27F584B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Smith, M. &amp; Jones, R. (2015). From Big Society to Small State: Conservatism and the Privatisation of Government. </w:t>
      </w:r>
      <w:r w:rsidRPr="00596C9A">
        <w:rPr>
          <w:rFonts w:cs="Calibri"/>
          <w:i/>
          <w:iCs/>
          <w:noProof/>
        </w:rPr>
        <w:t>British Politics</w:t>
      </w:r>
      <w:r w:rsidRPr="00596C9A">
        <w:rPr>
          <w:rFonts w:cs="Calibri"/>
          <w:noProof/>
        </w:rPr>
        <w:t>, 10(2), 226–248.</w:t>
      </w:r>
    </w:p>
    <w:p w14:paraId="10F1BD8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Snyder, H. (2019). Literature Review as a Research Methodology: An Overview and Guidelines. </w:t>
      </w:r>
      <w:r w:rsidRPr="00596C9A">
        <w:rPr>
          <w:rFonts w:cs="Calibri"/>
          <w:i/>
          <w:iCs/>
          <w:noProof/>
        </w:rPr>
        <w:t>Journal of Business Research</w:t>
      </w:r>
      <w:r w:rsidRPr="00596C9A">
        <w:rPr>
          <w:rFonts w:cs="Calibri"/>
          <w:noProof/>
        </w:rPr>
        <w:t>, 104(July), 333–339.</w:t>
      </w:r>
    </w:p>
    <w:p w14:paraId="2500820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Sobhaninia, S., Amirzadeh, M., Lauria, M. &amp; Sharifi, A. (2023). The Relationship between Place Identity and Community Resilience: Evidence from Local Communities in Isfahan, Iran. </w:t>
      </w:r>
      <w:r w:rsidRPr="00596C9A">
        <w:rPr>
          <w:rFonts w:cs="Calibri"/>
          <w:i/>
          <w:iCs/>
          <w:noProof/>
        </w:rPr>
        <w:t>International Journal of Disaster Risk Reduction</w:t>
      </w:r>
      <w:r w:rsidRPr="00596C9A">
        <w:rPr>
          <w:rFonts w:cs="Calibri"/>
          <w:noProof/>
        </w:rPr>
        <w:t>, 90, 1–16.</w:t>
      </w:r>
    </w:p>
    <w:p w14:paraId="1F88A01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South Yorkshire Fire and Rescue. (2015). Community Fire Risk Model. </w:t>
      </w:r>
      <w:r w:rsidRPr="00596C9A">
        <w:rPr>
          <w:rFonts w:cs="Calibri"/>
          <w:i/>
          <w:iCs/>
          <w:noProof/>
        </w:rPr>
        <w:t>South Yorkshire Fire and Rescue</w:t>
      </w:r>
      <w:r w:rsidRPr="00596C9A">
        <w:rPr>
          <w:rFonts w:cs="Calibri"/>
          <w:noProof/>
        </w:rPr>
        <w:t>. Retrieved April 2, 2024, from https://www.syfire.gov.uk/performance/strategic-plans/community-fire-risk-model/</w:t>
      </w:r>
    </w:p>
    <w:p w14:paraId="5772FEA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South Yorkshire Fire and Rescue. (2022). Organisational Structure. Retrieved from https://www.syfire.gov.uk/wp-content/uploads/2022/12/SYFR-Organisational-Structure-December-2022.pdf</w:t>
      </w:r>
    </w:p>
    <w:p w14:paraId="71A12F0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South Yorkshire Fire and Rescue. (2023a). Service Information. </w:t>
      </w:r>
      <w:r w:rsidRPr="00596C9A">
        <w:rPr>
          <w:rFonts w:cs="Calibri"/>
          <w:i/>
          <w:iCs/>
          <w:noProof/>
        </w:rPr>
        <w:t>South Yorkshire Fire and Resuce Service</w:t>
      </w:r>
      <w:r w:rsidRPr="00596C9A">
        <w:rPr>
          <w:rFonts w:cs="Calibri"/>
          <w:noProof/>
        </w:rPr>
        <w:t>. Retrieved April 2, 2024, from https://www.syfire.gov.uk/service-information/</w:t>
      </w:r>
    </w:p>
    <w:p w14:paraId="4F95126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South Yorkshire Fire and Rescue. (2023b). Who We Are and What We Do. </w:t>
      </w:r>
      <w:r w:rsidRPr="00596C9A">
        <w:rPr>
          <w:rFonts w:cs="Calibri"/>
          <w:i/>
          <w:iCs/>
          <w:noProof/>
        </w:rPr>
        <w:t>Who we are and what we do</w:t>
      </w:r>
      <w:r w:rsidRPr="00596C9A">
        <w:rPr>
          <w:rFonts w:cs="Calibri"/>
          <w:noProof/>
        </w:rPr>
        <w:t>. Retrieved June 1, 2023, from https://www.syfire.gov.uk/transparency/publication-scheme/who-we-are-and-what-we-do/</w:t>
      </w:r>
    </w:p>
    <w:p w14:paraId="24EEE4F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South Yorkshire Fire and Rescue Authority. (2023). South Yorkshire Fire and Rescue Authority. </w:t>
      </w:r>
      <w:r w:rsidRPr="00596C9A">
        <w:rPr>
          <w:rFonts w:cs="Calibri"/>
          <w:i/>
          <w:iCs/>
          <w:noProof/>
        </w:rPr>
        <w:t>South Yorkshire Fire and Rescue Authority</w:t>
      </w:r>
      <w:r w:rsidRPr="00596C9A">
        <w:rPr>
          <w:rFonts w:cs="Calibri"/>
          <w:noProof/>
        </w:rPr>
        <w:t>. Retrieved April 2, 2024, from https://www.barnsley.gov.uk/services/south-yorkshire-governance/south-yorkshire-governance/south-yorkshire-fire-and-rescue-authority/</w:t>
      </w:r>
    </w:p>
    <w:p w14:paraId="7BD377E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South Yorkshire Local Resilience Forum. (2024). South Yorkshire Community Risk Register. , (March).</w:t>
      </w:r>
    </w:p>
    <w:p w14:paraId="7AABC96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Spialek, M. L. &amp; Houston, J. B. (2019). The Influence of Citizen Disaster Communication on Perceptions of Neighborhood Belonging and Community Resilience. </w:t>
      </w:r>
      <w:r w:rsidRPr="00596C9A">
        <w:rPr>
          <w:rFonts w:cs="Calibri"/>
          <w:i/>
          <w:iCs/>
          <w:noProof/>
        </w:rPr>
        <w:t>Journal of Applied Communication Research</w:t>
      </w:r>
      <w:r w:rsidRPr="00596C9A">
        <w:rPr>
          <w:rFonts w:cs="Calibri"/>
          <w:noProof/>
        </w:rPr>
        <w:t>, 47(1), 1–23.</w:t>
      </w:r>
    </w:p>
    <w:p w14:paraId="2B59A72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lastRenderedPageBreak/>
        <w:t xml:space="preserve">Stanley, I. H., Hom, M. A., Spencer-Thomas, S. &amp; Joiner, T. E. (2017). Suicidal Thoughts and Behaviors among Women Firefighters: An Examination of Associated Features and Comparison of Pre-Career and Career Prevalence Rates. </w:t>
      </w:r>
      <w:r w:rsidRPr="00596C9A">
        <w:rPr>
          <w:rFonts w:cs="Calibri"/>
          <w:i/>
          <w:iCs/>
          <w:noProof/>
        </w:rPr>
        <w:t>Journal of Affective Disorders</w:t>
      </w:r>
      <w:r w:rsidRPr="00596C9A">
        <w:rPr>
          <w:rFonts w:cs="Calibri"/>
          <w:noProof/>
        </w:rPr>
        <w:t>, 221(15), 107–114.</w:t>
      </w:r>
    </w:p>
    <w:p w14:paraId="296EEC1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Steinbach, M. &amp; Süß, S. (2018). Administrators’ Identities and Strategies in the e-Participation Innovation Process: A Qualitative Analysis of Institutional Logics and Institutional Work in German Municipalities. </w:t>
      </w:r>
      <w:r w:rsidRPr="00596C9A">
        <w:rPr>
          <w:rFonts w:cs="Calibri"/>
          <w:i/>
          <w:iCs/>
          <w:noProof/>
        </w:rPr>
        <w:t>Information Polity</w:t>
      </w:r>
      <w:r w:rsidRPr="00596C9A">
        <w:rPr>
          <w:rFonts w:cs="Calibri"/>
          <w:noProof/>
        </w:rPr>
        <w:t>, 23(3), 281–305.</w:t>
      </w:r>
    </w:p>
    <w:p w14:paraId="1F65306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Steiner, A. &amp; Markantoni, M. (2014). Unpacking Community Resilience through Capacity for Change. </w:t>
      </w:r>
      <w:r w:rsidRPr="00596C9A">
        <w:rPr>
          <w:rFonts w:cs="Calibri"/>
          <w:i/>
          <w:iCs/>
          <w:noProof/>
        </w:rPr>
        <w:t>Community Development Journal</w:t>
      </w:r>
      <w:r w:rsidRPr="00596C9A">
        <w:rPr>
          <w:rFonts w:cs="Calibri"/>
          <w:noProof/>
        </w:rPr>
        <w:t>, 49(3), 407–425.</w:t>
      </w:r>
    </w:p>
    <w:p w14:paraId="07FE189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Stewart, E. &amp; Connolly, C. (2022). UK Public Sector Fiscal Reporting: Clear and Contradictory. </w:t>
      </w:r>
      <w:r w:rsidRPr="00596C9A">
        <w:rPr>
          <w:rFonts w:cs="Calibri"/>
          <w:i/>
          <w:iCs/>
          <w:noProof/>
        </w:rPr>
        <w:t>Accounting Forum</w:t>
      </w:r>
      <w:r w:rsidRPr="00596C9A">
        <w:rPr>
          <w:rFonts w:cs="Calibri"/>
          <w:noProof/>
        </w:rPr>
        <w:t>, 1–25.</w:t>
      </w:r>
    </w:p>
    <w:p w14:paraId="3A02FFE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Subrahmanyam, K., Reich, S. M., Waechter, N. &amp; Espinoza, G. (2008). Online and Offline Social Networks: Use of Social Networking Sites by Emerging Adults. </w:t>
      </w:r>
      <w:r w:rsidRPr="00596C9A">
        <w:rPr>
          <w:rFonts w:cs="Calibri"/>
          <w:i/>
          <w:iCs/>
          <w:noProof/>
        </w:rPr>
        <w:t>Journal of Applied Developmental Psychology</w:t>
      </w:r>
      <w:r w:rsidRPr="00596C9A">
        <w:rPr>
          <w:rFonts w:cs="Calibri"/>
          <w:noProof/>
        </w:rPr>
        <w:t>, 29(6), 420–433.</w:t>
      </w:r>
    </w:p>
    <w:p w14:paraId="2020E61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Suddaby, R. (2010). Challenges for Institutional Theory. </w:t>
      </w:r>
      <w:r w:rsidRPr="00596C9A">
        <w:rPr>
          <w:rFonts w:cs="Calibri"/>
          <w:i/>
          <w:iCs/>
          <w:noProof/>
        </w:rPr>
        <w:t>Journal of Management Inquiry</w:t>
      </w:r>
      <w:r w:rsidRPr="00596C9A">
        <w:rPr>
          <w:rFonts w:cs="Calibri"/>
          <w:noProof/>
        </w:rPr>
        <w:t>, 19(1), 14–20.</w:t>
      </w:r>
    </w:p>
    <w:p w14:paraId="2928B72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Suddaby, R. (2011). How Communication Institutionalizes: A Response to Lammers. </w:t>
      </w:r>
      <w:r w:rsidRPr="00596C9A">
        <w:rPr>
          <w:rFonts w:cs="Calibri"/>
          <w:i/>
          <w:iCs/>
          <w:noProof/>
        </w:rPr>
        <w:t>Management Communication Quarterly</w:t>
      </w:r>
      <w:r w:rsidRPr="00596C9A">
        <w:rPr>
          <w:rFonts w:cs="Calibri"/>
          <w:noProof/>
        </w:rPr>
        <w:t>, 25(1), 183–190.</w:t>
      </w:r>
    </w:p>
    <w:p w14:paraId="1A07647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Svärd, P. (2019). The Impact of New Public Management through Outsourcing on the Management of Government Information: The Case of Sweden. </w:t>
      </w:r>
      <w:r w:rsidRPr="00596C9A">
        <w:rPr>
          <w:rFonts w:cs="Calibri"/>
          <w:i/>
          <w:iCs/>
          <w:noProof/>
        </w:rPr>
        <w:t>Records Management Journal</w:t>
      </w:r>
      <w:r w:rsidRPr="00596C9A">
        <w:rPr>
          <w:rFonts w:cs="Calibri"/>
          <w:noProof/>
        </w:rPr>
        <w:t>, 29(1/2), 134–151.</w:t>
      </w:r>
    </w:p>
    <w:p w14:paraId="28A597B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Taylor, B. M., Wells, G., Howell, G. &amp; Raphael, B. (2012). The Role of Social Media as Psychological First Aid as a Support to Community Resilience Building . </w:t>
      </w:r>
      <w:r w:rsidRPr="00596C9A">
        <w:rPr>
          <w:rFonts w:cs="Calibri"/>
          <w:i/>
          <w:iCs/>
          <w:noProof/>
        </w:rPr>
        <w:t>The Australian Journal of Emergency Management</w:t>
      </w:r>
      <w:r w:rsidRPr="00596C9A">
        <w:rPr>
          <w:rFonts w:cs="Calibri"/>
          <w:noProof/>
        </w:rPr>
        <w:t>, 27(1), 20–26.</w:t>
      </w:r>
    </w:p>
    <w:p w14:paraId="73B9748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Taylor, M., Higgins, E., Francis, H., Jones, M. &amp; Appleton, D. (2015). Transforming Fire Prevention: A Case Study. </w:t>
      </w:r>
      <w:r w:rsidRPr="00596C9A">
        <w:rPr>
          <w:rFonts w:cs="Calibri"/>
          <w:i/>
          <w:iCs/>
          <w:noProof/>
        </w:rPr>
        <w:t>Transforming Government: People, Process and Policy</w:t>
      </w:r>
      <w:r w:rsidRPr="00596C9A">
        <w:rPr>
          <w:rFonts w:cs="Calibri"/>
          <w:noProof/>
        </w:rPr>
        <w:t>, 9(2), 223–236.</w:t>
      </w:r>
    </w:p>
    <w:p w14:paraId="2CB882B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Taylor, M., Oakford, G., Appleton, D. &amp; Fielding, J. (2022). Fire Prevention Targeting by Merseyside Fire and Rescue Service in UK. </w:t>
      </w:r>
      <w:r w:rsidRPr="00596C9A">
        <w:rPr>
          <w:rFonts w:cs="Calibri"/>
          <w:i/>
          <w:iCs/>
          <w:noProof/>
        </w:rPr>
        <w:t>Fire Technology</w:t>
      </w:r>
      <w:r w:rsidRPr="00596C9A">
        <w:rPr>
          <w:rFonts w:cs="Calibri"/>
          <w:noProof/>
        </w:rPr>
        <w:t>, 58, 1827–1837.</w:t>
      </w:r>
    </w:p>
    <w:p w14:paraId="3D7A6863"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Teghtsoonian, K. (2016). Methods, Discourse, Activism: Comparing Institutional Ethnography and Governmentality. </w:t>
      </w:r>
      <w:r w:rsidRPr="00596C9A">
        <w:rPr>
          <w:rFonts w:cs="Calibri"/>
          <w:i/>
          <w:iCs/>
          <w:noProof/>
        </w:rPr>
        <w:t>Critical Policy Studies</w:t>
      </w:r>
      <w:r w:rsidRPr="00596C9A">
        <w:rPr>
          <w:rFonts w:cs="Calibri"/>
          <w:noProof/>
        </w:rPr>
        <w:t>, 10(3), 330–347.</w:t>
      </w:r>
    </w:p>
    <w:p w14:paraId="1C037EA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The Good Things Foundation, . (2021). What We Do. </w:t>
      </w:r>
      <w:r w:rsidRPr="00596C9A">
        <w:rPr>
          <w:rFonts w:cs="Calibri"/>
          <w:i/>
          <w:iCs/>
          <w:noProof/>
        </w:rPr>
        <w:t>The Good Things Foundation</w:t>
      </w:r>
      <w:r w:rsidRPr="00596C9A">
        <w:rPr>
          <w:rFonts w:cs="Calibri"/>
          <w:noProof/>
        </w:rPr>
        <w:t xml:space="preserve">. Retrieved </w:t>
      </w:r>
      <w:r w:rsidRPr="00596C9A">
        <w:rPr>
          <w:rFonts w:cs="Calibri"/>
          <w:noProof/>
        </w:rPr>
        <w:lastRenderedPageBreak/>
        <w:t>from https://www.goodthingsfoundation.org/what-we-do/</w:t>
      </w:r>
    </w:p>
    <w:p w14:paraId="4D1D7FB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Thomas, M., Klemm, C., Hutchins, B. &amp; Kaufman, S. (2022). Unpacking the Realities and Complexities of Sensemaking: Government Practitioners’ Experiences of Emergency Risk Communication. </w:t>
      </w:r>
      <w:r w:rsidRPr="00596C9A">
        <w:rPr>
          <w:rFonts w:cs="Calibri"/>
          <w:i/>
          <w:iCs/>
          <w:noProof/>
        </w:rPr>
        <w:t>Risk Analysis</w:t>
      </w:r>
      <w:r w:rsidRPr="00596C9A">
        <w:rPr>
          <w:rFonts w:cs="Calibri"/>
          <w:noProof/>
        </w:rPr>
        <w:t>, 42(11), 2536–2549.</w:t>
      </w:r>
    </w:p>
    <w:p w14:paraId="7FBA57A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Thompson, J. (2022). A Guide to Abductive Thematic Analysis. </w:t>
      </w:r>
      <w:r w:rsidRPr="00596C9A">
        <w:rPr>
          <w:rFonts w:cs="Calibri"/>
          <w:i/>
          <w:iCs/>
          <w:noProof/>
        </w:rPr>
        <w:t>The Qualitative Report</w:t>
      </w:r>
      <w:r w:rsidRPr="00596C9A">
        <w:rPr>
          <w:rFonts w:cs="Calibri"/>
          <w:noProof/>
        </w:rPr>
        <w:t>, 27(5), 1410–1421.</w:t>
      </w:r>
    </w:p>
    <w:p w14:paraId="2AC2051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Thornton, P. H. &amp; Ocasio, W. (2008). Institutional Logics, in: Greenwood, R., Oliver, C., Sahlin, K., and Suddaby, R. (Eds.), </w:t>
      </w:r>
      <w:r w:rsidRPr="00596C9A">
        <w:rPr>
          <w:rFonts w:cs="Calibri"/>
          <w:i/>
          <w:iCs/>
          <w:noProof/>
        </w:rPr>
        <w:t>The Sage Handbook of Organizational Institutionalism</w:t>
      </w:r>
      <w:r w:rsidRPr="00596C9A">
        <w:rPr>
          <w:rFonts w:cs="Calibri"/>
          <w:noProof/>
        </w:rPr>
        <w:t>, (pp. 99–129). London: Sage.</w:t>
      </w:r>
    </w:p>
    <w:p w14:paraId="70498E8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Thornton, P. H., Ocasio, W. &amp; Lounsbury, M. (2012). </w:t>
      </w:r>
      <w:r w:rsidRPr="00596C9A">
        <w:rPr>
          <w:rFonts w:cs="Calibri"/>
          <w:i/>
          <w:iCs/>
          <w:noProof/>
        </w:rPr>
        <w:t>The Institutional Logics Perspective: A New Approach to Culture, Structure and Process</w:t>
      </w:r>
      <w:r w:rsidRPr="00596C9A">
        <w:rPr>
          <w:rFonts w:cs="Calibri"/>
          <w:noProof/>
        </w:rPr>
        <w:t>. Oxford: Oxford Acdemic.</w:t>
      </w:r>
    </w:p>
    <w:p w14:paraId="50EDCF1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Thurnell-Read, T. &amp; Parker, A. (2008). Men, Masculinities and Firefighting: Occupational Identity, Shop-Floor Culture and Organisational Change. </w:t>
      </w:r>
      <w:r w:rsidRPr="00596C9A">
        <w:rPr>
          <w:rFonts w:cs="Calibri"/>
          <w:i/>
          <w:iCs/>
          <w:noProof/>
        </w:rPr>
        <w:t>Emotion, Space and Society</w:t>
      </w:r>
      <w:r w:rsidRPr="00596C9A">
        <w:rPr>
          <w:rFonts w:cs="Calibri"/>
          <w:noProof/>
        </w:rPr>
        <w:t>, 1(2), 127–134.</w:t>
      </w:r>
    </w:p>
    <w:p w14:paraId="4E2DD37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Titz, A., Cannon, T. &amp; Krüger, F. (2018). Uncovering ‘Community’: Challenging an Elusive Concept in Development and Disaster Related Work. </w:t>
      </w:r>
      <w:r w:rsidRPr="00596C9A">
        <w:rPr>
          <w:rFonts w:cs="Calibri"/>
          <w:i/>
          <w:iCs/>
          <w:noProof/>
        </w:rPr>
        <w:t>Societies</w:t>
      </w:r>
      <w:r w:rsidRPr="00596C9A">
        <w:rPr>
          <w:rFonts w:cs="Calibri"/>
          <w:noProof/>
        </w:rPr>
        <w:t>, 8(3), 1–28.</w:t>
      </w:r>
    </w:p>
    <w:p w14:paraId="4F161B4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Tobin, G. A. (1999). Sustainability and Community Resilience: The Holy Grail of Hazards Planning? </w:t>
      </w:r>
      <w:r w:rsidRPr="00596C9A">
        <w:rPr>
          <w:rFonts w:cs="Calibri"/>
          <w:i/>
          <w:iCs/>
          <w:noProof/>
        </w:rPr>
        <w:t>Environmental Hazards</w:t>
      </w:r>
      <w:r w:rsidRPr="00596C9A">
        <w:rPr>
          <w:rFonts w:cs="Calibri"/>
          <w:noProof/>
        </w:rPr>
        <w:t>, 1(1), 13–25.</w:t>
      </w:r>
    </w:p>
    <w:p w14:paraId="1E2047B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Toner, J. (2009). Small Is Not Too Small: Reflections Concerning the Validity of Very Small Focus Groups (VSFGs). </w:t>
      </w:r>
      <w:r w:rsidRPr="00596C9A">
        <w:rPr>
          <w:rFonts w:cs="Calibri"/>
          <w:i/>
          <w:iCs/>
          <w:noProof/>
        </w:rPr>
        <w:t>Qualitative Social Work</w:t>
      </w:r>
      <w:r w:rsidRPr="00596C9A">
        <w:rPr>
          <w:rFonts w:cs="Calibri"/>
          <w:noProof/>
        </w:rPr>
        <w:t>, 8(2), 179–192.</w:t>
      </w:r>
    </w:p>
    <w:p w14:paraId="576CB6D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Tones, K. (1996). Models of Mass Media: Hypodermic, Aerosol or Agent Provocateur? </w:t>
      </w:r>
      <w:r w:rsidRPr="00596C9A">
        <w:rPr>
          <w:rFonts w:cs="Calibri"/>
          <w:i/>
          <w:iCs/>
          <w:noProof/>
        </w:rPr>
        <w:t>Drugs: Education, Prevention and Policy</w:t>
      </w:r>
      <w:r w:rsidRPr="00596C9A">
        <w:rPr>
          <w:rFonts w:cs="Calibri"/>
          <w:noProof/>
        </w:rPr>
        <w:t>, 3(1), 29–37.</w:t>
      </w:r>
    </w:p>
    <w:p w14:paraId="00AF0AC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Townley, B. (1997). Logic of Performance Appraisal. </w:t>
      </w:r>
      <w:r w:rsidRPr="00596C9A">
        <w:rPr>
          <w:rFonts w:cs="Calibri"/>
          <w:i/>
          <w:iCs/>
          <w:noProof/>
        </w:rPr>
        <w:t>Organization Studies</w:t>
      </w:r>
      <w:r w:rsidRPr="00596C9A">
        <w:rPr>
          <w:rFonts w:cs="Calibri"/>
          <w:noProof/>
        </w:rPr>
        <w:t>, 18(2), 261–285.</w:t>
      </w:r>
    </w:p>
    <w:p w14:paraId="563D68B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Townsend, E. (1996). Institutional Ethnography: A Method for Showing How the Context Shapes Practice. </w:t>
      </w:r>
      <w:r w:rsidRPr="00596C9A">
        <w:rPr>
          <w:rFonts w:cs="Calibri"/>
          <w:i/>
          <w:iCs/>
          <w:noProof/>
        </w:rPr>
        <w:t>Occupational Therapy Journal of Research</w:t>
      </w:r>
      <w:r w:rsidRPr="00596C9A">
        <w:rPr>
          <w:rFonts w:cs="Calibri"/>
          <w:noProof/>
        </w:rPr>
        <w:t>, 16(3), 179–199.</w:t>
      </w:r>
    </w:p>
    <w:p w14:paraId="0CE7B21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Tranfield, D., Denyer, D. &amp; Smart, P. (2003). Towards a Methodology for Developing Evidence-Informed Management Knowledge by Means of Systematic Review. </w:t>
      </w:r>
      <w:r w:rsidRPr="00596C9A">
        <w:rPr>
          <w:rFonts w:cs="Calibri"/>
          <w:i/>
          <w:iCs/>
          <w:noProof/>
        </w:rPr>
        <w:t>British Journal of Management</w:t>
      </w:r>
      <w:r w:rsidRPr="00596C9A">
        <w:rPr>
          <w:rFonts w:cs="Calibri"/>
          <w:noProof/>
        </w:rPr>
        <w:t>, 14(3), 207–222.</w:t>
      </w:r>
    </w:p>
    <w:p w14:paraId="2FA8E23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UK Government. (1947). </w:t>
      </w:r>
      <w:r w:rsidRPr="00596C9A">
        <w:rPr>
          <w:rFonts w:cs="Calibri"/>
          <w:i/>
          <w:iCs/>
          <w:noProof/>
        </w:rPr>
        <w:t>Fire Services Act 1984</w:t>
      </w:r>
      <w:r w:rsidRPr="00596C9A">
        <w:rPr>
          <w:rFonts w:cs="Calibri"/>
          <w:noProof/>
        </w:rPr>
        <w:t>. UK Government.</w:t>
      </w:r>
    </w:p>
    <w:p w14:paraId="7CFB567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Umar, M. &amp; Wilson, M. (2021). Supply Chain Resilience: Unleashing the Power of Collaboration in Disaster Management. </w:t>
      </w:r>
      <w:r w:rsidRPr="00596C9A">
        <w:rPr>
          <w:rFonts w:cs="Calibri"/>
          <w:i/>
          <w:iCs/>
          <w:noProof/>
        </w:rPr>
        <w:t>Sustainability</w:t>
      </w:r>
      <w:r w:rsidRPr="00596C9A">
        <w:rPr>
          <w:rFonts w:cs="Calibri"/>
          <w:noProof/>
        </w:rPr>
        <w:t>, 13(19), 1–20.</w:t>
      </w:r>
    </w:p>
    <w:p w14:paraId="5130B7B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UNDRR. Disaster Risk Reduction. Retrieved March 2, 2021, from </w:t>
      </w:r>
      <w:r w:rsidRPr="00596C9A">
        <w:rPr>
          <w:rFonts w:cs="Calibri"/>
          <w:noProof/>
        </w:rPr>
        <w:lastRenderedPageBreak/>
        <w:t>https://www.undrr.org/terminology/disaster-risk-reduction</w:t>
      </w:r>
    </w:p>
    <w:p w14:paraId="5504F95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United Nations General Assembly. (2016). </w:t>
      </w:r>
      <w:r w:rsidRPr="00596C9A">
        <w:rPr>
          <w:rFonts w:cs="Calibri"/>
          <w:i/>
          <w:iCs/>
          <w:noProof/>
        </w:rPr>
        <w:t>Report of the Open-Ended Intergovernmental Expert Working Group on Indicators and Terminology Relating to Disaster Risk Reduction</w:t>
      </w:r>
      <w:r w:rsidRPr="00596C9A">
        <w:rPr>
          <w:rFonts w:cs="Calibri"/>
          <w:noProof/>
        </w:rPr>
        <w:t>.</w:t>
      </w:r>
    </w:p>
    <w:p w14:paraId="3ADF57B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Vaismoradi, M., Jones, J., Turunen, H. &amp; Snelgrove, S. (2016). Theme Development in Qualitative Content Analysis and Thematic Analysis. </w:t>
      </w:r>
      <w:r w:rsidRPr="00596C9A">
        <w:rPr>
          <w:rFonts w:cs="Calibri"/>
          <w:i/>
          <w:iCs/>
          <w:noProof/>
        </w:rPr>
        <w:t>Journal of Nursing Education and Practice</w:t>
      </w:r>
      <w:r w:rsidRPr="00596C9A">
        <w:rPr>
          <w:rFonts w:cs="Calibri"/>
          <w:noProof/>
        </w:rPr>
        <w:t>, 6(5), 100–110.</w:t>
      </w:r>
    </w:p>
    <w:p w14:paraId="2535467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Valentine, G. (2007). Theorizing and Researching Intersectionality: A Challenge for Feminist Geography. </w:t>
      </w:r>
      <w:r w:rsidRPr="00596C9A">
        <w:rPr>
          <w:rFonts w:cs="Calibri"/>
          <w:i/>
          <w:iCs/>
          <w:noProof/>
        </w:rPr>
        <w:t>The Professional Geographer</w:t>
      </w:r>
      <w:r w:rsidRPr="00596C9A">
        <w:rPr>
          <w:rFonts w:cs="Calibri"/>
          <w:noProof/>
        </w:rPr>
        <w:t>, 59(1), 10–21.</w:t>
      </w:r>
    </w:p>
    <w:p w14:paraId="07DD69E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Van De Ven, A. H. (2007a). Building a Theory, in: Van De Ven, A. H. (Ed.), </w:t>
      </w:r>
      <w:r w:rsidRPr="00596C9A">
        <w:rPr>
          <w:rFonts w:cs="Calibri"/>
          <w:i/>
          <w:iCs/>
          <w:noProof/>
        </w:rPr>
        <w:t>Engaged Scholarship: A Guide for Organizational and Social Research</w:t>
      </w:r>
      <w:r w:rsidRPr="00596C9A">
        <w:rPr>
          <w:rFonts w:cs="Calibri"/>
          <w:noProof/>
        </w:rPr>
        <w:t>, (pp. 100–142). Oxford: Oxford University Press.</w:t>
      </w:r>
    </w:p>
    <w:p w14:paraId="543368A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Van De Ven, A. H. (2007b). Engaged Scholarship in a Professional School, in: Van De Ven, A. H. (Ed.), </w:t>
      </w:r>
      <w:r w:rsidRPr="00596C9A">
        <w:rPr>
          <w:rFonts w:cs="Calibri"/>
          <w:i/>
          <w:iCs/>
          <w:noProof/>
        </w:rPr>
        <w:t>Engaged Scholarship : A Guide for Organizational and Social Research</w:t>
      </w:r>
      <w:r w:rsidRPr="00596C9A">
        <w:rPr>
          <w:rFonts w:cs="Calibri"/>
          <w:noProof/>
        </w:rPr>
        <w:t>, (pp. 1–35). Ox: Oxford University Press.</w:t>
      </w:r>
    </w:p>
    <w:p w14:paraId="5342A3E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Villesèche, F., Muhr, S. L. &amp; Śliwa, M. (2018). From Radical Black Feminism to Postfeminist Hashtags: Re-Claiming Intersectionality. </w:t>
      </w:r>
      <w:r w:rsidRPr="00596C9A">
        <w:rPr>
          <w:rFonts w:cs="Calibri"/>
          <w:i/>
          <w:iCs/>
          <w:noProof/>
        </w:rPr>
        <w:t>Ephemera : Theory and Politics in Organization</w:t>
      </w:r>
      <w:r w:rsidRPr="00596C9A">
        <w:rPr>
          <w:rFonts w:cs="Calibri"/>
          <w:noProof/>
        </w:rPr>
        <w:t>, 18(1), 1–16.</w:t>
      </w:r>
    </w:p>
    <w:p w14:paraId="3E97FCC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de Villiers, C., Farooq, M. B. &amp; Molinari, M. (2022). Qualitative Research Interviews Using Online Video Technology – Challenges and Opportunities. </w:t>
      </w:r>
      <w:r w:rsidRPr="00596C9A">
        <w:rPr>
          <w:rFonts w:cs="Calibri"/>
          <w:i/>
          <w:iCs/>
          <w:noProof/>
        </w:rPr>
        <w:t>Meditari Accountancy Research</w:t>
      </w:r>
      <w:r w:rsidRPr="00596C9A">
        <w:rPr>
          <w:rFonts w:cs="Calibri"/>
          <w:noProof/>
        </w:rPr>
        <w:t>, 30(6), 1764–1782.</w:t>
      </w:r>
    </w:p>
    <w:p w14:paraId="67C9999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Walker, S. &amp; Read, S. (2011). Accessing Vulnerable Research Populations: An Experience with Gatekeepers of Ethical Approval. </w:t>
      </w:r>
      <w:r w:rsidRPr="00596C9A">
        <w:rPr>
          <w:rFonts w:cs="Calibri"/>
          <w:i/>
          <w:iCs/>
          <w:noProof/>
        </w:rPr>
        <w:t>International journal of palliative nursing</w:t>
      </w:r>
      <w:r w:rsidRPr="00596C9A">
        <w:rPr>
          <w:rFonts w:cs="Calibri"/>
          <w:noProof/>
        </w:rPr>
        <w:t>, 17(1), 14–18.</w:t>
      </w:r>
    </w:p>
    <w:p w14:paraId="3C16F9C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Walsh, J. P. &amp; O’Connor, C. (2019). Social Media and Policing: A Review of Recent Research. </w:t>
      </w:r>
      <w:r w:rsidRPr="00596C9A">
        <w:rPr>
          <w:rFonts w:cs="Calibri"/>
          <w:i/>
          <w:iCs/>
          <w:noProof/>
        </w:rPr>
        <w:t>Sociology Compass</w:t>
      </w:r>
      <w:r w:rsidRPr="00596C9A">
        <w:rPr>
          <w:rFonts w:cs="Calibri"/>
          <w:noProof/>
        </w:rPr>
        <w:t>, 13(1), 1–14.</w:t>
      </w:r>
    </w:p>
    <w:p w14:paraId="5878DD5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Wang, Q. C., Liu, X., Jian, I. Y., Zhang, E. J., Hou, Y. T., Siu, K. W. M. &amp; Li, Y. Bin. (2023). Community Resilience in City Emergency: Exploring the Roles of Environmental Perception, Social Justice and Community Attachment in Subjective Well-Being of Vulnerable Residents. </w:t>
      </w:r>
      <w:r w:rsidRPr="00596C9A">
        <w:rPr>
          <w:rFonts w:cs="Calibri"/>
          <w:i/>
          <w:iCs/>
          <w:noProof/>
        </w:rPr>
        <w:t>Sustainable Cities and Society</w:t>
      </w:r>
      <w:r w:rsidRPr="00596C9A">
        <w:rPr>
          <w:rFonts w:cs="Calibri"/>
          <w:noProof/>
        </w:rPr>
        <w:t>, 97, 1–16.</w:t>
      </w:r>
    </w:p>
    <w:p w14:paraId="2FCF7C1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Wang, Y. &amp; Yang, Y. (2020). Dialogic Communication on Social Media: How Organizations Use Twitter to Build Dialogic Relationships with Their Publics. </w:t>
      </w:r>
      <w:r w:rsidRPr="00596C9A">
        <w:rPr>
          <w:rFonts w:cs="Calibri"/>
          <w:i/>
          <w:iCs/>
          <w:noProof/>
        </w:rPr>
        <w:t xml:space="preserve">Computers in Human </w:t>
      </w:r>
      <w:r w:rsidRPr="00596C9A">
        <w:rPr>
          <w:rFonts w:cs="Calibri"/>
          <w:i/>
          <w:iCs/>
          <w:noProof/>
        </w:rPr>
        <w:lastRenderedPageBreak/>
        <w:t>Behavior</w:t>
      </w:r>
      <w:r w:rsidRPr="00596C9A">
        <w:rPr>
          <w:rFonts w:cs="Calibri"/>
          <w:noProof/>
        </w:rPr>
        <w:t>, 104, 1–8.</w:t>
      </w:r>
    </w:p>
    <w:p w14:paraId="45D7538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Wankhade, P. &amp; Murphy, P. (2023). </w:t>
      </w:r>
      <w:r w:rsidRPr="00596C9A">
        <w:rPr>
          <w:rFonts w:cs="Calibri"/>
          <w:i/>
          <w:iCs/>
          <w:noProof/>
        </w:rPr>
        <w:t>Emergency Services Management Course: A Research Overview</w:t>
      </w:r>
      <w:r w:rsidRPr="00596C9A">
        <w:rPr>
          <w:rFonts w:cs="Calibri"/>
          <w:noProof/>
        </w:rPr>
        <w:t>. Abingdon: Routledge.</w:t>
      </w:r>
    </w:p>
    <w:p w14:paraId="70ABE9C2"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Waring, S., Bromley, C. &amp; Giles, S. (2022). </w:t>
      </w:r>
      <w:r w:rsidRPr="00596C9A">
        <w:rPr>
          <w:rFonts w:cs="Calibri"/>
          <w:i/>
          <w:iCs/>
          <w:noProof/>
        </w:rPr>
        <w:t>Economic Evaluation of Fire and Rescue Service Activities : A Scoping Review</w:t>
      </w:r>
      <w:r w:rsidRPr="00596C9A">
        <w:rPr>
          <w:rFonts w:cs="Calibri"/>
          <w:noProof/>
        </w:rPr>
        <w:t>.</w:t>
      </w:r>
    </w:p>
    <w:p w14:paraId="0E33AC8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Warner, L. R. (2008). A Best Practices Guide to Intersectional Approaches in Psychological Research. </w:t>
      </w:r>
      <w:r w:rsidRPr="00596C9A">
        <w:rPr>
          <w:rFonts w:cs="Calibri"/>
          <w:i/>
          <w:iCs/>
          <w:noProof/>
        </w:rPr>
        <w:t>Sex Roles</w:t>
      </w:r>
      <w:r w:rsidRPr="00596C9A">
        <w:rPr>
          <w:rFonts w:cs="Calibri"/>
          <w:noProof/>
        </w:rPr>
        <w:t>, 59, 454–463.</w:t>
      </w:r>
    </w:p>
    <w:p w14:paraId="6F6E134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Weick, K. E. (2007). The Generative Properties of Richness. </w:t>
      </w:r>
      <w:r w:rsidRPr="00596C9A">
        <w:rPr>
          <w:rFonts w:cs="Calibri"/>
          <w:i/>
          <w:iCs/>
          <w:noProof/>
        </w:rPr>
        <w:t>The Academy of Managment Journal</w:t>
      </w:r>
      <w:r w:rsidRPr="00596C9A">
        <w:rPr>
          <w:rFonts w:cs="Calibri"/>
          <w:noProof/>
        </w:rPr>
        <w:t>, 50(1), 14–19.</w:t>
      </w:r>
    </w:p>
    <w:p w14:paraId="6CE7588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Weiss, J. A. &amp; Tschirhart, M. (1994). Public Information Campaigns as Policy Instruments. </w:t>
      </w:r>
      <w:r w:rsidRPr="00596C9A">
        <w:rPr>
          <w:rFonts w:cs="Calibri"/>
          <w:i/>
          <w:iCs/>
          <w:noProof/>
        </w:rPr>
        <w:t>Journal of Policy Analysis and Management</w:t>
      </w:r>
      <w:r w:rsidRPr="00596C9A">
        <w:rPr>
          <w:rFonts w:cs="Calibri"/>
          <w:noProof/>
        </w:rPr>
        <w:t>, 13(1), 82–119.</w:t>
      </w:r>
    </w:p>
    <w:p w14:paraId="023BE7B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Wellman, B. (2001). Computer Networks as Social Networks Computer Networks As Social Networks. </w:t>
      </w:r>
      <w:r w:rsidRPr="00596C9A">
        <w:rPr>
          <w:rFonts w:cs="Calibri"/>
          <w:i/>
          <w:iCs/>
          <w:noProof/>
        </w:rPr>
        <w:t>Science</w:t>
      </w:r>
      <w:r w:rsidRPr="00596C9A">
        <w:rPr>
          <w:rFonts w:cs="Calibri"/>
          <w:noProof/>
        </w:rPr>
        <w:t>, 293(5537), 2031–2034.</w:t>
      </w:r>
    </w:p>
    <w:p w14:paraId="4F354BFE"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Wellman, B., Boase, J. &amp; Chen, W. (2002). The Networked Nature of Community: Online and Offline. </w:t>
      </w:r>
      <w:r w:rsidRPr="00596C9A">
        <w:rPr>
          <w:rFonts w:cs="Calibri"/>
          <w:i/>
          <w:iCs/>
          <w:noProof/>
        </w:rPr>
        <w:t>IT &amp; Society</w:t>
      </w:r>
      <w:r w:rsidRPr="00596C9A">
        <w:rPr>
          <w:rFonts w:cs="Calibri"/>
          <w:noProof/>
        </w:rPr>
        <w:t>, 1(1), 151–165.</w:t>
      </w:r>
    </w:p>
    <w:p w14:paraId="4AB13A6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West, S. M. (2019). Data Capitalism: Redefining the Logics of Surveillance and Privacy. </w:t>
      </w:r>
      <w:r w:rsidRPr="00596C9A">
        <w:rPr>
          <w:rFonts w:cs="Calibri"/>
          <w:i/>
          <w:iCs/>
          <w:noProof/>
        </w:rPr>
        <w:t>Business and Society</w:t>
      </w:r>
      <w:r w:rsidRPr="00596C9A">
        <w:rPr>
          <w:rFonts w:cs="Calibri"/>
          <w:noProof/>
        </w:rPr>
        <w:t>, 58(1), 20–41.</w:t>
      </w:r>
    </w:p>
    <w:p w14:paraId="0C1B285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van Wijk, J., Zietsma, C., Dorado, S., de Bakker, F. G. A. &amp; Martí, I. (2019). Social Innovation: Integrating Micro, Meso, and Macro Level Insights From Institutional Theory. </w:t>
      </w:r>
      <w:r w:rsidRPr="00596C9A">
        <w:rPr>
          <w:rFonts w:cs="Calibri"/>
          <w:i/>
          <w:iCs/>
          <w:noProof/>
        </w:rPr>
        <w:t>Business and Society</w:t>
      </w:r>
      <w:r w:rsidRPr="00596C9A">
        <w:rPr>
          <w:rFonts w:cs="Calibri"/>
          <w:noProof/>
        </w:rPr>
        <w:t>, 58(5), 887–918.</w:t>
      </w:r>
    </w:p>
    <w:p w14:paraId="08E742B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Wilkin, J., Biggs, E. &amp; Tatem, A. J. (2019). Measurement of Social Networks for Innovation within Community Disaster Resilience. </w:t>
      </w:r>
      <w:r w:rsidRPr="00596C9A">
        <w:rPr>
          <w:rFonts w:cs="Calibri"/>
          <w:i/>
          <w:iCs/>
          <w:noProof/>
        </w:rPr>
        <w:t>Sustainability</w:t>
      </w:r>
      <w:r w:rsidRPr="00596C9A">
        <w:rPr>
          <w:rFonts w:cs="Calibri"/>
          <w:noProof/>
        </w:rPr>
        <w:t>, 11(7), 1–16.</w:t>
      </w:r>
    </w:p>
    <w:p w14:paraId="2AF60C7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Wilkinson, B., Cohen-Hatton, S. R. &amp; Honey, R. C. (2019). Decision-Making in Multi-Agency Groups at Simulated Major Incident Emergencies: In Situ Analysis of Adherence to UK Doctrine. </w:t>
      </w:r>
      <w:r w:rsidRPr="00596C9A">
        <w:rPr>
          <w:rFonts w:cs="Calibri"/>
          <w:i/>
          <w:iCs/>
          <w:noProof/>
        </w:rPr>
        <w:t>Journal of Contingencies and Crisis Management</w:t>
      </w:r>
      <w:r w:rsidRPr="00596C9A">
        <w:rPr>
          <w:rFonts w:cs="Calibri"/>
          <w:noProof/>
        </w:rPr>
        <w:t>, 27(4), 306–316.</w:t>
      </w:r>
    </w:p>
    <w:p w14:paraId="3C480EDD"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Williams, P. (2020). ‘It All Sounds Very Interesting, but We’Re Just Too Busy!’: Exploring Why ‘Gatekeepers’ Decline Access to Potential Research Participants with Learning Disabilities. </w:t>
      </w:r>
      <w:r w:rsidRPr="00596C9A">
        <w:rPr>
          <w:rFonts w:cs="Calibri"/>
          <w:i/>
          <w:iCs/>
          <w:noProof/>
        </w:rPr>
        <w:t>European Journal of Special Needs Education</w:t>
      </w:r>
      <w:r w:rsidRPr="00596C9A">
        <w:rPr>
          <w:rFonts w:cs="Calibri"/>
          <w:noProof/>
        </w:rPr>
        <w:t>, 35(1), 1–14.</w:t>
      </w:r>
    </w:p>
    <w:p w14:paraId="336EF68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Wilson, B. (2006). Ethnography, the Internet, and Youth Culture: Strategies for Examining Social Resistance and ‘Online-Offline’ Relationships. </w:t>
      </w:r>
      <w:r w:rsidRPr="00596C9A">
        <w:rPr>
          <w:rFonts w:cs="Calibri"/>
          <w:i/>
          <w:iCs/>
          <w:noProof/>
        </w:rPr>
        <w:t>Canadian Journal of Education</w:t>
      </w:r>
      <w:r w:rsidRPr="00596C9A">
        <w:rPr>
          <w:rFonts w:cs="Calibri"/>
          <w:noProof/>
        </w:rPr>
        <w:t>, 29(1), 307–328.</w:t>
      </w:r>
    </w:p>
    <w:p w14:paraId="42F43C09"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Woodfield, R. (2016). Gender and the Achievement of Skilled Status in the Workplace: The </w:t>
      </w:r>
      <w:r w:rsidRPr="00596C9A">
        <w:rPr>
          <w:rFonts w:cs="Calibri"/>
          <w:noProof/>
        </w:rPr>
        <w:lastRenderedPageBreak/>
        <w:t xml:space="preserve">Case of Women Leaders in the UK Fire and Rescue Service. </w:t>
      </w:r>
      <w:r w:rsidRPr="00596C9A">
        <w:rPr>
          <w:rFonts w:cs="Calibri"/>
          <w:i/>
          <w:iCs/>
          <w:noProof/>
        </w:rPr>
        <w:t>Work, Employment and Society</w:t>
      </w:r>
      <w:r w:rsidRPr="00596C9A">
        <w:rPr>
          <w:rFonts w:cs="Calibri"/>
          <w:noProof/>
        </w:rPr>
        <w:t>, 30(2), 237–255.</w:t>
      </w:r>
    </w:p>
    <w:p w14:paraId="2EAFF871"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World Health Organisation. (2017). </w:t>
      </w:r>
      <w:r w:rsidRPr="00596C9A">
        <w:rPr>
          <w:rFonts w:cs="Calibri"/>
          <w:i/>
          <w:iCs/>
          <w:noProof/>
        </w:rPr>
        <w:t>Communicating Risk in Public Health Emergencies</w:t>
      </w:r>
      <w:r w:rsidRPr="00596C9A">
        <w:rPr>
          <w:rFonts w:cs="Calibri"/>
          <w:noProof/>
        </w:rPr>
        <w:t>. Geneva.</w:t>
      </w:r>
    </w:p>
    <w:p w14:paraId="2FDAD25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Wright, U. T. &amp; Rocco, T. S. (2018). Institutional Ethnography: A Holistic Approach to Understanding Systems, in: Management Association Information Resources (Ed.), </w:t>
      </w:r>
      <w:r w:rsidRPr="00596C9A">
        <w:rPr>
          <w:rFonts w:cs="Calibri"/>
          <w:i/>
          <w:iCs/>
          <w:noProof/>
        </w:rPr>
        <w:t>Operations and Service Management: Concepts, Methodologies, Tools, and Applications</w:t>
      </w:r>
      <w:r w:rsidRPr="00596C9A">
        <w:rPr>
          <w:rFonts w:cs="Calibri"/>
          <w:noProof/>
        </w:rPr>
        <w:t>, (pp. 1657–1672). IGI Global.</w:t>
      </w:r>
    </w:p>
    <w:p w14:paraId="78C4B596"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Wu, H. (2022). Mass Email Risk Communication: Lessons Learned from COVID-19-Triggered Campus-Wide Evictions in Canada and the United States. </w:t>
      </w:r>
      <w:r w:rsidRPr="00596C9A">
        <w:rPr>
          <w:rFonts w:cs="Calibri"/>
          <w:i/>
          <w:iCs/>
          <w:noProof/>
        </w:rPr>
        <w:t>PLoS ONE</w:t>
      </w:r>
      <w:r w:rsidRPr="00596C9A">
        <w:rPr>
          <w:rFonts w:cs="Calibri"/>
          <w:noProof/>
        </w:rPr>
        <w:t>, 17(4), 1–22.</w:t>
      </w:r>
    </w:p>
    <w:p w14:paraId="2D77351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Wu, Y., Xiao, H. &amp; Yang, F. (2022). Government Information Disclosure and Citizen Coproduction during COVID-19 in China. </w:t>
      </w:r>
      <w:r w:rsidRPr="00596C9A">
        <w:rPr>
          <w:rFonts w:cs="Calibri"/>
          <w:i/>
          <w:iCs/>
          <w:noProof/>
        </w:rPr>
        <w:t>Governance</w:t>
      </w:r>
      <w:r w:rsidRPr="00596C9A">
        <w:rPr>
          <w:rFonts w:cs="Calibri"/>
          <w:noProof/>
        </w:rPr>
        <w:t>, 35(4), 1005–1027.</w:t>
      </w:r>
    </w:p>
    <w:p w14:paraId="513CF8CA"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Wukich, C. (2017). Social Media Use in Emergency Management. </w:t>
      </w:r>
      <w:r w:rsidRPr="00596C9A">
        <w:rPr>
          <w:rFonts w:cs="Calibri"/>
          <w:i/>
          <w:iCs/>
          <w:noProof/>
        </w:rPr>
        <w:t>Journal of emergency management</w:t>
      </w:r>
      <w:r w:rsidRPr="00596C9A">
        <w:rPr>
          <w:rFonts w:cs="Calibri"/>
          <w:noProof/>
        </w:rPr>
        <w:t>, 13(4), 281–294.</w:t>
      </w:r>
    </w:p>
    <w:p w14:paraId="2B214F2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Xie, L., Pinto, J. &amp; Zhong, B. (2022). Building Community Resilience on Social Media to Help Recover from the COVID-19 Pandemic. </w:t>
      </w:r>
      <w:r w:rsidRPr="00596C9A">
        <w:rPr>
          <w:rFonts w:cs="Calibri"/>
          <w:i/>
          <w:iCs/>
          <w:noProof/>
        </w:rPr>
        <w:t>Computers in Human Behavior</w:t>
      </w:r>
      <w:r w:rsidRPr="00596C9A">
        <w:rPr>
          <w:rFonts w:cs="Calibri"/>
          <w:noProof/>
        </w:rPr>
        <w:t>, 134, 1–9.</w:t>
      </w:r>
    </w:p>
    <w:p w14:paraId="37E54E2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Xu, W., Lu, Y. &amp; Proverbs, D. (2024). An Evaluation of Factors Influencing the Vulnerability of Emergency Logistics Supply Chains. </w:t>
      </w:r>
      <w:r w:rsidRPr="00596C9A">
        <w:rPr>
          <w:rFonts w:cs="Calibri"/>
          <w:i/>
          <w:iCs/>
          <w:noProof/>
        </w:rPr>
        <w:t>International Journal of Logistics Research and Applications</w:t>
      </w:r>
      <w:r w:rsidRPr="00596C9A">
        <w:rPr>
          <w:rFonts w:cs="Calibri"/>
          <w:noProof/>
        </w:rPr>
        <w:t>, 27(10), 1891–1924.</w:t>
      </w:r>
    </w:p>
    <w:p w14:paraId="72F2F0B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Xu, W. &amp; Taghizadeh Larsson, A. (2021). Communication Officers in Local Authorities Meeting Social Media: On the Production of Social Media Photos of Older Adults. </w:t>
      </w:r>
      <w:r w:rsidRPr="00596C9A">
        <w:rPr>
          <w:rFonts w:cs="Calibri"/>
          <w:i/>
          <w:iCs/>
          <w:noProof/>
        </w:rPr>
        <w:t>Journal of Aging Studies</w:t>
      </w:r>
      <w:r w:rsidRPr="00596C9A">
        <w:rPr>
          <w:rFonts w:cs="Calibri"/>
          <w:noProof/>
        </w:rPr>
        <w:t>, 58, 1–11.</w:t>
      </w:r>
    </w:p>
    <w:p w14:paraId="6D0AC86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Yao, Q., Li, R. Y. M. &amp; Song, L. (2022). Construction Safety Knowledge Sharing on YouTube from 2007 to 2021: Two-Step Flow Theory and Semantic Analysis. </w:t>
      </w:r>
      <w:r w:rsidRPr="00596C9A">
        <w:rPr>
          <w:rFonts w:cs="Calibri"/>
          <w:i/>
          <w:iCs/>
          <w:noProof/>
        </w:rPr>
        <w:t>Safety Science</w:t>
      </w:r>
      <w:r w:rsidRPr="00596C9A">
        <w:rPr>
          <w:rFonts w:cs="Calibri"/>
          <w:noProof/>
        </w:rPr>
        <w:t>, 153, 1–8.</w:t>
      </w:r>
    </w:p>
    <w:p w14:paraId="51B6B204"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Yu, K. H. (2015). Institutional Pluralism, Organizations, and Actors: A Review. </w:t>
      </w:r>
      <w:r w:rsidRPr="00596C9A">
        <w:rPr>
          <w:rFonts w:cs="Calibri"/>
          <w:i/>
          <w:iCs/>
          <w:noProof/>
        </w:rPr>
        <w:t>Sociology Compass</w:t>
      </w:r>
      <w:r w:rsidRPr="00596C9A">
        <w:rPr>
          <w:rFonts w:cs="Calibri"/>
          <w:noProof/>
        </w:rPr>
        <w:t>, 9(6), 464–476.</w:t>
      </w:r>
    </w:p>
    <w:p w14:paraId="68D82FDF"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Yudarwati, G. A., Putranto, I. A. &amp; Delmo, K. M. (2022). Examining the Indonesian Government’s Social Media Use for Disaster Risk Communication. </w:t>
      </w:r>
      <w:r w:rsidRPr="00596C9A">
        <w:rPr>
          <w:rFonts w:cs="Calibri"/>
          <w:i/>
          <w:iCs/>
          <w:noProof/>
        </w:rPr>
        <w:t>Asian Journal of Communication</w:t>
      </w:r>
      <w:r w:rsidRPr="00596C9A">
        <w:rPr>
          <w:rFonts w:cs="Calibri"/>
          <w:noProof/>
        </w:rPr>
        <w:t>, 32(1), 1–20.</w:t>
      </w:r>
    </w:p>
    <w:p w14:paraId="48B177D8"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Yuval‐Davis, N. (2007). Intersectionality, Citizenship and Contemporary Politics of Belonging. </w:t>
      </w:r>
      <w:r w:rsidRPr="00596C9A">
        <w:rPr>
          <w:rFonts w:cs="Calibri"/>
          <w:i/>
          <w:iCs/>
          <w:noProof/>
        </w:rPr>
        <w:t>Critical Review of International Social and Political Philosophy</w:t>
      </w:r>
      <w:r w:rsidRPr="00596C9A">
        <w:rPr>
          <w:rFonts w:cs="Calibri"/>
          <w:noProof/>
        </w:rPr>
        <w:t>, 10(4), 561–574.</w:t>
      </w:r>
    </w:p>
    <w:p w14:paraId="5B4F80A5"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lastRenderedPageBreak/>
        <w:t xml:space="preserve">Zhang, Y., Guo, B., Ding, Y., Liu, J., Qiu, C., Liu, S. &amp; Yu, Z. (2022). Investigation of the Determinants for Misinformation Correction Effectiveness on Social Media during COVID-19 Pandemic. </w:t>
      </w:r>
      <w:r w:rsidRPr="00596C9A">
        <w:rPr>
          <w:rFonts w:cs="Calibri"/>
          <w:i/>
          <w:iCs/>
          <w:noProof/>
        </w:rPr>
        <w:t>Information Processing and Management</w:t>
      </w:r>
      <w:r w:rsidRPr="00596C9A">
        <w:rPr>
          <w:rFonts w:cs="Calibri"/>
          <w:noProof/>
        </w:rPr>
        <w:t>, 59(3), 1–15.</w:t>
      </w:r>
    </w:p>
    <w:p w14:paraId="1407185B"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Zhao, Y., Zhang, T., Dasgupta, R. K. &amp; Xia, R. (2023). Narrowing the Age-Based Digital Divide: Developing Digital Capability through Social Activities. </w:t>
      </w:r>
      <w:r w:rsidRPr="00596C9A">
        <w:rPr>
          <w:rFonts w:cs="Calibri"/>
          <w:i/>
          <w:iCs/>
          <w:noProof/>
        </w:rPr>
        <w:t>Information Systems Journal</w:t>
      </w:r>
      <w:r w:rsidRPr="00596C9A">
        <w:rPr>
          <w:rFonts w:cs="Calibri"/>
          <w:noProof/>
        </w:rPr>
        <w:t>, 33(2), 268–298.</w:t>
      </w:r>
    </w:p>
    <w:p w14:paraId="6F3E0970"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Zhu, R., Song, Y., He, S., Hu, X., Hu, W. &amp; Liu, B. (2022). Toward Dialogue through a Holistic Measuring Framework – the Impact of Social Media on Risk Communication in the COVID-19. </w:t>
      </w:r>
      <w:r w:rsidRPr="00596C9A">
        <w:rPr>
          <w:rFonts w:cs="Calibri"/>
          <w:i/>
          <w:iCs/>
          <w:noProof/>
        </w:rPr>
        <w:t>Information Technology and People</w:t>
      </w:r>
      <w:r w:rsidRPr="00596C9A">
        <w:rPr>
          <w:rFonts w:cs="Calibri"/>
          <w:noProof/>
        </w:rPr>
        <w:t>, 35(7), 2518–2540.</w:t>
      </w:r>
    </w:p>
    <w:p w14:paraId="39FCF83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Ziervogel, G., Ziervogel, G., Bharwani, S. &amp; Downing, T. E. (2006). Adapting to Climate Variability: Pumpkins , People and Policy. </w:t>
      </w:r>
      <w:r w:rsidRPr="00596C9A">
        <w:rPr>
          <w:rFonts w:cs="Calibri"/>
          <w:i/>
          <w:iCs/>
          <w:noProof/>
        </w:rPr>
        <w:t>Natural Resources Forum</w:t>
      </w:r>
      <w:r w:rsidRPr="00596C9A">
        <w:rPr>
          <w:rFonts w:cs="Calibri"/>
          <w:noProof/>
        </w:rPr>
        <w:t>, 30(4), 294–305.</w:t>
      </w:r>
    </w:p>
    <w:p w14:paraId="38CBFB07"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Zilber, T. B. (2016). How Institutional Logics Matter: A Bottom-Up Exploration, in: Gehman, J., Lounsbury, M., and Greenwood, R. (Eds.), </w:t>
      </w:r>
      <w:r w:rsidRPr="00596C9A">
        <w:rPr>
          <w:rFonts w:cs="Calibri"/>
          <w:i/>
          <w:iCs/>
          <w:noProof/>
        </w:rPr>
        <w:t>How Institutions Matter!</w:t>
      </w:r>
      <w:r w:rsidRPr="00596C9A">
        <w:rPr>
          <w:rFonts w:cs="Calibri"/>
          <w:noProof/>
        </w:rPr>
        <w:t>, (pp. 137–155). Emerald Group Publishing Limited.</w:t>
      </w:r>
    </w:p>
    <w:p w14:paraId="0469FE3C" w14:textId="77777777" w:rsidR="00596C9A" w:rsidRPr="00596C9A" w:rsidRDefault="00596C9A" w:rsidP="00596C9A">
      <w:pPr>
        <w:widowControl w:val="0"/>
        <w:autoSpaceDE w:val="0"/>
        <w:autoSpaceDN w:val="0"/>
        <w:adjustRightInd w:val="0"/>
        <w:ind w:left="480" w:hanging="480"/>
        <w:rPr>
          <w:rFonts w:cs="Calibri"/>
          <w:noProof/>
        </w:rPr>
      </w:pPr>
      <w:r w:rsidRPr="00596C9A">
        <w:rPr>
          <w:rFonts w:cs="Calibri"/>
          <w:noProof/>
        </w:rPr>
        <w:t xml:space="preserve">Zuboff, S. (2015). Big Other: Surveillance Capitalism and the Prospects of an Information Civilization. </w:t>
      </w:r>
      <w:r w:rsidRPr="00596C9A">
        <w:rPr>
          <w:rFonts w:cs="Calibri"/>
          <w:i/>
          <w:iCs/>
          <w:noProof/>
        </w:rPr>
        <w:t>Journal of Information Technology</w:t>
      </w:r>
      <w:r w:rsidRPr="00596C9A">
        <w:rPr>
          <w:rFonts w:cs="Calibri"/>
          <w:noProof/>
        </w:rPr>
        <w:t>, 30(1), 75–89.</w:t>
      </w:r>
    </w:p>
    <w:p w14:paraId="43DD1E98" w14:textId="77777777" w:rsidR="00787F73" w:rsidRDefault="00742FB7" w:rsidP="00866155">
      <w:r>
        <w:fldChar w:fldCharType="end"/>
      </w:r>
      <w:r>
        <w:br w:type="page"/>
      </w:r>
    </w:p>
    <w:p w14:paraId="14EB95F9" w14:textId="77777777" w:rsidR="00787F73" w:rsidRDefault="00742FB7" w:rsidP="00EC3165">
      <w:pPr>
        <w:pStyle w:val="Heading1"/>
        <w:spacing w:before="0" w:line="240" w:lineRule="auto"/>
        <w:rPr>
          <w:rFonts w:ascii="Calibri" w:hAnsi="Calibri" w:cs="Calibri"/>
        </w:rPr>
      </w:pPr>
      <w:bookmarkStart w:id="1141" w:name="_Toc193367274"/>
      <w:r>
        <w:rPr>
          <w:rFonts w:ascii="Calibri" w:hAnsi="Calibri" w:cs="Calibri"/>
        </w:rPr>
        <w:lastRenderedPageBreak/>
        <w:t>Appendices</w:t>
      </w:r>
      <w:bookmarkEnd w:id="1141"/>
    </w:p>
    <w:p w14:paraId="6D64FAE4" w14:textId="77777777" w:rsidR="00787F73" w:rsidRDefault="00742FB7" w:rsidP="00EC3165">
      <w:pPr>
        <w:pStyle w:val="Heading2"/>
        <w:spacing w:line="240" w:lineRule="auto"/>
      </w:pPr>
      <w:bookmarkStart w:id="1142" w:name="_Toc193367275"/>
      <w:r>
        <w:rPr>
          <w:rFonts w:ascii="Calibri" w:hAnsi="Calibri" w:cs="Calibri"/>
        </w:rPr>
        <w:t>Appendix 1: Dates of data collection</w:t>
      </w:r>
      <w:bookmarkEnd w:id="1142"/>
    </w:p>
    <w:tbl>
      <w:tblPr>
        <w:tblW w:w="8954" w:type="dxa"/>
        <w:tblInd w:w="113" w:type="dxa"/>
        <w:tblLayout w:type="fixed"/>
        <w:tblLook w:val="04A0" w:firstRow="1" w:lastRow="0" w:firstColumn="1" w:lastColumn="0" w:noHBand="0" w:noVBand="1"/>
      </w:tblPr>
      <w:tblGrid>
        <w:gridCol w:w="1413"/>
        <w:gridCol w:w="2580"/>
        <w:gridCol w:w="1276"/>
        <w:gridCol w:w="1276"/>
        <w:gridCol w:w="2409"/>
      </w:tblGrid>
      <w:tr w:rsidR="00404321" w14:paraId="5C1004EB" w14:textId="77777777" w:rsidTr="00A0151B">
        <w:tc>
          <w:tcPr>
            <w:tcW w:w="1413" w:type="dxa"/>
            <w:tcBorders>
              <w:top w:val="single" w:sz="4" w:space="0" w:color="999999"/>
              <w:left w:val="single" w:sz="4" w:space="0" w:color="999999"/>
              <w:bottom w:val="single" w:sz="4" w:space="0" w:color="999999"/>
              <w:right w:val="single" w:sz="4" w:space="0" w:color="999999"/>
            </w:tcBorders>
          </w:tcPr>
          <w:p w14:paraId="55F9EF3E" w14:textId="77777777" w:rsidR="00404321" w:rsidRDefault="00404321" w:rsidP="00EC3165">
            <w:pPr>
              <w:spacing w:line="240" w:lineRule="auto"/>
              <w:rPr>
                <w:rFonts w:cs="Calibri"/>
                <w:b/>
              </w:rPr>
            </w:pPr>
          </w:p>
        </w:tc>
        <w:tc>
          <w:tcPr>
            <w:tcW w:w="2580" w:type="dxa"/>
            <w:tcBorders>
              <w:top w:val="single" w:sz="4" w:space="0" w:color="999999"/>
              <w:left w:val="single" w:sz="4" w:space="0" w:color="999999"/>
              <w:bottom w:val="single" w:sz="4" w:space="0" w:color="999999"/>
              <w:right w:val="single" w:sz="4" w:space="0" w:color="999999"/>
            </w:tcBorders>
          </w:tcPr>
          <w:p w14:paraId="705C0572" w14:textId="77777777" w:rsidR="00404321" w:rsidRDefault="00404321" w:rsidP="00EC3165">
            <w:pPr>
              <w:spacing w:line="240" w:lineRule="auto"/>
            </w:pPr>
            <w:r>
              <w:rPr>
                <w:rFonts w:cs="Calibri"/>
                <w:b/>
              </w:rPr>
              <w:t>Participant</w:t>
            </w:r>
          </w:p>
        </w:tc>
        <w:tc>
          <w:tcPr>
            <w:tcW w:w="1276" w:type="dxa"/>
            <w:tcBorders>
              <w:top w:val="single" w:sz="4" w:space="0" w:color="999999"/>
              <w:left w:val="single" w:sz="4" w:space="0" w:color="999999"/>
              <w:bottom w:val="single" w:sz="4" w:space="0" w:color="999999"/>
              <w:right w:val="single" w:sz="4" w:space="0" w:color="999999"/>
            </w:tcBorders>
          </w:tcPr>
          <w:p w14:paraId="1549E426" w14:textId="77777777" w:rsidR="00404321" w:rsidRDefault="00404321" w:rsidP="00EC3165">
            <w:pPr>
              <w:spacing w:line="240" w:lineRule="auto"/>
            </w:pPr>
            <w:r>
              <w:rPr>
                <w:rFonts w:cs="Calibri"/>
                <w:b/>
              </w:rPr>
              <w:t>Date of interview</w:t>
            </w:r>
          </w:p>
        </w:tc>
        <w:tc>
          <w:tcPr>
            <w:tcW w:w="1276" w:type="dxa"/>
            <w:tcBorders>
              <w:top w:val="single" w:sz="4" w:space="0" w:color="999999"/>
              <w:left w:val="single" w:sz="4" w:space="0" w:color="999999"/>
              <w:bottom w:val="single" w:sz="4" w:space="0" w:color="999999"/>
              <w:right w:val="single" w:sz="4" w:space="0" w:color="999999"/>
            </w:tcBorders>
          </w:tcPr>
          <w:p w14:paraId="4EC2317D" w14:textId="77777777" w:rsidR="00404321" w:rsidRDefault="00404321" w:rsidP="00EC3165">
            <w:pPr>
              <w:spacing w:line="240" w:lineRule="auto"/>
              <w:rPr>
                <w:rFonts w:cs="Calibri"/>
                <w:b/>
              </w:rPr>
            </w:pPr>
            <w:r>
              <w:rPr>
                <w:rFonts w:cs="Calibri"/>
                <w:b/>
              </w:rPr>
              <w:t>Length of interview</w:t>
            </w:r>
          </w:p>
          <w:p w14:paraId="0AF15E48" w14:textId="77777777" w:rsidR="00E724FA" w:rsidRDefault="00E724FA" w:rsidP="00EC3165">
            <w:pPr>
              <w:spacing w:line="240" w:lineRule="auto"/>
              <w:rPr>
                <w:rFonts w:cs="Calibri"/>
                <w:b/>
              </w:rPr>
            </w:pPr>
            <w:r>
              <w:rPr>
                <w:rFonts w:cs="Calibri"/>
                <w:b/>
              </w:rPr>
              <w:t>(minutes)</w:t>
            </w:r>
          </w:p>
        </w:tc>
        <w:tc>
          <w:tcPr>
            <w:tcW w:w="2409" w:type="dxa"/>
            <w:tcBorders>
              <w:top w:val="single" w:sz="4" w:space="0" w:color="999999"/>
              <w:left w:val="single" w:sz="4" w:space="0" w:color="999999"/>
              <w:bottom w:val="single" w:sz="4" w:space="0" w:color="999999"/>
              <w:right w:val="single" w:sz="4" w:space="0" w:color="999999"/>
            </w:tcBorders>
          </w:tcPr>
          <w:p w14:paraId="68BAA9C6" w14:textId="77777777" w:rsidR="00404321" w:rsidRDefault="00404321" w:rsidP="00EC3165">
            <w:pPr>
              <w:spacing w:line="240" w:lineRule="auto"/>
            </w:pPr>
            <w:r>
              <w:rPr>
                <w:rFonts w:cs="Calibri"/>
                <w:b/>
              </w:rPr>
              <w:t>COVID-19 restrictions</w:t>
            </w:r>
          </w:p>
        </w:tc>
      </w:tr>
      <w:tr w:rsidR="00404321" w14:paraId="5CC7253B" w14:textId="77777777" w:rsidTr="00A0151B">
        <w:tc>
          <w:tcPr>
            <w:tcW w:w="1413" w:type="dxa"/>
            <w:vMerge w:val="restart"/>
            <w:tcBorders>
              <w:top w:val="single" w:sz="4" w:space="0" w:color="999999"/>
              <w:left w:val="single" w:sz="4" w:space="0" w:color="999999"/>
              <w:bottom w:val="single" w:sz="4" w:space="0" w:color="999999"/>
              <w:right w:val="single" w:sz="4" w:space="0" w:color="999999"/>
            </w:tcBorders>
          </w:tcPr>
          <w:p w14:paraId="6D998C1A" w14:textId="77777777" w:rsidR="00404321" w:rsidRDefault="00404321" w:rsidP="00EC3165">
            <w:pPr>
              <w:spacing w:line="240" w:lineRule="auto"/>
              <w:rPr>
                <w:rFonts w:cs="Calibri"/>
                <w:b/>
              </w:rPr>
            </w:pPr>
          </w:p>
          <w:p w14:paraId="36A0AE64" w14:textId="77777777" w:rsidR="00404321" w:rsidRDefault="00404321" w:rsidP="00EC3165">
            <w:pPr>
              <w:spacing w:line="240" w:lineRule="auto"/>
              <w:rPr>
                <w:rFonts w:cs="Calibri"/>
                <w:b/>
              </w:rPr>
            </w:pPr>
          </w:p>
          <w:p w14:paraId="4D4F105D" w14:textId="77777777" w:rsidR="00404321" w:rsidRDefault="00404321" w:rsidP="00EC3165">
            <w:pPr>
              <w:spacing w:line="240" w:lineRule="auto"/>
              <w:rPr>
                <w:rFonts w:cs="Calibri"/>
                <w:b/>
              </w:rPr>
            </w:pPr>
          </w:p>
          <w:p w14:paraId="6D33980C" w14:textId="77777777" w:rsidR="00404321" w:rsidRDefault="00404321" w:rsidP="00EC3165">
            <w:pPr>
              <w:spacing w:line="240" w:lineRule="auto"/>
              <w:rPr>
                <w:rFonts w:cs="Calibri"/>
                <w:b/>
              </w:rPr>
            </w:pPr>
          </w:p>
          <w:p w14:paraId="6F5D0383" w14:textId="77777777" w:rsidR="00404321" w:rsidRDefault="00404321" w:rsidP="00EC3165">
            <w:pPr>
              <w:spacing w:line="240" w:lineRule="auto"/>
              <w:rPr>
                <w:rFonts w:cs="Calibri"/>
                <w:b/>
              </w:rPr>
            </w:pPr>
          </w:p>
          <w:p w14:paraId="5E5C9BDE" w14:textId="77777777" w:rsidR="00404321" w:rsidRDefault="00404321" w:rsidP="00EC3165">
            <w:pPr>
              <w:spacing w:line="240" w:lineRule="auto"/>
              <w:rPr>
                <w:rFonts w:cs="Calibri"/>
                <w:b/>
              </w:rPr>
            </w:pPr>
          </w:p>
          <w:p w14:paraId="21D4876A" w14:textId="77777777" w:rsidR="00404321" w:rsidRDefault="00404321" w:rsidP="00EC3165">
            <w:pPr>
              <w:spacing w:line="240" w:lineRule="auto"/>
              <w:rPr>
                <w:rFonts w:cs="Calibri"/>
                <w:b/>
              </w:rPr>
            </w:pPr>
          </w:p>
          <w:p w14:paraId="715BB955" w14:textId="77777777" w:rsidR="00404321" w:rsidRDefault="00404321" w:rsidP="00EC3165">
            <w:pPr>
              <w:spacing w:line="240" w:lineRule="auto"/>
              <w:rPr>
                <w:rFonts w:cs="Calibri"/>
                <w:b/>
              </w:rPr>
            </w:pPr>
          </w:p>
          <w:p w14:paraId="66E1EB30" w14:textId="77777777" w:rsidR="00404321" w:rsidRDefault="00404321" w:rsidP="00EC3165">
            <w:pPr>
              <w:spacing w:line="240" w:lineRule="auto"/>
              <w:rPr>
                <w:rFonts w:cs="Calibri"/>
                <w:b/>
              </w:rPr>
            </w:pPr>
          </w:p>
          <w:p w14:paraId="04086D47" w14:textId="77777777" w:rsidR="00404321" w:rsidRDefault="00404321" w:rsidP="00EC3165">
            <w:pPr>
              <w:spacing w:line="240" w:lineRule="auto"/>
              <w:rPr>
                <w:rFonts w:cs="Calibri"/>
                <w:b/>
              </w:rPr>
            </w:pPr>
          </w:p>
          <w:p w14:paraId="5254F24A" w14:textId="77777777" w:rsidR="00404321" w:rsidRDefault="00404321" w:rsidP="00EC3165">
            <w:pPr>
              <w:spacing w:line="240" w:lineRule="auto"/>
              <w:rPr>
                <w:rFonts w:cs="Calibri"/>
                <w:b/>
              </w:rPr>
            </w:pPr>
          </w:p>
          <w:p w14:paraId="1FDFF540" w14:textId="77777777" w:rsidR="00404321" w:rsidRDefault="00404321" w:rsidP="00EC3165">
            <w:pPr>
              <w:spacing w:line="240" w:lineRule="auto"/>
              <w:rPr>
                <w:rFonts w:cs="Calibri"/>
                <w:b/>
              </w:rPr>
            </w:pPr>
          </w:p>
          <w:p w14:paraId="6DD04F18" w14:textId="77777777" w:rsidR="00404321" w:rsidRDefault="00404321" w:rsidP="00EC3165">
            <w:pPr>
              <w:spacing w:line="240" w:lineRule="auto"/>
            </w:pPr>
            <w:r>
              <w:rPr>
                <w:rFonts w:cs="Calibri"/>
                <w:b/>
              </w:rPr>
              <w:t>SYFR</w:t>
            </w:r>
          </w:p>
        </w:tc>
        <w:tc>
          <w:tcPr>
            <w:tcW w:w="2580" w:type="dxa"/>
            <w:tcBorders>
              <w:top w:val="single" w:sz="4" w:space="0" w:color="999999"/>
              <w:left w:val="single" w:sz="4" w:space="0" w:color="999999"/>
              <w:bottom w:val="single" w:sz="4" w:space="0" w:color="999999"/>
              <w:right w:val="single" w:sz="4" w:space="0" w:color="999999"/>
            </w:tcBorders>
          </w:tcPr>
          <w:p w14:paraId="6B774A6C" w14:textId="77777777" w:rsidR="00404321" w:rsidRDefault="00404321" w:rsidP="00EC3165">
            <w:pPr>
              <w:spacing w:line="240" w:lineRule="auto"/>
            </w:pPr>
            <w:r>
              <w:rPr>
                <w:rFonts w:cs="Calibri"/>
              </w:rPr>
              <w:t>Communications team member interview</w:t>
            </w:r>
          </w:p>
        </w:tc>
        <w:tc>
          <w:tcPr>
            <w:tcW w:w="1276" w:type="dxa"/>
            <w:tcBorders>
              <w:top w:val="single" w:sz="4" w:space="0" w:color="999999"/>
              <w:left w:val="single" w:sz="4" w:space="0" w:color="999999"/>
              <w:bottom w:val="single" w:sz="4" w:space="0" w:color="999999"/>
              <w:right w:val="single" w:sz="4" w:space="0" w:color="999999"/>
            </w:tcBorders>
          </w:tcPr>
          <w:p w14:paraId="5A6EF111" w14:textId="77777777" w:rsidR="00404321" w:rsidRDefault="00404321" w:rsidP="00EC3165">
            <w:pPr>
              <w:spacing w:line="240" w:lineRule="auto"/>
            </w:pPr>
            <w:r>
              <w:rPr>
                <w:rFonts w:cs="Calibri"/>
              </w:rPr>
              <w:t>29.11.19</w:t>
            </w:r>
          </w:p>
        </w:tc>
        <w:tc>
          <w:tcPr>
            <w:tcW w:w="1276" w:type="dxa"/>
            <w:tcBorders>
              <w:top w:val="single" w:sz="4" w:space="0" w:color="999999"/>
              <w:left w:val="single" w:sz="4" w:space="0" w:color="999999"/>
              <w:bottom w:val="single" w:sz="4" w:space="0" w:color="999999"/>
              <w:right w:val="single" w:sz="4" w:space="0" w:color="999999"/>
            </w:tcBorders>
          </w:tcPr>
          <w:p w14:paraId="6D22FF4D" w14:textId="77777777" w:rsidR="00404321" w:rsidRDefault="00E724FA" w:rsidP="00EC3165">
            <w:pPr>
              <w:spacing w:line="240" w:lineRule="auto"/>
              <w:rPr>
                <w:rFonts w:cs="Calibri"/>
              </w:rPr>
            </w:pPr>
            <w:r>
              <w:rPr>
                <w:rFonts w:cs="Calibri"/>
              </w:rPr>
              <w:t>30</w:t>
            </w:r>
          </w:p>
        </w:tc>
        <w:tc>
          <w:tcPr>
            <w:tcW w:w="2409" w:type="dxa"/>
            <w:tcBorders>
              <w:top w:val="single" w:sz="4" w:space="0" w:color="999999"/>
              <w:left w:val="single" w:sz="4" w:space="0" w:color="999999"/>
              <w:bottom w:val="single" w:sz="4" w:space="0" w:color="999999"/>
              <w:right w:val="single" w:sz="4" w:space="0" w:color="999999"/>
            </w:tcBorders>
          </w:tcPr>
          <w:p w14:paraId="72A91CEA" w14:textId="77777777" w:rsidR="00404321" w:rsidRDefault="00404321" w:rsidP="00EC3165">
            <w:pPr>
              <w:spacing w:line="240" w:lineRule="auto"/>
            </w:pPr>
            <w:r>
              <w:rPr>
                <w:rFonts w:cs="Calibri"/>
              </w:rPr>
              <w:t>Prior to COVID-19</w:t>
            </w:r>
          </w:p>
        </w:tc>
      </w:tr>
      <w:tr w:rsidR="00404321" w14:paraId="6087F3FF"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5EEC3BBF" w14:textId="77777777" w:rsidR="00404321" w:rsidRDefault="00404321" w:rsidP="00EC3165">
            <w:pPr>
              <w:spacing w:line="240" w:lineRule="auto"/>
            </w:pPr>
          </w:p>
        </w:tc>
        <w:tc>
          <w:tcPr>
            <w:tcW w:w="2580" w:type="dxa"/>
            <w:tcBorders>
              <w:top w:val="single" w:sz="4" w:space="0" w:color="999999"/>
              <w:left w:val="single" w:sz="4" w:space="0" w:color="999999"/>
              <w:bottom w:val="single" w:sz="4" w:space="0" w:color="999999"/>
              <w:right w:val="single" w:sz="4" w:space="0" w:color="999999"/>
            </w:tcBorders>
          </w:tcPr>
          <w:p w14:paraId="27BCFD22" w14:textId="77777777" w:rsidR="00404321" w:rsidRDefault="00404321" w:rsidP="00EC3165">
            <w:pPr>
              <w:spacing w:line="240" w:lineRule="auto"/>
            </w:pPr>
            <w:r>
              <w:rPr>
                <w:rFonts w:cs="Calibri"/>
              </w:rPr>
              <w:t>Community Safety Officer interview</w:t>
            </w:r>
          </w:p>
        </w:tc>
        <w:tc>
          <w:tcPr>
            <w:tcW w:w="1276" w:type="dxa"/>
            <w:tcBorders>
              <w:top w:val="single" w:sz="4" w:space="0" w:color="999999"/>
              <w:left w:val="single" w:sz="4" w:space="0" w:color="999999"/>
              <w:bottom w:val="single" w:sz="4" w:space="0" w:color="999999"/>
              <w:right w:val="single" w:sz="4" w:space="0" w:color="999999"/>
            </w:tcBorders>
          </w:tcPr>
          <w:p w14:paraId="1847C6AA" w14:textId="77777777" w:rsidR="00404321" w:rsidRDefault="00404321" w:rsidP="00EC3165">
            <w:pPr>
              <w:spacing w:line="240" w:lineRule="auto"/>
            </w:pPr>
            <w:r>
              <w:rPr>
                <w:rFonts w:cs="Calibri"/>
              </w:rPr>
              <w:t>20.07.20</w:t>
            </w:r>
          </w:p>
        </w:tc>
        <w:tc>
          <w:tcPr>
            <w:tcW w:w="1276" w:type="dxa"/>
            <w:tcBorders>
              <w:top w:val="single" w:sz="4" w:space="0" w:color="999999"/>
              <w:left w:val="single" w:sz="4" w:space="0" w:color="999999"/>
              <w:bottom w:val="single" w:sz="4" w:space="0" w:color="999999"/>
              <w:right w:val="single" w:sz="4" w:space="0" w:color="999999"/>
            </w:tcBorders>
          </w:tcPr>
          <w:p w14:paraId="149D1BE9" w14:textId="77777777" w:rsidR="00404321" w:rsidRDefault="00E724FA" w:rsidP="00EC3165">
            <w:pPr>
              <w:spacing w:line="240" w:lineRule="auto"/>
              <w:rPr>
                <w:rFonts w:cs="Calibri"/>
              </w:rPr>
            </w:pPr>
            <w:r>
              <w:rPr>
                <w:rFonts w:cs="Calibri"/>
              </w:rPr>
              <w:t>35</w:t>
            </w:r>
          </w:p>
        </w:tc>
        <w:tc>
          <w:tcPr>
            <w:tcW w:w="2409" w:type="dxa"/>
            <w:tcBorders>
              <w:top w:val="single" w:sz="4" w:space="0" w:color="999999"/>
              <w:left w:val="single" w:sz="4" w:space="0" w:color="999999"/>
              <w:bottom w:val="single" w:sz="4" w:space="0" w:color="999999"/>
              <w:right w:val="single" w:sz="4" w:space="0" w:color="999999"/>
            </w:tcBorders>
          </w:tcPr>
          <w:p w14:paraId="6A447D4D" w14:textId="77777777" w:rsidR="00404321" w:rsidRDefault="00404321" w:rsidP="00EC3165">
            <w:pPr>
              <w:spacing w:line="240" w:lineRule="auto"/>
            </w:pPr>
            <w:r>
              <w:rPr>
                <w:rFonts w:cs="Calibri"/>
              </w:rPr>
              <w:t>Minimal lockdown</w:t>
            </w:r>
          </w:p>
        </w:tc>
      </w:tr>
      <w:tr w:rsidR="00404321" w14:paraId="0AF39958"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5AA87598" w14:textId="77777777" w:rsidR="00404321" w:rsidRDefault="00404321" w:rsidP="00EC3165">
            <w:pPr>
              <w:spacing w:line="240" w:lineRule="auto"/>
            </w:pPr>
          </w:p>
        </w:tc>
        <w:tc>
          <w:tcPr>
            <w:tcW w:w="2580" w:type="dxa"/>
            <w:tcBorders>
              <w:top w:val="single" w:sz="4" w:space="0" w:color="999999"/>
              <w:left w:val="single" w:sz="4" w:space="0" w:color="999999"/>
              <w:bottom w:val="single" w:sz="4" w:space="0" w:color="999999"/>
              <w:right w:val="single" w:sz="4" w:space="0" w:color="999999"/>
            </w:tcBorders>
          </w:tcPr>
          <w:p w14:paraId="0BB44102" w14:textId="77777777" w:rsidR="00404321" w:rsidRDefault="00404321" w:rsidP="00EC3165">
            <w:pPr>
              <w:spacing w:line="240" w:lineRule="auto"/>
            </w:pPr>
            <w:r>
              <w:rPr>
                <w:rFonts w:cs="Calibri"/>
              </w:rPr>
              <w:t>Emergency Planning Officer interview</w:t>
            </w:r>
          </w:p>
        </w:tc>
        <w:tc>
          <w:tcPr>
            <w:tcW w:w="1276" w:type="dxa"/>
            <w:tcBorders>
              <w:top w:val="single" w:sz="4" w:space="0" w:color="999999"/>
              <w:left w:val="single" w:sz="4" w:space="0" w:color="999999"/>
              <w:bottom w:val="single" w:sz="4" w:space="0" w:color="999999"/>
              <w:right w:val="single" w:sz="4" w:space="0" w:color="999999"/>
            </w:tcBorders>
          </w:tcPr>
          <w:p w14:paraId="1D2E95B6" w14:textId="77777777" w:rsidR="00404321" w:rsidRDefault="00404321" w:rsidP="00EC3165">
            <w:pPr>
              <w:spacing w:line="240" w:lineRule="auto"/>
            </w:pPr>
            <w:r>
              <w:rPr>
                <w:rFonts w:cs="Calibri"/>
              </w:rPr>
              <w:t>10.12.20</w:t>
            </w:r>
          </w:p>
        </w:tc>
        <w:tc>
          <w:tcPr>
            <w:tcW w:w="1276" w:type="dxa"/>
            <w:tcBorders>
              <w:top w:val="single" w:sz="4" w:space="0" w:color="999999"/>
              <w:left w:val="single" w:sz="4" w:space="0" w:color="999999"/>
              <w:bottom w:val="single" w:sz="4" w:space="0" w:color="999999"/>
              <w:right w:val="single" w:sz="4" w:space="0" w:color="999999"/>
            </w:tcBorders>
          </w:tcPr>
          <w:p w14:paraId="1F32327F" w14:textId="77777777" w:rsidR="00404321" w:rsidRDefault="00E724FA" w:rsidP="00EC3165">
            <w:pPr>
              <w:spacing w:line="240" w:lineRule="auto"/>
              <w:rPr>
                <w:rFonts w:cs="Calibri"/>
              </w:rPr>
            </w:pPr>
            <w:r>
              <w:rPr>
                <w:rFonts w:cs="Calibri"/>
              </w:rPr>
              <w:t>65</w:t>
            </w:r>
          </w:p>
        </w:tc>
        <w:tc>
          <w:tcPr>
            <w:tcW w:w="2409" w:type="dxa"/>
            <w:tcBorders>
              <w:top w:val="single" w:sz="4" w:space="0" w:color="999999"/>
              <w:left w:val="single" w:sz="4" w:space="0" w:color="999999"/>
              <w:bottom w:val="single" w:sz="4" w:space="0" w:color="999999"/>
              <w:right w:val="single" w:sz="4" w:space="0" w:color="999999"/>
            </w:tcBorders>
          </w:tcPr>
          <w:p w14:paraId="63C801A2" w14:textId="77777777" w:rsidR="00404321" w:rsidRDefault="00404321" w:rsidP="00EC3165">
            <w:pPr>
              <w:spacing w:line="240" w:lineRule="auto"/>
            </w:pPr>
            <w:r>
              <w:rPr>
                <w:rFonts w:cs="Calibri"/>
              </w:rPr>
              <w:t>Tiered lockdowns</w:t>
            </w:r>
          </w:p>
        </w:tc>
      </w:tr>
      <w:tr w:rsidR="00404321" w14:paraId="46CB5C8D"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3E4E7140" w14:textId="77777777" w:rsidR="00404321" w:rsidRDefault="00404321" w:rsidP="00EC3165">
            <w:pPr>
              <w:spacing w:line="240" w:lineRule="auto"/>
            </w:pPr>
          </w:p>
        </w:tc>
        <w:tc>
          <w:tcPr>
            <w:tcW w:w="2580" w:type="dxa"/>
            <w:vMerge w:val="restart"/>
            <w:tcBorders>
              <w:top w:val="single" w:sz="4" w:space="0" w:color="999999"/>
              <w:left w:val="single" w:sz="4" w:space="0" w:color="999999"/>
              <w:bottom w:val="single" w:sz="4" w:space="0" w:color="999999"/>
              <w:right w:val="single" w:sz="4" w:space="0" w:color="999999"/>
            </w:tcBorders>
          </w:tcPr>
          <w:p w14:paraId="625B8B80" w14:textId="77777777" w:rsidR="00404321" w:rsidRDefault="00404321" w:rsidP="00EC3165">
            <w:pPr>
              <w:spacing w:line="240" w:lineRule="auto"/>
            </w:pPr>
            <w:r>
              <w:rPr>
                <w:rFonts w:cs="Calibri"/>
              </w:rPr>
              <w:t>Campaign Manager interviews</w:t>
            </w:r>
          </w:p>
          <w:p w14:paraId="6D0392E0" w14:textId="77777777" w:rsidR="00404321" w:rsidRDefault="00404321" w:rsidP="00EC3165">
            <w:pPr>
              <w:spacing w:line="240" w:lineRule="auto"/>
            </w:pPr>
            <w:r>
              <w:rPr>
                <w:rFonts w:cs="Calibri"/>
                <w:b/>
                <w:i/>
              </w:rPr>
              <w:t>(7 interviews: 2 – in person (2019), 5 – telephone)</w:t>
            </w:r>
          </w:p>
        </w:tc>
        <w:tc>
          <w:tcPr>
            <w:tcW w:w="1276" w:type="dxa"/>
            <w:tcBorders>
              <w:top w:val="single" w:sz="4" w:space="0" w:color="999999"/>
              <w:left w:val="single" w:sz="4" w:space="0" w:color="999999"/>
              <w:bottom w:val="single" w:sz="4" w:space="0" w:color="999999"/>
              <w:right w:val="single" w:sz="4" w:space="0" w:color="999999"/>
            </w:tcBorders>
          </w:tcPr>
          <w:p w14:paraId="3D26925D" w14:textId="77777777" w:rsidR="00404321" w:rsidRDefault="00404321" w:rsidP="00EC3165">
            <w:pPr>
              <w:spacing w:line="240" w:lineRule="auto"/>
            </w:pPr>
            <w:r>
              <w:rPr>
                <w:rFonts w:cs="Calibri"/>
              </w:rPr>
              <w:t>07.08.19</w:t>
            </w:r>
          </w:p>
        </w:tc>
        <w:tc>
          <w:tcPr>
            <w:tcW w:w="1276" w:type="dxa"/>
            <w:tcBorders>
              <w:top w:val="single" w:sz="4" w:space="0" w:color="999999"/>
              <w:left w:val="single" w:sz="4" w:space="0" w:color="999999"/>
              <w:bottom w:val="single" w:sz="4" w:space="0" w:color="999999"/>
              <w:right w:val="single" w:sz="4" w:space="0" w:color="999999"/>
            </w:tcBorders>
          </w:tcPr>
          <w:p w14:paraId="0BC9BE59" w14:textId="77777777" w:rsidR="00404321" w:rsidRDefault="00E724FA" w:rsidP="00EC3165">
            <w:pPr>
              <w:spacing w:line="240" w:lineRule="auto"/>
              <w:rPr>
                <w:rFonts w:cs="Calibri"/>
              </w:rPr>
            </w:pPr>
            <w:r>
              <w:rPr>
                <w:rFonts w:cs="Calibri"/>
              </w:rPr>
              <w:t>67</w:t>
            </w:r>
          </w:p>
        </w:tc>
        <w:tc>
          <w:tcPr>
            <w:tcW w:w="2409" w:type="dxa"/>
            <w:tcBorders>
              <w:top w:val="single" w:sz="4" w:space="0" w:color="999999"/>
              <w:left w:val="single" w:sz="4" w:space="0" w:color="999999"/>
              <w:bottom w:val="single" w:sz="4" w:space="0" w:color="999999"/>
              <w:right w:val="single" w:sz="4" w:space="0" w:color="999999"/>
            </w:tcBorders>
          </w:tcPr>
          <w:p w14:paraId="55981786" w14:textId="77777777" w:rsidR="00404321" w:rsidRDefault="00404321" w:rsidP="00EC3165">
            <w:pPr>
              <w:spacing w:line="240" w:lineRule="auto"/>
            </w:pPr>
            <w:r>
              <w:rPr>
                <w:rFonts w:cs="Calibri"/>
              </w:rPr>
              <w:t>Prior to COVID-19</w:t>
            </w:r>
          </w:p>
        </w:tc>
      </w:tr>
      <w:tr w:rsidR="00404321" w14:paraId="4C89E9E6"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02AA6425"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5DD08787"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23EC26B4" w14:textId="77777777" w:rsidR="00404321" w:rsidRDefault="00404321" w:rsidP="00EC3165">
            <w:pPr>
              <w:spacing w:line="240" w:lineRule="auto"/>
            </w:pPr>
            <w:r>
              <w:rPr>
                <w:rFonts w:cs="Calibri"/>
              </w:rPr>
              <w:t>29.11.19</w:t>
            </w:r>
          </w:p>
        </w:tc>
        <w:tc>
          <w:tcPr>
            <w:tcW w:w="1276" w:type="dxa"/>
            <w:tcBorders>
              <w:top w:val="single" w:sz="4" w:space="0" w:color="999999"/>
              <w:left w:val="single" w:sz="4" w:space="0" w:color="999999"/>
              <w:bottom w:val="single" w:sz="4" w:space="0" w:color="999999"/>
              <w:right w:val="single" w:sz="4" w:space="0" w:color="999999"/>
            </w:tcBorders>
          </w:tcPr>
          <w:p w14:paraId="35959E02" w14:textId="77777777" w:rsidR="00404321" w:rsidRDefault="00E724FA" w:rsidP="00EC3165">
            <w:pPr>
              <w:spacing w:line="240" w:lineRule="auto"/>
              <w:rPr>
                <w:rFonts w:cs="Calibri"/>
              </w:rPr>
            </w:pPr>
            <w:r>
              <w:rPr>
                <w:rFonts w:cs="Calibri"/>
              </w:rPr>
              <w:t>30</w:t>
            </w:r>
          </w:p>
        </w:tc>
        <w:tc>
          <w:tcPr>
            <w:tcW w:w="2409" w:type="dxa"/>
            <w:tcBorders>
              <w:top w:val="single" w:sz="4" w:space="0" w:color="999999"/>
              <w:left w:val="single" w:sz="4" w:space="0" w:color="999999"/>
              <w:bottom w:val="single" w:sz="4" w:space="0" w:color="999999"/>
              <w:right w:val="single" w:sz="4" w:space="0" w:color="999999"/>
            </w:tcBorders>
          </w:tcPr>
          <w:p w14:paraId="47DB8BAB" w14:textId="77777777" w:rsidR="00404321" w:rsidRDefault="00404321" w:rsidP="00EC3165">
            <w:pPr>
              <w:spacing w:line="240" w:lineRule="auto"/>
            </w:pPr>
            <w:r>
              <w:rPr>
                <w:rFonts w:cs="Calibri"/>
              </w:rPr>
              <w:t>Prior to COVID-19</w:t>
            </w:r>
          </w:p>
        </w:tc>
      </w:tr>
      <w:tr w:rsidR="00404321" w14:paraId="7C175938"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61DF0108"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43378000"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43364FA6" w14:textId="77777777" w:rsidR="00404321" w:rsidRDefault="00404321" w:rsidP="00EC3165">
            <w:pPr>
              <w:spacing w:line="240" w:lineRule="auto"/>
            </w:pPr>
            <w:r>
              <w:rPr>
                <w:rFonts w:cs="Calibri"/>
              </w:rPr>
              <w:t>23.03.20</w:t>
            </w:r>
          </w:p>
        </w:tc>
        <w:tc>
          <w:tcPr>
            <w:tcW w:w="1276" w:type="dxa"/>
            <w:tcBorders>
              <w:top w:val="single" w:sz="4" w:space="0" w:color="999999"/>
              <w:left w:val="single" w:sz="4" w:space="0" w:color="999999"/>
              <w:bottom w:val="single" w:sz="4" w:space="0" w:color="999999"/>
              <w:right w:val="single" w:sz="4" w:space="0" w:color="999999"/>
            </w:tcBorders>
          </w:tcPr>
          <w:p w14:paraId="159A705E" w14:textId="77777777" w:rsidR="00404321" w:rsidRDefault="00E724FA" w:rsidP="00EC3165">
            <w:pPr>
              <w:spacing w:line="240" w:lineRule="auto"/>
              <w:rPr>
                <w:rFonts w:cs="Calibri"/>
              </w:rPr>
            </w:pPr>
            <w:r>
              <w:rPr>
                <w:rFonts w:cs="Calibri"/>
              </w:rPr>
              <w:t>21</w:t>
            </w:r>
          </w:p>
        </w:tc>
        <w:tc>
          <w:tcPr>
            <w:tcW w:w="2409" w:type="dxa"/>
            <w:tcBorders>
              <w:top w:val="single" w:sz="4" w:space="0" w:color="999999"/>
              <w:left w:val="single" w:sz="4" w:space="0" w:color="999999"/>
              <w:bottom w:val="single" w:sz="4" w:space="0" w:color="999999"/>
              <w:right w:val="single" w:sz="4" w:space="0" w:color="999999"/>
            </w:tcBorders>
          </w:tcPr>
          <w:p w14:paraId="60D5908D" w14:textId="77777777" w:rsidR="00404321" w:rsidRDefault="00404321" w:rsidP="00EC3165">
            <w:pPr>
              <w:spacing w:line="240" w:lineRule="auto"/>
            </w:pPr>
            <w:r>
              <w:rPr>
                <w:rFonts w:cs="Calibri"/>
              </w:rPr>
              <w:t>Lockdown 1</w:t>
            </w:r>
          </w:p>
        </w:tc>
      </w:tr>
      <w:tr w:rsidR="00404321" w14:paraId="5B59285D"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26C6BE0B"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317579D9"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02D0491C" w14:textId="77777777" w:rsidR="00404321" w:rsidRDefault="00404321" w:rsidP="00EC3165">
            <w:pPr>
              <w:spacing w:line="240" w:lineRule="auto"/>
            </w:pPr>
            <w:r>
              <w:rPr>
                <w:rFonts w:cs="Calibri"/>
              </w:rPr>
              <w:t>21.04.20</w:t>
            </w:r>
          </w:p>
        </w:tc>
        <w:tc>
          <w:tcPr>
            <w:tcW w:w="1276" w:type="dxa"/>
            <w:tcBorders>
              <w:top w:val="single" w:sz="4" w:space="0" w:color="999999"/>
              <w:left w:val="single" w:sz="4" w:space="0" w:color="999999"/>
              <w:bottom w:val="single" w:sz="4" w:space="0" w:color="999999"/>
              <w:right w:val="single" w:sz="4" w:space="0" w:color="999999"/>
            </w:tcBorders>
          </w:tcPr>
          <w:p w14:paraId="0B917165" w14:textId="77777777" w:rsidR="00404321" w:rsidRDefault="00E724FA" w:rsidP="00EC3165">
            <w:pPr>
              <w:spacing w:line="240" w:lineRule="auto"/>
              <w:rPr>
                <w:rFonts w:cs="Calibri"/>
              </w:rPr>
            </w:pPr>
            <w:r>
              <w:rPr>
                <w:rFonts w:cs="Calibri"/>
              </w:rPr>
              <w:t>28</w:t>
            </w:r>
          </w:p>
        </w:tc>
        <w:tc>
          <w:tcPr>
            <w:tcW w:w="2409" w:type="dxa"/>
            <w:tcBorders>
              <w:top w:val="single" w:sz="4" w:space="0" w:color="999999"/>
              <w:left w:val="single" w:sz="4" w:space="0" w:color="999999"/>
              <w:bottom w:val="single" w:sz="4" w:space="0" w:color="999999"/>
              <w:right w:val="single" w:sz="4" w:space="0" w:color="999999"/>
            </w:tcBorders>
          </w:tcPr>
          <w:p w14:paraId="65B7E856" w14:textId="77777777" w:rsidR="00404321" w:rsidRDefault="00404321" w:rsidP="00EC3165">
            <w:pPr>
              <w:spacing w:line="240" w:lineRule="auto"/>
            </w:pPr>
            <w:r>
              <w:rPr>
                <w:rFonts w:cs="Calibri"/>
              </w:rPr>
              <w:t>Lockdown 1</w:t>
            </w:r>
          </w:p>
        </w:tc>
      </w:tr>
      <w:tr w:rsidR="00404321" w14:paraId="7438EEAD"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066E4F61"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50E7FCAD"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6ED55AC7" w14:textId="77777777" w:rsidR="00404321" w:rsidRDefault="00404321" w:rsidP="00EC3165">
            <w:pPr>
              <w:spacing w:line="240" w:lineRule="auto"/>
            </w:pPr>
            <w:r>
              <w:rPr>
                <w:rFonts w:cs="Calibri"/>
              </w:rPr>
              <w:t>29.06.20</w:t>
            </w:r>
          </w:p>
        </w:tc>
        <w:tc>
          <w:tcPr>
            <w:tcW w:w="1276" w:type="dxa"/>
            <w:tcBorders>
              <w:top w:val="single" w:sz="4" w:space="0" w:color="999999"/>
              <w:left w:val="single" w:sz="4" w:space="0" w:color="999999"/>
              <w:bottom w:val="single" w:sz="4" w:space="0" w:color="999999"/>
              <w:right w:val="single" w:sz="4" w:space="0" w:color="999999"/>
            </w:tcBorders>
          </w:tcPr>
          <w:p w14:paraId="0A086DA5" w14:textId="77777777" w:rsidR="00404321" w:rsidRDefault="00E724FA" w:rsidP="00EC3165">
            <w:pPr>
              <w:spacing w:line="240" w:lineRule="auto"/>
              <w:rPr>
                <w:rFonts w:cs="Calibri"/>
              </w:rPr>
            </w:pPr>
            <w:r>
              <w:rPr>
                <w:rFonts w:cs="Calibri"/>
              </w:rPr>
              <w:t>38</w:t>
            </w:r>
          </w:p>
        </w:tc>
        <w:tc>
          <w:tcPr>
            <w:tcW w:w="2409" w:type="dxa"/>
            <w:tcBorders>
              <w:top w:val="single" w:sz="4" w:space="0" w:color="999999"/>
              <w:left w:val="single" w:sz="4" w:space="0" w:color="999999"/>
              <w:bottom w:val="single" w:sz="4" w:space="0" w:color="999999"/>
              <w:right w:val="single" w:sz="4" w:space="0" w:color="999999"/>
            </w:tcBorders>
          </w:tcPr>
          <w:p w14:paraId="00631568" w14:textId="77777777" w:rsidR="00404321" w:rsidRDefault="00404321" w:rsidP="00EC3165">
            <w:pPr>
              <w:spacing w:line="240" w:lineRule="auto"/>
            </w:pPr>
            <w:r>
              <w:rPr>
                <w:rFonts w:cs="Calibri"/>
              </w:rPr>
              <w:t>Social distancing (rule of 6)</w:t>
            </w:r>
          </w:p>
        </w:tc>
      </w:tr>
      <w:tr w:rsidR="00404321" w14:paraId="6D0C3005"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47295005"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16EFAAB5"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0374A1E6" w14:textId="77777777" w:rsidR="00404321" w:rsidRDefault="00404321" w:rsidP="00EC3165">
            <w:pPr>
              <w:spacing w:line="240" w:lineRule="auto"/>
            </w:pPr>
            <w:r>
              <w:rPr>
                <w:rFonts w:cs="Calibri"/>
              </w:rPr>
              <w:t>06.10.20</w:t>
            </w:r>
          </w:p>
        </w:tc>
        <w:tc>
          <w:tcPr>
            <w:tcW w:w="1276" w:type="dxa"/>
            <w:tcBorders>
              <w:top w:val="single" w:sz="4" w:space="0" w:color="999999"/>
              <w:left w:val="single" w:sz="4" w:space="0" w:color="999999"/>
              <w:bottom w:val="single" w:sz="4" w:space="0" w:color="999999"/>
              <w:right w:val="single" w:sz="4" w:space="0" w:color="999999"/>
            </w:tcBorders>
          </w:tcPr>
          <w:p w14:paraId="2C739440" w14:textId="77777777" w:rsidR="00404321" w:rsidRDefault="00E724FA" w:rsidP="00EC3165">
            <w:pPr>
              <w:spacing w:line="240" w:lineRule="auto"/>
              <w:rPr>
                <w:rFonts w:cs="Calibri"/>
              </w:rPr>
            </w:pPr>
            <w:r>
              <w:rPr>
                <w:rFonts w:cs="Calibri"/>
              </w:rPr>
              <w:t>38</w:t>
            </w:r>
          </w:p>
        </w:tc>
        <w:tc>
          <w:tcPr>
            <w:tcW w:w="2409" w:type="dxa"/>
            <w:tcBorders>
              <w:top w:val="single" w:sz="4" w:space="0" w:color="999999"/>
              <w:left w:val="single" w:sz="4" w:space="0" w:color="999999"/>
              <w:bottom w:val="single" w:sz="4" w:space="0" w:color="999999"/>
              <w:right w:val="single" w:sz="4" w:space="0" w:color="999999"/>
            </w:tcBorders>
          </w:tcPr>
          <w:p w14:paraId="690B2EB8" w14:textId="77777777" w:rsidR="00404321" w:rsidRDefault="00404321" w:rsidP="00EC3165">
            <w:pPr>
              <w:spacing w:line="240" w:lineRule="auto"/>
            </w:pPr>
            <w:r>
              <w:rPr>
                <w:rFonts w:cs="Calibri"/>
              </w:rPr>
              <w:t>Social distancing (rule of 6)</w:t>
            </w:r>
          </w:p>
        </w:tc>
      </w:tr>
      <w:tr w:rsidR="00404321" w14:paraId="3B8936D4"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079B0E3B"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627D9BD0"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07CF651D" w14:textId="77777777" w:rsidR="00404321" w:rsidRDefault="00404321" w:rsidP="00EC3165">
            <w:pPr>
              <w:spacing w:line="240" w:lineRule="auto"/>
            </w:pPr>
            <w:r>
              <w:rPr>
                <w:rFonts w:cs="Calibri"/>
              </w:rPr>
              <w:t>29.11.20</w:t>
            </w:r>
          </w:p>
        </w:tc>
        <w:tc>
          <w:tcPr>
            <w:tcW w:w="1276" w:type="dxa"/>
            <w:tcBorders>
              <w:top w:val="single" w:sz="4" w:space="0" w:color="999999"/>
              <w:left w:val="single" w:sz="4" w:space="0" w:color="999999"/>
              <w:bottom w:val="single" w:sz="4" w:space="0" w:color="999999"/>
              <w:right w:val="single" w:sz="4" w:space="0" w:color="999999"/>
            </w:tcBorders>
          </w:tcPr>
          <w:p w14:paraId="3A66C840" w14:textId="77777777" w:rsidR="00404321" w:rsidRDefault="00E724FA" w:rsidP="00EC3165">
            <w:pPr>
              <w:spacing w:line="240" w:lineRule="auto"/>
              <w:rPr>
                <w:rFonts w:cs="Calibri"/>
              </w:rPr>
            </w:pPr>
            <w:r>
              <w:rPr>
                <w:rFonts w:cs="Calibri"/>
              </w:rPr>
              <w:t>28</w:t>
            </w:r>
          </w:p>
        </w:tc>
        <w:tc>
          <w:tcPr>
            <w:tcW w:w="2409" w:type="dxa"/>
            <w:tcBorders>
              <w:top w:val="single" w:sz="4" w:space="0" w:color="999999"/>
              <w:left w:val="single" w:sz="4" w:space="0" w:color="999999"/>
              <w:bottom w:val="single" w:sz="4" w:space="0" w:color="999999"/>
              <w:right w:val="single" w:sz="4" w:space="0" w:color="999999"/>
            </w:tcBorders>
          </w:tcPr>
          <w:p w14:paraId="141D1A5E" w14:textId="77777777" w:rsidR="00404321" w:rsidRDefault="00404321" w:rsidP="00EC3165">
            <w:pPr>
              <w:spacing w:line="240" w:lineRule="auto"/>
            </w:pPr>
            <w:r>
              <w:rPr>
                <w:rFonts w:cs="Calibri"/>
              </w:rPr>
              <w:t>Lockdown 2</w:t>
            </w:r>
          </w:p>
        </w:tc>
      </w:tr>
      <w:tr w:rsidR="00404321" w14:paraId="41AD3674"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1A094314" w14:textId="77777777" w:rsidR="00404321" w:rsidRDefault="00404321" w:rsidP="00EC3165">
            <w:pPr>
              <w:spacing w:line="240" w:lineRule="auto"/>
            </w:pPr>
          </w:p>
        </w:tc>
        <w:tc>
          <w:tcPr>
            <w:tcW w:w="2580" w:type="dxa"/>
            <w:vMerge w:val="restart"/>
            <w:tcBorders>
              <w:top w:val="single" w:sz="4" w:space="0" w:color="999999"/>
              <w:left w:val="single" w:sz="4" w:space="0" w:color="999999"/>
              <w:bottom w:val="single" w:sz="4" w:space="0" w:color="999999"/>
              <w:right w:val="single" w:sz="4" w:space="0" w:color="999999"/>
            </w:tcBorders>
          </w:tcPr>
          <w:p w14:paraId="705F047E" w14:textId="77777777" w:rsidR="00404321" w:rsidRDefault="00404321" w:rsidP="00EC3165">
            <w:pPr>
              <w:spacing w:line="240" w:lineRule="auto"/>
            </w:pPr>
            <w:r>
              <w:rPr>
                <w:rFonts w:cs="Calibri"/>
              </w:rPr>
              <w:t>Strategic manager interviews</w:t>
            </w:r>
          </w:p>
          <w:p w14:paraId="083C58C0" w14:textId="77777777" w:rsidR="00404321" w:rsidRDefault="00404321" w:rsidP="00EC3165">
            <w:pPr>
              <w:spacing w:line="240" w:lineRule="auto"/>
            </w:pPr>
            <w:r>
              <w:rPr>
                <w:rFonts w:cs="Calibri"/>
                <w:b/>
                <w:i/>
              </w:rPr>
              <w:t>(12 interviews: 2 – in person (2019), 10 – telephone)</w:t>
            </w:r>
          </w:p>
        </w:tc>
        <w:tc>
          <w:tcPr>
            <w:tcW w:w="1276" w:type="dxa"/>
            <w:tcBorders>
              <w:top w:val="single" w:sz="4" w:space="0" w:color="999999"/>
              <w:left w:val="single" w:sz="4" w:space="0" w:color="999999"/>
              <w:bottom w:val="single" w:sz="4" w:space="0" w:color="999999"/>
              <w:right w:val="single" w:sz="4" w:space="0" w:color="999999"/>
            </w:tcBorders>
          </w:tcPr>
          <w:p w14:paraId="0E2584B6" w14:textId="77777777" w:rsidR="00404321" w:rsidRDefault="00404321" w:rsidP="00EC3165">
            <w:pPr>
              <w:spacing w:line="240" w:lineRule="auto"/>
            </w:pPr>
            <w:r>
              <w:rPr>
                <w:rFonts w:cs="Calibri"/>
              </w:rPr>
              <w:t>30.07.19</w:t>
            </w:r>
          </w:p>
        </w:tc>
        <w:tc>
          <w:tcPr>
            <w:tcW w:w="1276" w:type="dxa"/>
            <w:tcBorders>
              <w:top w:val="single" w:sz="4" w:space="0" w:color="999999"/>
              <w:left w:val="single" w:sz="4" w:space="0" w:color="999999"/>
              <w:bottom w:val="single" w:sz="4" w:space="0" w:color="999999"/>
              <w:right w:val="single" w:sz="4" w:space="0" w:color="999999"/>
            </w:tcBorders>
          </w:tcPr>
          <w:p w14:paraId="5060EE1E" w14:textId="77777777" w:rsidR="00404321" w:rsidRDefault="00E724FA" w:rsidP="00EC3165">
            <w:pPr>
              <w:spacing w:line="240" w:lineRule="auto"/>
              <w:rPr>
                <w:rFonts w:cs="Calibri"/>
              </w:rPr>
            </w:pPr>
            <w:r>
              <w:rPr>
                <w:rFonts w:cs="Calibri"/>
              </w:rPr>
              <w:t>33</w:t>
            </w:r>
          </w:p>
        </w:tc>
        <w:tc>
          <w:tcPr>
            <w:tcW w:w="2409" w:type="dxa"/>
            <w:tcBorders>
              <w:top w:val="single" w:sz="4" w:space="0" w:color="999999"/>
              <w:left w:val="single" w:sz="4" w:space="0" w:color="999999"/>
              <w:bottom w:val="single" w:sz="4" w:space="0" w:color="999999"/>
              <w:right w:val="single" w:sz="4" w:space="0" w:color="999999"/>
            </w:tcBorders>
          </w:tcPr>
          <w:p w14:paraId="319BD0FD" w14:textId="77777777" w:rsidR="00404321" w:rsidRDefault="00404321" w:rsidP="00EC3165">
            <w:pPr>
              <w:spacing w:line="240" w:lineRule="auto"/>
            </w:pPr>
            <w:r>
              <w:rPr>
                <w:rFonts w:cs="Calibri"/>
              </w:rPr>
              <w:t>Prior to COVID-19</w:t>
            </w:r>
          </w:p>
        </w:tc>
      </w:tr>
      <w:tr w:rsidR="00404321" w14:paraId="6FDAB99A"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2D0ED0FD"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2C745360"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05AF5F13" w14:textId="77777777" w:rsidR="00404321" w:rsidRDefault="00404321" w:rsidP="00EC3165">
            <w:pPr>
              <w:spacing w:line="240" w:lineRule="auto"/>
            </w:pPr>
            <w:r>
              <w:rPr>
                <w:rFonts w:cs="Calibri"/>
              </w:rPr>
              <w:t>25.11.19</w:t>
            </w:r>
          </w:p>
        </w:tc>
        <w:tc>
          <w:tcPr>
            <w:tcW w:w="1276" w:type="dxa"/>
            <w:tcBorders>
              <w:top w:val="single" w:sz="4" w:space="0" w:color="999999"/>
              <w:left w:val="single" w:sz="4" w:space="0" w:color="999999"/>
              <w:bottom w:val="single" w:sz="4" w:space="0" w:color="999999"/>
              <w:right w:val="single" w:sz="4" w:space="0" w:color="999999"/>
            </w:tcBorders>
          </w:tcPr>
          <w:p w14:paraId="33DEFD2C" w14:textId="77777777" w:rsidR="00404321" w:rsidRDefault="00E724FA" w:rsidP="00EC3165">
            <w:pPr>
              <w:spacing w:line="240" w:lineRule="auto"/>
              <w:rPr>
                <w:rFonts w:cs="Calibri"/>
              </w:rPr>
            </w:pPr>
            <w:r>
              <w:rPr>
                <w:rFonts w:cs="Calibri"/>
              </w:rPr>
              <w:t>49</w:t>
            </w:r>
          </w:p>
        </w:tc>
        <w:tc>
          <w:tcPr>
            <w:tcW w:w="2409" w:type="dxa"/>
            <w:tcBorders>
              <w:top w:val="single" w:sz="4" w:space="0" w:color="999999"/>
              <w:left w:val="single" w:sz="4" w:space="0" w:color="999999"/>
              <w:bottom w:val="single" w:sz="4" w:space="0" w:color="999999"/>
              <w:right w:val="single" w:sz="4" w:space="0" w:color="999999"/>
            </w:tcBorders>
          </w:tcPr>
          <w:p w14:paraId="0CA34D57" w14:textId="77777777" w:rsidR="00404321" w:rsidRDefault="00404321" w:rsidP="00EC3165">
            <w:pPr>
              <w:spacing w:line="240" w:lineRule="auto"/>
            </w:pPr>
            <w:r>
              <w:rPr>
                <w:rFonts w:cs="Calibri"/>
              </w:rPr>
              <w:t>Prior to COVID-19</w:t>
            </w:r>
          </w:p>
        </w:tc>
      </w:tr>
      <w:tr w:rsidR="00404321" w14:paraId="4078FEED"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350F2F39"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2293754D"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0E07CB6A" w14:textId="77777777" w:rsidR="00404321" w:rsidRDefault="00404321" w:rsidP="00EC3165">
            <w:pPr>
              <w:spacing w:line="240" w:lineRule="auto"/>
            </w:pPr>
            <w:r>
              <w:rPr>
                <w:rFonts w:cs="Calibri"/>
              </w:rPr>
              <w:t>20.03.20</w:t>
            </w:r>
          </w:p>
        </w:tc>
        <w:tc>
          <w:tcPr>
            <w:tcW w:w="1276" w:type="dxa"/>
            <w:tcBorders>
              <w:top w:val="single" w:sz="4" w:space="0" w:color="999999"/>
              <w:left w:val="single" w:sz="4" w:space="0" w:color="999999"/>
              <w:bottom w:val="single" w:sz="4" w:space="0" w:color="999999"/>
              <w:right w:val="single" w:sz="4" w:space="0" w:color="999999"/>
            </w:tcBorders>
          </w:tcPr>
          <w:p w14:paraId="5C135D13" w14:textId="77777777" w:rsidR="00404321" w:rsidRDefault="00E724FA" w:rsidP="00EC3165">
            <w:pPr>
              <w:spacing w:line="240" w:lineRule="auto"/>
              <w:rPr>
                <w:rFonts w:cs="Calibri"/>
              </w:rPr>
            </w:pPr>
            <w:r>
              <w:rPr>
                <w:rFonts w:cs="Calibri"/>
              </w:rPr>
              <w:t>21</w:t>
            </w:r>
          </w:p>
        </w:tc>
        <w:tc>
          <w:tcPr>
            <w:tcW w:w="2409" w:type="dxa"/>
            <w:tcBorders>
              <w:top w:val="single" w:sz="4" w:space="0" w:color="999999"/>
              <w:left w:val="single" w:sz="4" w:space="0" w:color="999999"/>
              <w:bottom w:val="single" w:sz="4" w:space="0" w:color="999999"/>
              <w:right w:val="single" w:sz="4" w:space="0" w:color="999999"/>
            </w:tcBorders>
          </w:tcPr>
          <w:p w14:paraId="6DE68B40" w14:textId="77777777" w:rsidR="00404321" w:rsidRDefault="00404321" w:rsidP="00EC3165">
            <w:pPr>
              <w:spacing w:line="240" w:lineRule="auto"/>
            </w:pPr>
            <w:r>
              <w:rPr>
                <w:rFonts w:cs="Calibri"/>
              </w:rPr>
              <w:t>Lockdown 1</w:t>
            </w:r>
          </w:p>
        </w:tc>
      </w:tr>
      <w:tr w:rsidR="00404321" w14:paraId="451B0BFB"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7CD89A7E"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1CABD028"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065D5617" w14:textId="77777777" w:rsidR="00404321" w:rsidRDefault="00404321" w:rsidP="00EC3165">
            <w:pPr>
              <w:spacing w:line="240" w:lineRule="auto"/>
            </w:pPr>
            <w:r>
              <w:rPr>
                <w:rFonts w:cs="Calibri"/>
              </w:rPr>
              <w:t>03.04.20</w:t>
            </w:r>
          </w:p>
        </w:tc>
        <w:tc>
          <w:tcPr>
            <w:tcW w:w="1276" w:type="dxa"/>
            <w:tcBorders>
              <w:top w:val="single" w:sz="4" w:space="0" w:color="999999"/>
              <w:left w:val="single" w:sz="4" w:space="0" w:color="999999"/>
              <w:bottom w:val="single" w:sz="4" w:space="0" w:color="999999"/>
              <w:right w:val="single" w:sz="4" w:space="0" w:color="999999"/>
            </w:tcBorders>
          </w:tcPr>
          <w:p w14:paraId="45BC75BD" w14:textId="77777777" w:rsidR="00404321" w:rsidRDefault="00E724FA" w:rsidP="00EC3165">
            <w:pPr>
              <w:spacing w:line="240" w:lineRule="auto"/>
              <w:rPr>
                <w:rFonts w:cs="Calibri"/>
              </w:rPr>
            </w:pPr>
            <w:r>
              <w:rPr>
                <w:rFonts w:cs="Calibri"/>
              </w:rPr>
              <w:t>22</w:t>
            </w:r>
          </w:p>
        </w:tc>
        <w:tc>
          <w:tcPr>
            <w:tcW w:w="2409" w:type="dxa"/>
            <w:tcBorders>
              <w:top w:val="single" w:sz="4" w:space="0" w:color="999999"/>
              <w:left w:val="single" w:sz="4" w:space="0" w:color="999999"/>
              <w:bottom w:val="single" w:sz="4" w:space="0" w:color="999999"/>
              <w:right w:val="single" w:sz="4" w:space="0" w:color="999999"/>
            </w:tcBorders>
          </w:tcPr>
          <w:p w14:paraId="69FDB524" w14:textId="77777777" w:rsidR="00404321" w:rsidRDefault="00404321" w:rsidP="00EC3165">
            <w:pPr>
              <w:spacing w:line="240" w:lineRule="auto"/>
            </w:pPr>
            <w:r>
              <w:rPr>
                <w:rFonts w:cs="Calibri"/>
              </w:rPr>
              <w:t>Lockdown 1</w:t>
            </w:r>
          </w:p>
        </w:tc>
      </w:tr>
      <w:tr w:rsidR="00404321" w14:paraId="7C88CF0F"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39A77739"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689593C8"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4D5343D6" w14:textId="77777777" w:rsidR="00404321" w:rsidRDefault="00404321" w:rsidP="00EC3165">
            <w:pPr>
              <w:spacing w:line="240" w:lineRule="auto"/>
            </w:pPr>
            <w:r>
              <w:rPr>
                <w:rFonts w:cs="Calibri"/>
              </w:rPr>
              <w:t>15.05.20</w:t>
            </w:r>
          </w:p>
        </w:tc>
        <w:tc>
          <w:tcPr>
            <w:tcW w:w="1276" w:type="dxa"/>
            <w:tcBorders>
              <w:top w:val="single" w:sz="4" w:space="0" w:color="999999"/>
              <w:left w:val="single" w:sz="4" w:space="0" w:color="999999"/>
              <w:bottom w:val="single" w:sz="4" w:space="0" w:color="999999"/>
              <w:right w:val="single" w:sz="4" w:space="0" w:color="999999"/>
            </w:tcBorders>
          </w:tcPr>
          <w:p w14:paraId="0E5E3CF7" w14:textId="77777777" w:rsidR="00404321" w:rsidRDefault="00E724FA" w:rsidP="00EC3165">
            <w:pPr>
              <w:spacing w:line="240" w:lineRule="auto"/>
              <w:rPr>
                <w:rFonts w:cs="Calibri"/>
              </w:rPr>
            </w:pPr>
            <w:r>
              <w:rPr>
                <w:rFonts w:cs="Calibri"/>
              </w:rPr>
              <w:t>34</w:t>
            </w:r>
          </w:p>
        </w:tc>
        <w:tc>
          <w:tcPr>
            <w:tcW w:w="2409" w:type="dxa"/>
            <w:tcBorders>
              <w:top w:val="single" w:sz="4" w:space="0" w:color="999999"/>
              <w:left w:val="single" w:sz="4" w:space="0" w:color="999999"/>
              <w:bottom w:val="single" w:sz="4" w:space="0" w:color="999999"/>
              <w:right w:val="single" w:sz="4" w:space="0" w:color="999999"/>
            </w:tcBorders>
          </w:tcPr>
          <w:p w14:paraId="50558980" w14:textId="77777777" w:rsidR="00404321" w:rsidRDefault="00404321" w:rsidP="00EC3165">
            <w:pPr>
              <w:spacing w:line="240" w:lineRule="auto"/>
            </w:pPr>
            <w:r>
              <w:rPr>
                <w:rFonts w:cs="Calibri"/>
              </w:rPr>
              <w:t>Lockdown 1</w:t>
            </w:r>
          </w:p>
        </w:tc>
      </w:tr>
      <w:tr w:rsidR="00404321" w14:paraId="13B6E0AB"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277C714E"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6C1384BE"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43D84AD5" w14:textId="77777777" w:rsidR="00404321" w:rsidRDefault="00404321" w:rsidP="00EC3165">
            <w:pPr>
              <w:spacing w:line="240" w:lineRule="auto"/>
            </w:pPr>
            <w:r>
              <w:rPr>
                <w:rFonts w:cs="Calibri"/>
              </w:rPr>
              <w:t>23.06.20</w:t>
            </w:r>
          </w:p>
        </w:tc>
        <w:tc>
          <w:tcPr>
            <w:tcW w:w="1276" w:type="dxa"/>
            <w:tcBorders>
              <w:top w:val="single" w:sz="4" w:space="0" w:color="999999"/>
              <w:left w:val="single" w:sz="4" w:space="0" w:color="999999"/>
              <w:bottom w:val="single" w:sz="4" w:space="0" w:color="999999"/>
              <w:right w:val="single" w:sz="4" w:space="0" w:color="999999"/>
            </w:tcBorders>
          </w:tcPr>
          <w:p w14:paraId="5BBBB71A" w14:textId="77777777" w:rsidR="00404321" w:rsidRDefault="00E724FA" w:rsidP="00EC3165">
            <w:pPr>
              <w:spacing w:line="240" w:lineRule="auto"/>
              <w:rPr>
                <w:rFonts w:cs="Calibri"/>
              </w:rPr>
            </w:pPr>
            <w:r>
              <w:rPr>
                <w:rFonts w:cs="Calibri"/>
              </w:rPr>
              <w:t>27</w:t>
            </w:r>
          </w:p>
        </w:tc>
        <w:tc>
          <w:tcPr>
            <w:tcW w:w="2409" w:type="dxa"/>
            <w:tcBorders>
              <w:top w:val="single" w:sz="4" w:space="0" w:color="999999"/>
              <w:left w:val="single" w:sz="4" w:space="0" w:color="999999"/>
              <w:bottom w:val="single" w:sz="4" w:space="0" w:color="999999"/>
              <w:right w:val="single" w:sz="4" w:space="0" w:color="999999"/>
            </w:tcBorders>
          </w:tcPr>
          <w:p w14:paraId="4B6C4599" w14:textId="77777777" w:rsidR="00404321" w:rsidRDefault="00404321" w:rsidP="00EC3165">
            <w:pPr>
              <w:spacing w:line="240" w:lineRule="auto"/>
            </w:pPr>
            <w:r>
              <w:rPr>
                <w:rFonts w:cs="Calibri"/>
              </w:rPr>
              <w:t>Social distancing (rule of 6)</w:t>
            </w:r>
          </w:p>
        </w:tc>
      </w:tr>
      <w:tr w:rsidR="00404321" w14:paraId="0B8F5BA8"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69D5AAAE"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4501B5A5"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6DA24C03" w14:textId="77777777" w:rsidR="00404321" w:rsidRDefault="00404321" w:rsidP="00EC3165">
            <w:pPr>
              <w:spacing w:line="240" w:lineRule="auto"/>
            </w:pPr>
            <w:r>
              <w:rPr>
                <w:rFonts w:cs="Calibri"/>
              </w:rPr>
              <w:t>07.08.20</w:t>
            </w:r>
          </w:p>
        </w:tc>
        <w:tc>
          <w:tcPr>
            <w:tcW w:w="1276" w:type="dxa"/>
            <w:tcBorders>
              <w:top w:val="single" w:sz="4" w:space="0" w:color="999999"/>
              <w:left w:val="single" w:sz="4" w:space="0" w:color="999999"/>
              <w:bottom w:val="single" w:sz="4" w:space="0" w:color="999999"/>
              <w:right w:val="single" w:sz="4" w:space="0" w:color="999999"/>
            </w:tcBorders>
          </w:tcPr>
          <w:p w14:paraId="064AFD77" w14:textId="77777777" w:rsidR="00404321" w:rsidRDefault="00404321" w:rsidP="00EC3165">
            <w:pPr>
              <w:spacing w:line="240" w:lineRule="auto"/>
              <w:rPr>
                <w:rFonts w:cs="Calibri"/>
              </w:rPr>
            </w:pPr>
          </w:p>
        </w:tc>
        <w:tc>
          <w:tcPr>
            <w:tcW w:w="2409" w:type="dxa"/>
            <w:tcBorders>
              <w:top w:val="single" w:sz="4" w:space="0" w:color="999999"/>
              <w:left w:val="single" w:sz="4" w:space="0" w:color="999999"/>
              <w:bottom w:val="single" w:sz="4" w:space="0" w:color="999999"/>
              <w:right w:val="single" w:sz="4" w:space="0" w:color="999999"/>
            </w:tcBorders>
          </w:tcPr>
          <w:p w14:paraId="05EA60C7" w14:textId="77777777" w:rsidR="00404321" w:rsidRDefault="00404321" w:rsidP="00EC3165">
            <w:pPr>
              <w:spacing w:line="240" w:lineRule="auto"/>
            </w:pPr>
            <w:r>
              <w:rPr>
                <w:rFonts w:cs="Calibri"/>
              </w:rPr>
              <w:t>Minimal lockdown</w:t>
            </w:r>
          </w:p>
        </w:tc>
      </w:tr>
      <w:tr w:rsidR="00404321" w14:paraId="42EBB3A2"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15BBF9B3"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67670E4F"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779CD512" w14:textId="77777777" w:rsidR="00404321" w:rsidRDefault="00404321" w:rsidP="00EC3165">
            <w:pPr>
              <w:spacing w:line="240" w:lineRule="auto"/>
            </w:pPr>
            <w:r>
              <w:rPr>
                <w:rFonts w:cs="Calibri"/>
              </w:rPr>
              <w:t>18.09.20</w:t>
            </w:r>
          </w:p>
        </w:tc>
        <w:tc>
          <w:tcPr>
            <w:tcW w:w="1276" w:type="dxa"/>
            <w:tcBorders>
              <w:top w:val="single" w:sz="4" w:space="0" w:color="999999"/>
              <w:left w:val="single" w:sz="4" w:space="0" w:color="999999"/>
              <w:bottom w:val="single" w:sz="4" w:space="0" w:color="999999"/>
              <w:right w:val="single" w:sz="4" w:space="0" w:color="999999"/>
            </w:tcBorders>
          </w:tcPr>
          <w:p w14:paraId="56A714B7" w14:textId="77777777" w:rsidR="00404321" w:rsidRDefault="00E724FA" w:rsidP="00EC3165">
            <w:pPr>
              <w:spacing w:line="240" w:lineRule="auto"/>
              <w:rPr>
                <w:rFonts w:cs="Calibri"/>
              </w:rPr>
            </w:pPr>
            <w:r>
              <w:rPr>
                <w:rFonts w:cs="Calibri"/>
              </w:rPr>
              <w:t>45</w:t>
            </w:r>
          </w:p>
        </w:tc>
        <w:tc>
          <w:tcPr>
            <w:tcW w:w="2409" w:type="dxa"/>
            <w:tcBorders>
              <w:top w:val="single" w:sz="4" w:space="0" w:color="999999"/>
              <w:left w:val="single" w:sz="4" w:space="0" w:color="999999"/>
              <w:bottom w:val="single" w:sz="4" w:space="0" w:color="999999"/>
              <w:right w:val="single" w:sz="4" w:space="0" w:color="999999"/>
            </w:tcBorders>
          </w:tcPr>
          <w:p w14:paraId="62D29003" w14:textId="77777777" w:rsidR="00404321" w:rsidRDefault="00404321" w:rsidP="00EC3165">
            <w:pPr>
              <w:spacing w:line="240" w:lineRule="auto"/>
            </w:pPr>
            <w:r>
              <w:rPr>
                <w:rFonts w:cs="Calibri"/>
              </w:rPr>
              <w:t>Social distancing (rule of 6)</w:t>
            </w:r>
          </w:p>
        </w:tc>
      </w:tr>
      <w:tr w:rsidR="00404321" w14:paraId="018C2A4B"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675720F2"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1497CE9D"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1EDE29B0" w14:textId="77777777" w:rsidR="00404321" w:rsidRDefault="00404321" w:rsidP="00EC3165">
            <w:pPr>
              <w:spacing w:line="240" w:lineRule="auto"/>
            </w:pPr>
            <w:r>
              <w:rPr>
                <w:rFonts w:cs="Calibri"/>
              </w:rPr>
              <w:t>30.09.20</w:t>
            </w:r>
          </w:p>
        </w:tc>
        <w:tc>
          <w:tcPr>
            <w:tcW w:w="1276" w:type="dxa"/>
            <w:tcBorders>
              <w:top w:val="single" w:sz="4" w:space="0" w:color="999999"/>
              <w:left w:val="single" w:sz="4" w:space="0" w:color="999999"/>
              <w:bottom w:val="single" w:sz="4" w:space="0" w:color="999999"/>
              <w:right w:val="single" w:sz="4" w:space="0" w:color="999999"/>
            </w:tcBorders>
          </w:tcPr>
          <w:p w14:paraId="4BF217CF" w14:textId="77777777" w:rsidR="00404321" w:rsidRDefault="00E724FA" w:rsidP="00EC3165">
            <w:pPr>
              <w:spacing w:line="240" w:lineRule="auto"/>
              <w:rPr>
                <w:rFonts w:cs="Calibri"/>
              </w:rPr>
            </w:pPr>
            <w:r>
              <w:rPr>
                <w:rFonts w:cs="Calibri"/>
              </w:rPr>
              <w:t>22</w:t>
            </w:r>
          </w:p>
        </w:tc>
        <w:tc>
          <w:tcPr>
            <w:tcW w:w="2409" w:type="dxa"/>
            <w:tcBorders>
              <w:top w:val="single" w:sz="4" w:space="0" w:color="999999"/>
              <w:left w:val="single" w:sz="4" w:space="0" w:color="999999"/>
              <w:bottom w:val="single" w:sz="4" w:space="0" w:color="999999"/>
              <w:right w:val="single" w:sz="4" w:space="0" w:color="999999"/>
            </w:tcBorders>
          </w:tcPr>
          <w:p w14:paraId="218835FF" w14:textId="77777777" w:rsidR="00404321" w:rsidRDefault="00404321" w:rsidP="00EC3165">
            <w:pPr>
              <w:spacing w:line="240" w:lineRule="auto"/>
            </w:pPr>
            <w:r>
              <w:rPr>
                <w:rFonts w:cs="Calibri"/>
              </w:rPr>
              <w:t>Social distancing (rule of 6)</w:t>
            </w:r>
          </w:p>
        </w:tc>
      </w:tr>
      <w:tr w:rsidR="00404321" w14:paraId="699FCB9A"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793F2AA0"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075342DA"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2038547A" w14:textId="77777777" w:rsidR="00404321" w:rsidRDefault="00404321" w:rsidP="00EC3165">
            <w:pPr>
              <w:spacing w:line="240" w:lineRule="auto"/>
            </w:pPr>
            <w:r>
              <w:rPr>
                <w:rFonts w:cs="Calibri"/>
              </w:rPr>
              <w:t>08.10.20</w:t>
            </w:r>
          </w:p>
        </w:tc>
        <w:tc>
          <w:tcPr>
            <w:tcW w:w="1276" w:type="dxa"/>
            <w:tcBorders>
              <w:top w:val="single" w:sz="4" w:space="0" w:color="999999"/>
              <w:left w:val="single" w:sz="4" w:space="0" w:color="999999"/>
              <w:bottom w:val="single" w:sz="4" w:space="0" w:color="999999"/>
              <w:right w:val="single" w:sz="4" w:space="0" w:color="999999"/>
            </w:tcBorders>
          </w:tcPr>
          <w:p w14:paraId="2C0D9766" w14:textId="77777777" w:rsidR="00404321" w:rsidRDefault="00E724FA" w:rsidP="00EC3165">
            <w:pPr>
              <w:spacing w:line="240" w:lineRule="auto"/>
              <w:rPr>
                <w:rFonts w:cs="Calibri"/>
              </w:rPr>
            </w:pPr>
            <w:r>
              <w:rPr>
                <w:rFonts w:cs="Calibri"/>
              </w:rPr>
              <w:t>11</w:t>
            </w:r>
          </w:p>
        </w:tc>
        <w:tc>
          <w:tcPr>
            <w:tcW w:w="2409" w:type="dxa"/>
            <w:tcBorders>
              <w:top w:val="single" w:sz="4" w:space="0" w:color="999999"/>
              <w:left w:val="single" w:sz="4" w:space="0" w:color="999999"/>
              <w:bottom w:val="single" w:sz="4" w:space="0" w:color="999999"/>
              <w:right w:val="single" w:sz="4" w:space="0" w:color="999999"/>
            </w:tcBorders>
          </w:tcPr>
          <w:p w14:paraId="2075FE0C" w14:textId="77777777" w:rsidR="00404321" w:rsidRDefault="00404321" w:rsidP="00EC3165">
            <w:pPr>
              <w:spacing w:line="240" w:lineRule="auto"/>
            </w:pPr>
            <w:r>
              <w:rPr>
                <w:rFonts w:cs="Calibri"/>
              </w:rPr>
              <w:t>Social distancing (rule of 6)</w:t>
            </w:r>
          </w:p>
        </w:tc>
      </w:tr>
      <w:tr w:rsidR="00404321" w14:paraId="2297060A"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3252CA75"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2D2DB97B"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4E316864" w14:textId="77777777" w:rsidR="00404321" w:rsidRDefault="00404321" w:rsidP="00EC3165">
            <w:pPr>
              <w:spacing w:line="240" w:lineRule="auto"/>
            </w:pPr>
            <w:r>
              <w:rPr>
                <w:rFonts w:cs="Calibri"/>
              </w:rPr>
              <w:t>23.11.20</w:t>
            </w:r>
          </w:p>
        </w:tc>
        <w:tc>
          <w:tcPr>
            <w:tcW w:w="1276" w:type="dxa"/>
            <w:tcBorders>
              <w:top w:val="single" w:sz="4" w:space="0" w:color="999999"/>
              <w:left w:val="single" w:sz="4" w:space="0" w:color="999999"/>
              <w:bottom w:val="single" w:sz="4" w:space="0" w:color="999999"/>
              <w:right w:val="single" w:sz="4" w:space="0" w:color="999999"/>
            </w:tcBorders>
          </w:tcPr>
          <w:p w14:paraId="587EB3D2" w14:textId="77777777" w:rsidR="00404321" w:rsidRDefault="00E724FA" w:rsidP="00EC3165">
            <w:pPr>
              <w:spacing w:line="240" w:lineRule="auto"/>
              <w:rPr>
                <w:rFonts w:cs="Calibri"/>
              </w:rPr>
            </w:pPr>
            <w:r>
              <w:rPr>
                <w:rFonts w:cs="Calibri"/>
              </w:rPr>
              <w:t>26</w:t>
            </w:r>
          </w:p>
        </w:tc>
        <w:tc>
          <w:tcPr>
            <w:tcW w:w="2409" w:type="dxa"/>
            <w:tcBorders>
              <w:top w:val="single" w:sz="4" w:space="0" w:color="999999"/>
              <w:left w:val="single" w:sz="4" w:space="0" w:color="999999"/>
              <w:bottom w:val="single" w:sz="4" w:space="0" w:color="999999"/>
              <w:right w:val="single" w:sz="4" w:space="0" w:color="999999"/>
            </w:tcBorders>
          </w:tcPr>
          <w:p w14:paraId="0FC563EC" w14:textId="77777777" w:rsidR="00404321" w:rsidRDefault="00404321" w:rsidP="00EC3165">
            <w:pPr>
              <w:spacing w:line="240" w:lineRule="auto"/>
            </w:pPr>
            <w:r>
              <w:rPr>
                <w:rFonts w:cs="Calibri"/>
              </w:rPr>
              <w:t>Lockdown 2</w:t>
            </w:r>
          </w:p>
        </w:tc>
      </w:tr>
      <w:tr w:rsidR="00404321" w14:paraId="1DF8B0C9"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16CF750B"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2FC9DE72"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6E677EC6" w14:textId="77777777" w:rsidR="00404321" w:rsidRDefault="00404321" w:rsidP="00EC3165">
            <w:pPr>
              <w:spacing w:line="240" w:lineRule="auto"/>
            </w:pPr>
            <w:r>
              <w:rPr>
                <w:rFonts w:cs="Calibri"/>
              </w:rPr>
              <w:t>21.04.21</w:t>
            </w:r>
          </w:p>
        </w:tc>
        <w:tc>
          <w:tcPr>
            <w:tcW w:w="1276" w:type="dxa"/>
            <w:tcBorders>
              <w:top w:val="single" w:sz="4" w:space="0" w:color="999999"/>
              <w:left w:val="single" w:sz="4" w:space="0" w:color="999999"/>
              <w:bottom w:val="single" w:sz="4" w:space="0" w:color="999999"/>
              <w:right w:val="single" w:sz="4" w:space="0" w:color="999999"/>
            </w:tcBorders>
          </w:tcPr>
          <w:p w14:paraId="13775716" w14:textId="77777777" w:rsidR="00404321" w:rsidRDefault="00D07A75" w:rsidP="00EC3165">
            <w:pPr>
              <w:spacing w:line="240" w:lineRule="auto"/>
              <w:rPr>
                <w:rFonts w:cs="Calibri"/>
              </w:rPr>
            </w:pPr>
            <w:r>
              <w:rPr>
                <w:rFonts w:cs="Calibri"/>
              </w:rPr>
              <w:t>40</w:t>
            </w:r>
          </w:p>
        </w:tc>
        <w:tc>
          <w:tcPr>
            <w:tcW w:w="2409" w:type="dxa"/>
            <w:tcBorders>
              <w:top w:val="single" w:sz="4" w:space="0" w:color="999999"/>
              <w:left w:val="single" w:sz="4" w:space="0" w:color="999999"/>
              <w:bottom w:val="single" w:sz="4" w:space="0" w:color="999999"/>
              <w:right w:val="single" w:sz="4" w:space="0" w:color="999999"/>
            </w:tcBorders>
          </w:tcPr>
          <w:p w14:paraId="6454A2DC" w14:textId="77777777" w:rsidR="00404321" w:rsidRDefault="00404321" w:rsidP="00EC3165">
            <w:pPr>
              <w:spacing w:line="240" w:lineRule="auto"/>
            </w:pPr>
            <w:r>
              <w:rPr>
                <w:rFonts w:cs="Calibri"/>
              </w:rPr>
              <w:t>Leaving lockdown</w:t>
            </w:r>
          </w:p>
        </w:tc>
      </w:tr>
      <w:tr w:rsidR="00404321" w14:paraId="7B6788A2"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68A2C0D8"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46CD16A7"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44EAEBFE" w14:textId="77777777" w:rsidR="00404321" w:rsidRDefault="00404321" w:rsidP="00EC3165">
            <w:pPr>
              <w:spacing w:line="240" w:lineRule="auto"/>
            </w:pPr>
            <w:r>
              <w:rPr>
                <w:rFonts w:cs="Calibri"/>
              </w:rPr>
              <w:t>22.09.21</w:t>
            </w:r>
          </w:p>
        </w:tc>
        <w:tc>
          <w:tcPr>
            <w:tcW w:w="1276" w:type="dxa"/>
            <w:tcBorders>
              <w:top w:val="single" w:sz="4" w:space="0" w:color="999999"/>
              <w:left w:val="single" w:sz="4" w:space="0" w:color="999999"/>
              <w:bottom w:val="single" w:sz="4" w:space="0" w:color="999999"/>
              <w:right w:val="single" w:sz="4" w:space="0" w:color="999999"/>
            </w:tcBorders>
          </w:tcPr>
          <w:p w14:paraId="036C5BA0" w14:textId="77777777" w:rsidR="00404321" w:rsidRDefault="00D07A75" w:rsidP="00EC3165">
            <w:pPr>
              <w:spacing w:line="240" w:lineRule="auto"/>
              <w:rPr>
                <w:rFonts w:cs="Calibri"/>
              </w:rPr>
            </w:pPr>
            <w:r>
              <w:rPr>
                <w:rFonts w:cs="Calibri"/>
              </w:rPr>
              <w:t>33</w:t>
            </w:r>
          </w:p>
        </w:tc>
        <w:tc>
          <w:tcPr>
            <w:tcW w:w="2409" w:type="dxa"/>
            <w:tcBorders>
              <w:top w:val="single" w:sz="4" w:space="0" w:color="999999"/>
              <w:left w:val="single" w:sz="4" w:space="0" w:color="999999"/>
              <w:bottom w:val="single" w:sz="4" w:space="0" w:color="999999"/>
              <w:right w:val="single" w:sz="4" w:space="0" w:color="999999"/>
            </w:tcBorders>
          </w:tcPr>
          <w:p w14:paraId="6F03AF43" w14:textId="77777777" w:rsidR="00404321" w:rsidRDefault="00404321" w:rsidP="00EC3165">
            <w:pPr>
              <w:spacing w:line="240" w:lineRule="auto"/>
            </w:pPr>
            <w:r>
              <w:rPr>
                <w:rFonts w:cs="Calibri"/>
              </w:rPr>
              <w:t>Restriction ended</w:t>
            </w:r>
          </w:p>
        </w:tc>
      </w:tr>
      <w:tr w:rsidR="00404321" w14:paraId="692FA6F7"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4DF1B340" w14:textId="77777777" w:rsidR="00404321" w:rsidRDefault="00404321" w:rsidP="00EC3165">
            <w:pPr>
              <w:spacing w:line="240" w:lineRule="auto"/>
            </w:pPr>
          </w:p>
        </w:tc>
        <w:tc>
          <w:tcPr>
            <w:tcW w:w="2580" w:type="dxa"/>
            <w:vMerge w:val="restart"/>
            <w:tcBorders>
              <w:top w:val="single" w:sz="4" w:space="0" w:color="999999"/>
              <w:left w:val="single" w:sz="4" w:space="0" w:color="999999"/>
              <w:bottom w:val="single" w:sz="4" w:space="0" w:color="999999"/>
              <w:right w:val="single" w:sz="4" w:space="0" w:color="999999"/>
            </w:tcBorders>
          </w:tcPr>
          <w:p w14:paraId="4C767697" w14:textId="77777777" w:rsidR="00404321" w:rsidRDefault="00404321" w:rsidP="00EC3165">
            <w:pPr>
              <w:spacing w:line="240" w:lineRule="auto"/>
            </w:pPr>
            <w:r>
              <w:rPr>
                <w:rFonts w:cs="Calibri"/>
              </w:rPr>
              <w:t>Progress meeting (SM + supervisors)</w:t>
            </w:r>
          </w:p>
        </w:tc>
        <w:tc>
          <w:tcPr>
            <w:tcW w:w="1276" w:type="dxa"/>
            <w:tcBorders>
              <w:top w:val="single" w:sz="4" w:space="0" w:color="999999"/>
              <w:left w:val="single" w:sz="4" w:space="0" w:color="999999"/>
              <w:bottom w:val="single" w:sz="4" w:space="0" w:color="999999"/>
              <w:right w:val="single" w:sz="4" w:space="0" w:color="999999"/>
            </w:tcBorders>
          </w:tcPr>
          <w:p w14:paraId="77B05E9C" w14:textId="77777777" w:rsidR="00404321" w:rsidRDefault="00404321" w:rsidP="00EC3165">
            <w:pPr>
              <w:spacing w:line="240" w:lineRule="auto"/>
            </w:pPr>
            <w:r>
              <w:rPr>
                <w:rFonts w:cs="Calibri"/>
              </w:rPr>
              <w:t>2019</w:t>
            </w:r>
          </w:p>
        </w:tc>
        <w:tc>
          <w:tcPr>
            <w:tcW w:w="1276" w:type="dxa"/>
            <w:tcBorders>
              <w:top w:val="single" w:sz="4" w:space="0" w:color="999999"/>
              <w:left w:val="single" w:sz="4" w:space="0" w:color="999999"/>
              <w:bottom w:val="single" w:sz="4" w:space="0" w:color="999999"/>
              <w:right w:val="single" w:sz="4" w:space="0" w:color="999999"/>
            </w:tcBorders>
          </w:tcPr>
          <w:p w14:paraId="442A8C1F" w14:textId="77777777" w:rsidR="00404321" w:rsidRDefault="00E724FA" w:rsidP="00EC3165">
            <w:pPr>
              <w:spacing w:line="240" w:lineRule="auto"/>
              <w:rPr>
                <w:rFonts w:cs="Calibri"/>
              </w:rPr>
            </w:pPr>
            <w:r>
              <w:rPr>
                <w:rFonts w:cs="Calibri"/>
              </w:rPr>
              <w:t>66</w:t>
            </w:r>
          </w:p>
        </w:tc>
        <w:tc>
          <w:tcPr>
            <w:tcW w:w="2409" w:type="dxa"/>
            <w:tcBorders>
              <w:top w:val="single" w:sz="4" w:space="0" w:color="999999"/>
              <w:left w:val="single" w:sz="4" w:space="0" w:color="999999"/>
              <w:bottom w:val="single" w:sz="4" w:space="0" w:color="999999"/>
              <w:right w:val="single" w:sz="4" w:space="0" w:color="999999"/>
            </w:tcBorders>
          </w:tcPr>
          <w:p w14:paraId="2F4E4812" w14:textId="77777777" w:rsidR="00404321" w:rsidRDefault="00404321" w:rsidP="00EC3165">
            <w:pPr>
              <w:spacing w:line="240" w:lineRule="auto"/>
            </w:pPr>
            <w:r>
              <w:rPr>
                <w:rFonts w:cs="Calibri"/>
              </w:rPr>
              <w:t>Prior to COVID-19</w:t>
            </w:r>
          </w:p>
        </w:tc>
      </w:tr>
      <w:tr w:rsidR="00404321" w14:paraId="2A5F925E"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6425360F" w14:textId="77777777" w:rsidR="00404321" w:rsidRDefault="00404321" w:rsidP="00EC3165">
            <w:pPr>
              <w:spacing w:line="240" w:lineRule="auto"/>
            </w:pPr>
          </w:p>
        </w:tc>
        <w:tc>
          <w:tcPr>
            <w:tcW w:w="2580" w:type="dxa"/>
            <w:vMerge/>
            <w:tcBorders>
              <w:top w:val="single" w:sz="4" w:space="0" w:color="999999"/>
              <w:left w:val="single" w:sz="4" w:space="0" w:color="999999"/>
              <w:bottom w:val="single" w:sz="4" w:space="0" w:color="999999"/>
              <w:right w:val="single" w:sz="4" w:space="0" w:color="999999"/>
            </w:tcBorders>
          </w:tcPr>
          <w:p w14:paraId="0297BF9C" w14:textId="77777777" w:rsidR="00404321" w:rsidRDefault="00404321" w:rsidP="00EC3165">
            <w:pPr>
              <w:spacing w:line="240" w:lineRule="auto"/>
            </w:pPr>
          </w:p>
        </w:tc>
        <w:tc>
          <w:tcPr>
            <w:tcW w:w="1276" w:type="dxa"/>
            <w:tcBorders>
              <w:top w:val="single" w:sz="4" w:space="0" w:color="999999"/>
              <w:left w:val="single" w:sz="4" w:space="0" w:color="999999"/>
              <w:bottom w:val="single" w:sz="4" w:space="0" w:color="999999"/>
              <w:right w:val="single" w:sz="4" w:space="0" w:color="999999"/>
            </w:tcBorders>
          </w:tcPr>
          <w:p w14:paraId="129E7534" w14:textId="77777777" w:rsidR="00404321" w:rsidRDefault="00404321" w:rsidP="00EC3165">
            <w:pPr>
              <w:spacing w:line="240" w:lineRule="auto"/>
            </w:pPr>
            <w:r>
              <w:rPr>
                <w:rFonts w:cs="Calibri"/>
              </w:rPr>
              <w:t>2020</w:t>
            </w:r>
          </w:p>
        </w:tc>
        <w:tc>
          <w:tcPr>
            <w:tcW w:w="1276" w:type="dxa"/>
            <w:tcBorders>
              <w:top w:val="single" w:sz="4" w:space="0" w:color="999999"/>
              <w:left w:val="single" w:sz="4" w:space="0" w:color="999999"/>
              <w:bottom w:val="single" w:sz="4" w:space="0" w:color="999999"/>
              <w:right w:val="single" w:sz="4" w:space="0" w:color="999999"/>
            </w:tcBorders>
          </w:tcPr>
          <w:p w14:paraId="640301D7" w14:textId="77777777" w:rsidR="00404321" w:rsidRDefault="00E724FA" w:rsidP="00EC3165">
            <w:pPr>
              <w:spacing w:line="240" w:lineRule="auto"/>
              <w:rPr>
                <w:rFonts w:cs="Calibri"/>
              </w:rPr>
            </w:pPr>
            <w:r>
              <w:rPr>
                <w:rFonts w:cs="Calibri"/>
              </w:rPr>
              <w:t>43</w:t>
            </w:r>
          </w:p>
        </w:tc>
        <w:tc>
          <w:tcPr>
            <w:tcW w:w="2409" w:type="dxa"/>
            <w:tcBorders>
              <w:top w:val="single" w:sz="4" w:space="0" w:color="999999"/>
              <w:left w:val="single" w:sz="4" w:space="0" w:color="999999"/>
              <w:bottom w:val="single" w:sz="4" w:space="0" w:color="999999"/>
              <w:right w:val="single" w:sz="4" w:space="0" w:color="999999"/>
            </w:tcBorders>
          </w:tcPr>
          <w:p w14:paraId="626A7D8E" w14:textId="77777777" w:rsidR="00404321" w:rsidRDefault="00404321" w:rsidP="00EC3165">
            <w:pPr>
              <w:spacing w:line="240" w:lineRule="auto"/>
            </w:pPr>
            <w:r>
              <w:rPr>
                <w:rFonts w:cs="Calibri"/>
              </w:rPr>
              <w:t>Prior to COVID-19</w:t>
            </w:r>
          </w:p>
        </w:tc>
      </w:tr>
      <w:tr w:rsidR="00404321" w14:paraId="2CD8AD44" w14:textId="77777777" w:rsidTr="00A0151B">
        <w:tc>
          <w:tcPr>
            <w:tcW w:w="1413" w:type="dxa"/>
            <w:tcBorders>
              <w:top w:val="single" w:sz="4" w:space="0" w:color="999999"/>
              <w:left w:val="single" w:sz="4" w:space="0" w:color="999999"/>
              <w:bottom w:val="single" w:sz="4" w:space="0" w:color="999999"/>
              <w:right w:val="single" w:sz="4" w:space="0" w:color="999999"/>
            </w:tcBorders>
          </w:tcPr>
          <w:p w14:paraId="2F7EFB90" w14:textId="77777777" w:rsidR="00404321" w:rsidRDefault="00404321" w:rsidP="00EC3165">
            <w:pPr>
              <w:spacing w:line="240" w:lineRule="auto"/>
            </w:pPr>
            <w:r>
              <w:rPr>
                <w:rFonts w:cs="Calibri"/>
                <w:b/>
              </w:rPr>
              <w:t>High Risk Community</w:t>
            </w:r>
          </w:p>
        </w:tc>
        <w:tc>
          <w:tcPr>
            <w:tcW w:w="2580" w:type="dxa"/>
            <w:tcBorders>
              <w:top w:val="single" w:sz="4" w:space="0" w:color="999999"/>
              <w:left w:val="single" w:sz="4" w:space="0" w:color="999999"/>
              <w:bottom w:val="single" w:sz="4" w:space="0" w:color="999999"/>
              <w:right w:val="single" w:sz="4" w:space="0" w:color="999999"/>
            </w:tcBorders>
          </w:tcPr>
          <w:p w14:paraId="35858DDE" w14:textId="77777777" w:rsidR="00404321" w:rsidRDefault="00404321" w:rsidP="00EC3165">
            <w:pPr>
              <w:spacing w:line="240" w:lineRule="auto"/>
            </w:pPr>
            <w:r>
              <w:rPr>
                <w:rFonts w:cs="Calibri"/>
              </w:rPr>
              <w:t>Community workshop</w:t>
            </w:r>
          </w:p>
        </w:tc>
        <w:tc>
          <w:tcPr>
            <w:tcW w:w="1276" w:type="dxa"/>
            <w:tcBorders>
              <w:top w:val="single" w:sz="4" w:space="0" w:color="999999"/>
              <w:left w:val="single" w:sz="4" w:space="0" w:color="999999"/>
              <w:bottom w:val="single" w:sz="4" w:space="0" w:color="999999"/>
              <w:right w:val="single" w:sz="4" w:space="0" w:color="999999"/>
            </w:tcBorders>
          </w:tcPr>
          <w:p w14:paraId="5FA04D38" w14:textId="77777777" w:rsidR="00404321" w:rsidRDefault="00404321" w:rsidP="00EC3165">
            <w:pPr>
              <w:spacing w:line="240" w:lineRule="auto"/>
            </w:pPr>
            <w:r>
              <w:rPr>
                <w:rFonts w:cs="Calibri"/>
              </w:rPr>
              <w:t>24.06.21</w:t>
            </w:r>
          </w:p>
        </w:tc>
        <w:tc>
          <w:tcPr>
            <w:tcW w:w="1276" w:type="dxa"/>
            <w:tcBorders>
              <w:top w:val="single" w:sz="4" w:space="0" w:color="999999"/>
              <w:left w:val="single" w:sz="4" w:space="0" w:color="999999"/>
              <w:bottom w:val="single" w:sz="4" w:space="0" w:color="999999"/>
              <w:right w:val="single" w:sz="4" w:space="0" w:color="999999"/>
            </w:tcBorders>
          </w:tcPr>
          <w:p w14:paraId="23BF59CD" w14:textId="77777777" w:rsidR="00404321" w:rsidRDefault="00D42CFC" w:rsidP="00EC3165">
            <w:pPr>
              <w:spacing w:line="240" w:lineRule="auto"/>
              <w:rPr>
                <w:rFonts w:cs="Calibri"/>
              </w:rPr>
            </w:pPr>
            <w:r>
              <w:rPr>
                <w:rFonts w:cs="Calibri"/>
              </w:rPr>
              <w:t>74</w:t>
            </w:r>
          </w:p>
        </w:tc>
        <w:tc>
          <w:tcPr>
            <w:tcW w:w="2409" w:type="dxa"/>
            <w:tcBorders>
              <w:top w:val="single" w:sz="4" w:space="0" w:color="999999"/>
              <w:left w:val="single" w:sz="4" w:space="0" w:color="999999"/>
              <w:bottom w:val="single" w:sz="4" w:space="0" w:color="999999"/>
              <w:right w:val="single" w:sz="4" w:space="0" w:color="999999"/>
            </w:tcBorders>
          </w:tcPr>
          <w:p w14:paraId="7EE4DBFE" w14:textId="77777777" w:rsidR="00404321" w:rsidRDefault="00404321" w:rsidP="00EC3165">
            <w:pPr>
              <w:spacing w:line="240" w:lineRule="auto"/>
            </w:pPr>
            <w:r>
              <w:rPr>
                <w:rFonts w:cs="Calibri"/>
              </w:rPr>
              <w:t>Leaving lockdown</w:t>
            </w:r>
          </w:p>
        </w:tc>
      </w:tr>
      <w:tr w:rsidR="00404321" w14:paraId="60401A7C" w14:textId="77777777" w:rsidTr="00A0151B">
        <w:tc>
          <w:tcPr>
            <w:tcW w:w="1413" w:type="dxa"/>
            <w:vMerge w:val="restart"/>
            <w:tcBorders>
              <w:top w:val="single" w:sz="4" w:space="0" w:color="999999"/>
              <w:left w:val="single" w:sz="4" w:space="0" w:color="999999"/>
              <w:bottom w:val="single" w:sz="4" w:space="0" w:color="999999"/>
              <w:right w:val="single" w:sz="4" w:space="0" w:color="999999"/>
            </w:tcBorders>
          </w:tcPr>
          <w:p w14:paraId="0F7BC546" w14:textId="77777777" w:rsidR="00404321" w:rsidRDefault="00404321" w:rsidP="00EC3165">
            <w:pPr>
              <w:spacing w:line="240" w:lineRule="auto"/>
            </w:pPr>
            <w:r>
              <w:rPr>
                <w:rFonts w:cs="Calibri"/>
                <w:b/>
              </w:rPr>
              <w:t>Low Risk Community</w:t>
            </w:r>
          </w:p>
        </w:tc>
        <w:tc>
          <w:tcPr>
            <w:tcW w:w="2580" w:type="dxa"/>
            <w:tcBorders>
              <w:top w:val="single" w:sz="4" w:space="0" w:color="999999"/>
              <w:left w:val="single" w:sz="4" w:space="0" w:color="999999"/>
              <w:bottom w:val="single" w:sz="4" w:space="0" w:color="999999"/>
              <w:right w:val="single" w:sz="4" w:space="0" w:color="999999"/>
            </w:tcBorders>
          </w:tcPr>
          <w:p w14:paraId="1A4BD16B" w14:textId="77777777" w:rsidR="00404321" w:rsidRDefault="00404321" w:rsidP="00EC3165">
            <w:pPr>
              <w:spacing w:line="240" w:lineRule="auto"/>
            </w:pPr>
            <w:r>
              <w:rPr>
                <w:rFonts w:cs="Calibri"/>
              </w:rPr>
              <w:t>Community member interview</w:t>
            </w:r>
          </w:p>
        </w:tc>
        <w:tc>
          <w:tcPr>
            <w:tcW w:w="1276" w:type="dxa"/>
            <w:tcBorders>
              <w:top w:val="single" w:sz="4" w:space="0" w:color="999999"/>
              <w:left w:val="single" w:sz="4" w:space="0" w:color="999999"/>
              <w:bottom w:val="single" w:sz="4" w:space="0" w:color="999999"/>
              <w:right w:val="single" w:sz="4" w:space="0" w:color="999999"/>
            </w:tcBorders>
          </w:tcPr>
          <w:p w14:paraId="69ADB82E" w14:textId="77777777" w:rsidR="00404321" w:rsidRDefault="00404321" w:rsidP="00EC3165">
            <w:pPr>
              <w:spacing w:line="240" w:lineRule="auto"/>
            </w:pPr>
            <w:r>
              <w:rPr>
                <w:rFonts w:cs="Calibri"/>
              </w:rPr>
              <w:t>01.11.21</w:t>
            </w:r>
          </w:p>
        </w:tc>
        <w:tc>
          <w:tcPr>
            <w:tcW w:w="1276" w:type="dxa"/>
            <w:tcBorders>
              <w:top w:val="single" w:sz="4" w:space="0" w:color="999999"/>
              <w:left w:val="single" w:sz="4" w:space="0" w:color="999999"/>
              <w:bottom w:val="single" w:sz="4" w:space="0" w:color="999999"/>
              <w:right w:val="single" w:sz="4" w:space="0" w:color="999999"/>
            </w:tcBorders>
          </w:tcPr>
          <w:p w14:paraId="487FB366" w14:textId="77777777" w:rsidR="00404321" w:rsidRDefault="00D42CFC" w:rsidP="00EC3165">
            <w:pPr>
              <w:spacing w:line="240" w:lineRule="auto"/>
              <w:rPr>
                <w:rFonts w:cs="Calibri"/>
              </w:rPr>
            </w:pPr>
            <w:r>
              <w:rPr>
                <w:rFonts w:cs="Calibri"/>
              </w:rPr>
              <w:t>49</w:t>
            </w:r>
          </w:p>
        </w:tc>
        <w:tc>
          <w:tcPr>
            <w:tcW w:w="2409" w:type="dxa"/>
            <w:tcBorders>
              <w:top w:val="single" w:sz="4" w:space="0" w:color="999999"/>
              <w:left w:val="single" w:sz="4" w:space="0" w:color="999999"/>
              <w:bottom w:val="single" w:sz="4" w:space="0" w:color="999999"/>
              <w:right w:val="single" w:sz="4" w:space="0" w:color="999999"/>
            </w:tcBorders>
          </w:tcPr>
          <w:p w14:paraId="66121F1A" w14:textId="77777777" w:rsidR="00404321" w:rsidRDefault="00404321" w:rsidP="00EC3165">
            <w:pPr>
              <w:spacing w:line="240" w:lineRule="auto"/>
            </w:pPr>
            <w:r>
              <w:rPr>
                <w:rFonts w:cs="Calibri"/>
              </w:rPr>
              <w:t>Restriction ended</w:t>
            </w:r>
          </w:p>
        </w:tc>
      </w:tr>
      <w:tr w:rsidR="00404321" w14:paraId="29506D28" w14:textId="77777777" w:rsidTr="00A0151B">
        <w:tc>
          <w:tcPr>
            <w:tcW w:w="1413" w:type="dxa"/>
            <w:vMerge/>
            <w:tcBorders>
              <w:top w:val="single" w:sz="4" w:space="0" w:color="999999"/>
              <w:left w:val="single" w:sz="4" w:space="0" w:color="999999"/>
              <w:bottom w:val="single" w:sz="4" w:space="0" w:color="999999"/>
              <w:right w:val="single" w:sz="4" w:space="0" w:color="999999"/>
            </w:tcBorders>
          </w:tcPr>
          <w:p w14:paraId="1644F26C" w14:textId="77777777" w:rsidR="00404321" w:rsidRDefault="00404321" w:rsidP="00EC3165">
            <w:pPr>
              <w:spacing w:line="240" w:lineRule="auto"/>
            </w:pPr>
          </w:p>
        </w:tc>
        <w:tc>
          <w:tcPr>
            <w:tcW w:w="2580" w:type="dxa"/>
            <w:tcBorders>
              <w:top w:val="single" w:sz="4" w:space="0" w:color="999999"/>
              <w:left w:val="single" w:sz="4" w:space="0" w:color="999999"/>
              <w:bottom w:val="single" w:sz="4" w:space="0" w:color="999999"/>
              <w:right w:val="single" w:sz="4" w:space="0" w:color="999999"/>
            </w:tcBorders>
          </w:tcPr>
          <w:p w14:paraId="6E14D7DF" w14:textId="77777777" w:rsidR="00404321" w:rsidRDefault="00404321" w:rsidP="00EC3165">
            <w:pPr>
              <w:spacing w:line="240" w:lineRule="auto"/>
            </w:pPr>
            <w:r>
              <w:rPr>
                <w:rFonts w:cs="Calibri"/>
              </w:rPr>
              <w:t>Community workshop</w:t>
            </w:r>
          </w:p>
        </w:tc>
        <w:tc>
          <w:tcPr>
            <w:tcW w:w="1276" w:type="dxa"/>
            <w:tcBorders>
              <w:top w:val="single" w:sz="4" w:space="0" w:color="999999"/>
              <w:left w:val="single" w:sz="4" w:space="0" w:color="999999"/>
              <w:bottom w:val="single" w:sz="4" w:space="0" w:color="999999"/>
              <w:right w:val="single" w:sz="4" w:space="0" w:color="999999"/>
            </w:tcBorders>
          </w:tcPr>
          <w:p w14:paraId="30AA8085" w14:textId="77777777" w:rsidR="00404321" w:rsidRDefault="00404321" w:rsidP="00EC3165">
            <w:pPr>
              <w:spacing w:line="240" w:lineRule="auto"/>
            </w:pPr>
            <w:r>
              <w:rPr>
                <w:rFonts w:cs="Calibri"/>
              </w:rPr>
              <w:t>17.11.21</w:t>
            </w:r>
          </w:p>
        </w:tc>
        <w:tc>
          <w:tcPr>
            <w:tcW w:w="1276" w:type="dxa"/>
            <w:tcBorders>
              <w:top w:val="single" w:sz="4" w:space="0" w:color="999999"/>
              <w:left w:val="single" w:sz="4" w:space="0" w:color="999999"/>
              <w:bottom w:val="single" w:sz="4" w:space="0" w:color="999999"/>
              <w:right w:val="single" w:sz="4" w:space="0" w:color="999999"/>
            </w:tcBorders>
          </w:tcPr>
          <w:p w14:paraId="1811478F" w14:textId="77777777" w:rsidR="00404321" w:rsidRDefault="00D42CFC" w:rsidP="00EC3165">
            <w:pPr>
              <w:spacing w:line="240" w:lineRule="auto"/>
              <w:rPr>
                <w:rFonts w:cs="Calibri"/>
              </w:rPr>
            </w:pPr>
            <w:r>
              <w:rPr>
                <w:rFonts w:cs="Calibri"/>
              </w:rPr>
              <w:t>60</w:t>
            </w:r>
          </w:p>
        </w:tc>
        <w:tc>
          <w:tcPr>
            <w:tcW w:w="2409" w:type="dxa"/>
            <w:tcBorders>
              <w:top w:val="single" w:sz="4" w:space="0" w:color="999999"/>
              <w:left w:val="single" w:sz="4" w:space="0" w:color="999999"/>
              <w:bottom w:val="single" w:sz="4" w:space="0" w:color="999999"/>
              <w:right w:val="single" w:sz="4" w:space="0" w:color="999999"/>
            </w:tcBorders>
          </w:tcPr>
          <w:p w14:paraId="69F2F93C" w14:textId="77777777" w:rsidR="00404321" w:rsidRDefault="00404321" w:rsidP="00EC3165">
            <w:pPr>
              <w:spacing w:line="240" w:lineRule="auto"/>
            </w:pPr>
            <w:r>
              <w:rPr>
                <w:rFonts w:cs="Calibri"/>
              </w:rPr>
              <w:t>Restriction ended</w:t>
            </w:r>
          </w:p>
        </w:tc>
      </w:tr>
    </w:tbl>
    <w:p w14:paraId="0D7862C3" w14:textId="77777777" w:rsidR="00787F73" w:rsidRDefault="00742FB7" w:rsidP="00EC3165">
      <w:pPr>
        <w:pStyle w:val="Heading2"/>
        <w:spacing w:before="0" w:line="240" w:lineRule="auto"/>
      </w:pPr>
      <w:bookmarkStart w:id="1143" w:name="_Toc193367276"/>
      <w:r>
        <w:rPr>
          <w:rFonts w:ascii="Calibri" w:hAnsi="Calibri" w:cs="Calibri"/>
        </w:rPr>
        <w:lastRenderedPageBreak/>
        <w:t>Appendix 2: Information Sheet</w:t>
      </w:r>
      <w:bookmarkEnd w:id="1143"/>
    </w:p>
    <w:p w14:paraId="5E719467" w14:textId="77777777" w:rsidR="00787F73" w:rsidRDefault="00742FB7" w:rsidP="00EC3165">
      <w:pPr>
        <w:spacing w:line="240" w:lineRule="auto"/>
        <w:jc w:val="center"/>
      </w:pPr>
      <w:r>
        <w:rPr>
          <w:rFonts w:eastAsia="TUOS Blake" w:cs="Calibri"/>
          <w:b/>
          <w:color w:val="0099FF"/>
          <w:sz w:val="32"/>
          <w:szCs w:val="32"/>
        </w:rPr>
        <w:t>Participant Information Sheet</w:t>
      </w:r>
    </w:p>
    <w:p w14:paraId="46570AC9" w14:textId="77777777" w:rsidR="00787F73" w:rsidRDefault="00742FB7" w:rsidP="00EC3165">
      <w:pPr>
        <w:spacing w:line="240" w:lineRule="auto"/>
        <w:jc w:val="center"/>
      </w:pPr>
      <w:r>
        <w:rPr>
          <w:rFonts w:cs="Calibri"/>
          <w:color w:val="000000"/>
          <w:sz w:val="20"/>
          <w:szCs w:val="20"/>
        </w:rPr>
        <w:t>03.04.20</w:t>
      </w:r>
    </w:p>
    <w:p w14:paraId="144592EB" w14:textId="77777777" w:rsidR="00787F73" w:rsidRDefault="00787F73" w:rsidP="00EC3165">
      <w:pPr>
        <w:spacing w:line="240" w:lineRule="auto"/>
        <w:jc w:val="center"/>
        <w:rPr>
          <w:rFonts w:eastAsia="TUOS Blake" w:cs="Calibri"/>
        </w:rPr>
      </w:pPr>
    </w:p>
    <w:p w14:paraId="4C22094D" w14:textId="77777777" w:rsidR="00787F73" w:rsidRDefault="00742FB7" w:rsidP="00EC3165">
      <w:pPr>
        <w:numPr>
          <w:ilvl w:val="0"/>
          <w:numId w:val="21"/>
        </w:numPr>
        <w:spacing w:after="120" w:line="240" w:lineRule="auto"/>
        <w:jc w:val="both"/>
      </w:pPr>
      <w:r>
        <w:rPr>
          <w:rFonts w:eastAsia="TUOS Blake" w:cs="Calibri"/>
          <w:b/>
          <w:sz w:val="22"/>
          <w:szCs w:val="22"/>
        </w:rPr>
        <w:t xml:space="preserve">Research </w:t>
      </w:r>
      <w:r>
        <w:rPr>
          <w:rFonts w:eastAsia="TUOS Blake" w:cs="Calibri"/>
          <w:b/>
          <w:sz w:val="22"/>
          <w:szCs w:val="22"/>
          <w:highlight w:val="white"/>
        </w:rPr>
        <w:t>Project Title</w:t>
      </w:r>
    </w:p>
    <w:p w14:paraId="50CBB732" w14:textId="77777777" w:rsidR="00787F73" w:rsidRDefault="00742FB7" w:rsidP="00EC3165">
      <w:pPr>
        <w:spacing w:after="120" w:line="240" w:lineRule="auto"/>
        <w:jc w:val="both"/>
      </w:pPr>
      <w:r>
        <w:rPr>
          <w:rFonts w:eastAsia="TUOS Blake" w:cs="Calibri"/>
          <w:bCs/>
          <w:sz w:val="22"/>
          <w:szCs w:val="22"/>
        </w:rPr>
        <w:t>Social media and community disaster resilience: a process-based study of South Yorkshire Fire and Rescue.</w:t>
      </w:r>
    </w:p>
    <w:p w14:paraId="323FEC68" w14:textId="77777777" w:rsidR="00787F73" w:rsidRDefault="00787F73" w:rsidP="00EC3165">
      <w:pPr>
        <w:spacing w:line="240" w:lineRule="auto"/>
        <w:jc w:val="both"/>
        <w:rPr>
          <w:rFonts w:eastAsia="TUOS Blake" w:cs="Calibri"/>
          <w:sz w:val="22"/>
          <w:szCs w:val="22"/>
        </w:rPr>
      </w:pPr>
    </w:p>
    <w:p w14:paraId="595D1331" w14:textId="77777777" w:rsidR="00787F73" w:rsidRDefault="00742FB7" w:rsidP="00EC3165">
      <w:pPr>
        <w:numPr>
          <w:ilvl w:val="0"/>
          <w:numId w:val="22"/>
        </w:numPr>
        <w:spacing w:after="120" w:line="240" w:lineRule="auto"/>
        <w:jc w:val="both"/>
      </w:pPr>
      <w:r>
        <w:rPr>
          <w:rFonts w:eastAsia="TUOS Blake" w:cs="Calibri"/>
          <w:b/>
          <w:sz w:val="22"/>
          <w:szCs w:val="22"/>
          <w:highlight w:val="white"/>
        </w:rPr>
        <w:t>Invitation paragraph</w:t>
      </w:r>
    </w:p>
    <w:p w14:paraId="62B62E98" w14:textId="77777777" w:rsidR="00787F73" w:rsidRDefault="00742FB7" w:rsidP="00EC3165">
      <w:pPr>
        <w:spacing w:line="240" w:lineRule="auto"/>
      </w:pPr>
      <w:r>
        <w:rPr>
          <w:rFonts w:cs="Calibri"/>
          <w:sz w:val="22"/>
          <w:szCs w:val="22"/>
        </w:rPr>
        <w:t>You are invited to participate in a research study which looks at the role of social media in community disaster resilience. Before you decide whether to participate, it is important for you to understand why the research is being done and what it will involve. Please take time to read the following information carefully and feel free to ask me if you would like more information or if there is anything that you do not understand. I would like to stress that you do not have to accept this invitation and should only agree to take part if you want to.</w:t>
      </w:r>
    </w:p>
    <w:p w14:paraId="0226575D" w14:textId="77777777" w:rsidR="00787F73" w:rsidRDefault="00787F73" w:rsidP="00EC3165">
      <w:pPr>
        <w:spacing w:line="240" w:lineRule="auto"/>
        <w:rPr>
          <w:rFonts w:cs="Calibri"/>
          <w:i/>
          <w:sz w:val="22"/>
          <w:szCs w:val="22"/>
        </w:rPr>
      </w:pPr>
    </w:p>
    <w:p w14:paraId="13F22B9B" w14:textId="77777777" w:rsidR="00787F73" w:rsidRDefault="00742FB7" w:rsidP="00EC3165">
      <w:pPr>
        <w:spacing w:line="240" w:lineRule="auto"/>
      </w:pPr>
      <w:r>
        <w:rPr>
          <w:rFonts w:cs="Calibri"/>
          <w:i/>
          <w:sz w:val="22"/>
          <w:szCs w:val="22"/>
        </w:rPr>
        <w:t>Thank you for reading this.</w:t>
      </w:r>
    </w:p>
    <w:p w14:paraId="4C7FA237" w14:textId="77777777" w:rsidR="00787F73" w:rsidRDefault="00787F73" w:rsidP="00EC3165">
      <w:pPr>
        <w:spacing w:line="240" w:lineRule="auto"/>
        <w:jc w:val="both"/>
        <w:rPr>
          <w:rFonts w:eastAsia="TUOS Blake" w:cs="Calibri"/>
          <w:sz w:val="22"/>
          <w:szCs w:val="22"/>
        </w:rPr>
      </w:pPr>
    </w:p>
    <w:p w14:paraId="577EFEB5" w14:textId="77777777" w:rsidR="00787F73" w:rsidRDefault="00742FB7" w:rsidP="00EC3165">
      <w:pPr>
        <w:numPr>
          <w:ilvl w:val="0"/>
          <w:numId w:val="23"/>
        </w:numPr>
        <w:spacing w:after="120" w:line="240" w:lineRule="auto"/>
        <w:jc w:val="both"/>
      </w:pPr>
      <w:r>
        <w:rPr>
          <w:rFonts w:eastAsia="TUOS Blake" w:cs="Calibri"/>
          <w:b/>
          <w:sz w:val="22"/>
          <w:szCs w:val="22"/>
          <w:highlight w:val="white"/>
        </w:rPr>
        <w:t>What is the project’s purpose?</w:t>
      </w:r>
    </w:p>
    <w:p w14:paraId="3DFE40B8" w14:textId="77777777" w:rsidR="00787F73" w:rsidRDefault="00742FB7" w:rsidP="00EC3165">
      <w:pPr>
        <w:spacing w:line="240" w:lineRule="auto"/>
        <w:jc w:val="both"/>
      </w:pPr>
      <w:r>
        <w:rPr>
          <w:rFonts w:cs="Calibri"/>
          <w:sz w:val="22"/>
          <w:szCs w:val="22"/>
        </w:rPr>
        <w:t xml:space="preserve">This PhD study will be looking at how the Fire and Rescue Service and the surrounding communities in South Yorkshire use social media platforms to develop community resilience to disasters. </w:t>
      </w:r>
    </w:p>
    <w:p w14:paraId="5E0599F3" w14:textId="77777777" w:rsidR="00787F73" w:rsidRDefault="00787F73" w:rsidP="00EC3165">
      <w:pPr>
        <w:spacing w:line="240" w:lineRule="auto"/>
        <w:jc w:val="both"/>
        <w:rPr>
          <w:rFonts w:eastAsia="TUOS Blake" w:cs="Calibri"/>
          <w:sz w:val="22"/>
          <w:szCs w:val="22"/>
        </w:rPr>
      </w:pPr>
    </w:p>
    <w:p w14:paraId="17EFE795" w14:textId="77777777" w:rsidR="00787F73" w:rsidRDefault="00742FB7" w:rsidP="00EC3165">
      <w:pPr>
        <w:numPr>
          <w:ilvl w:val="0"/>
          <w:numId w:val="24"/>
        </w:numPr>
        <w:spacing w:after="120" w:line="240" w:lineRule="auto"/>
        <w:jc w:val="both"/>
      </w:pPr>
      <w:r>
        <w:rPr>
          <w:rFonts w:eastAsia="TUOS Blake" w:cs="Calibri"/>
          <w:b/>
          <w:sz w:val="22"/>
          <w:szCs w:val="22"/>
          <w:highlight w:val="white"/>
        </w:rPr>
        <w:t>Why have I been chosen?</w:t>
      </w:r>
    </w:p>
    <w:p w14:paraId="6993EC9C" w14:textId="77777777" w:rsidR="00787F73" w:rsidRDefault="00742FB7" w:rsidP="00EC3165">
      <w:pPr>
        <w:spacing w:line="240" w:lineRule="auto"/>
      </w:pPr>
      <w:r>
        <w:rPr>
          <w:rFonts w:cs="Calibri"/>
          <w:sz w:val="22"/>
          <w:szCs w:val="22"/>
        </w:rPr>
        <w:t>The research aims to gather information and opinions from individuals from South Yorkshire, to better understand how organisations and communities interact online and offline. As a member of the South Yorkshire community, your opinions and ideas are relevant to the study.</w:t>
      </w:r>
    </w:p>
    <w:p w14:paraId="6AE90053" w14:textId="77777777" w:rsidR="00787F73" w:rsidRDefault="00787F73" w:rsidP="00EC3165">
      <w:pPr>
        <w:spacing w:line="240" w:lineRule="auto"/>
        <w:jc w:val="both"/>
        <w:rPr>
          <w:rFonts w:eastAsia="TUOS Blake" w:cs="Calibri"/>
          <w:sz w:val="22"/>
          <w:szCs w:val="22"/>
        </w:rPr>
      </w:pPr>
    </w:p>
    <w:p w14:paraId="07BE6053" w14:textId="77777777" w:rsidR="00787F73" w:rsidRDefault="00742FB7" w:rsidP="00EC3165">
      <w:pPr>
        <w:numPr>
          <w:ilvl w:val="0"/>
          <w:numId w:val="25"/>
        </w:numPr>
        <w:spacing w:after="120" w:line="240" w:lineRule="auto"/>
        <w:jc w:val="both"/>
      </w:pPr>
      <w:r>
        <w:rPr>
          <w:rFonts w:eastAsia="TUOS Blake" w:cs="Calibri"/>
          <w:b/>
          <w:sz w:val="22"/>
          <w:szCs w:val="22"/>
          <w:highlight w:val="white"/>
        </w:rPr>
        <w:t>Do I have to take part?</w:t>
      </w:r>
    </w:p>
    <w:p w14:paraId="2D82007C" w14:textId="77777777" w:rsidR="00787F73" w:rsidRDefault="00742FB7" w:rsidP="00EC3165">
      <w:pPr>
        <w:shd w:val="clear" w:color="auto" w:fill="FFFFFF"/>
        <w:spacing w:line="240" w:lineRule="auto"/>
        <w:jc w:val="both"/>
      </w:pPr>
      <w:r>
        <w:rPr>
          <w:rFonts w:eastAsia="TUOS Blake" w:cs="Calibri"/>
          <w:iCs/>
          <w:color w:val="000000"/>
          <w:sz w:val="22"/>
          <w:szCs w:val="22"/>
          <w:highlight w:val="white"/>
        </w:rPr>
        <w:t xml:space="preserve">It is up to you to decide whether or not to take part. </w:t>
      </w:r>
      <w:r>
        <w:rPr>
          <w:rFonts w:eastAsia="TUOS Blake" w:cs="Calibri"/>
          <w:iCs/>
          <w:color w:val="000000"/>
          <w:sz w:val="22"/>
          <w:szCs w:val="22"/>
        </w:rPr>
        <w:t xml:space="preserve">If you do decide to take part, you will be given this information sheet to keep (and be asked to sign a consent form). You can withdraw at any time during the project without any negative consequences, however when the anonymised data has been deposited into the </w:t>
      </w:r>
      <w:r>
        <w:rPr>
          <w:rFonts w:cs="Calibri"/>
          <w:color w:val="000000"/>
          <w:sz w:val="22"/>
          <w:szCs w:val="22"/>
          <w:highlight w:val="white"/>
        </w:rPr>
        <w:t>UK Data Service data repository</w:t>
      </w:r>
      <w:r>
        <w:rPr>
          <w:rFonts w:eastAsia="TUOS Blake" w:cs="Calibri"/>
          <w:iCs/>
          <w:color w:val="000000"/>
          <w:sz w:val="22"/>
          <w:szCs w:val="22"/>
        </w:rPr>
        <w:t xml:space="preserve"> it will not be possible to withdraw your data.  If you want to withdraw from the project you do not have to give a reason. If you wish to withdraw from the research, please contact Alex Ricketts (aegricketts1@sheffield.ac.uk)</w:t>
      </w:r>
    </w:p>
    <w:p w14:paraId="6F594E97" w14:textId="77777777" w:rsidR="00787F73" w:rsidRDefault="00787F73" w:rsidP="00EC3165">
      <w:pPr>
        <w:spacing w:line="240" w:lineRule="auto"/>
        <w:jc w:val="both"/>
        <w:rPr>
          <w:rFonts w:eastAsia="TUOS Blake" w:cs="Calibri"/>
          <w:sz w:val="22"/>
          <w:szCs w:val="22"/>
        </w:rPr>
      </w:pPr>
    </w:p>
    <w:p w14:paraId="5028E3E0" w14:textId="77777777" w:rsidR="00787F73" w:rsidRDefault="00742FB7" w:rsidP="00EC3165">
      <w:pPr>
        <w:numPr>
          <w:ilvl w:val="0"/>
          <w:numId w:val="26"/>
        </w:numPr>
        <w:spacing w:after="120" w:line="240" w:lineRule="auto"/>
        <w:jc w:val="both"/>
      </w:pPr>
      <w:r>
        <w:rPr>
          <w:rFonts w:eastAsia="TUOS Blake" w:cs="Calibri"/>
          <w:b/>
          <w:sz w:val="22"/>
          <w:szCs w:val="22"/>
          <w:highlight w:val="white"/>
        </w:rPr>
        <w:t>What will happen to me if I take part? What do I have to do?</w:t>
      </w:r>
    </w:p>
    <w:p w14:paraId="4BBAED4E" w14:textId="77777777" w:rsidR="00787F73" w:rsidRDefault="00742FB7" w:rsidP="00EC3165">
      <w:pPr>
        <w:spacing w:line="240" w:lineRule="auto"/>
      </w:pPr>
      <w:r>
        <w:rPr>
          <w:rFonts w:cs="Calibri"/>
          <w:sz w:val="22"/>
          <w:szCs w:val="22"/>
        </w:rPr>
        <w:t>If you choose to take part in the research, you will be invited to attend an interview or workshop, either in person, on the phone, or using an online video software, such as Skype or Zoom. The information collected from this session will then be used within the researcher’s PhD thesis, and associated publications, such as journal articles and conference proceedings.</w:t>
      </w:r>
    </w:p>
    <w:p w14:paraId="5D2E9683" w14:textId="77777777" w:rsidR="00787F73" w:rsidRDefault="00787F73" w:rsidP="00EC3165">
      <w:pPr>
        <w:spacing w:after="160" w:line="240" w:lineRule="auto"/>
        <w:rPr>
          <w:rFonts w:cs="Calibri"/>
          <w:sz w:val="22"/>
          <w:szCs w:val="22"/>
        </w:rPr>
      </w:pPr>
    </w:p>
    <w:p w14:paraId="5F50FCE0" w14:textId="77777777" w:rsidR="00787F73" w:rsidRDefault="00742FB7" w:rsidP="00EC3165">
      <w:pPr>
        <w:pStyle w:val="ListParagraph"/>
        <w:numPr>
          <w:ilvl w:val="0"/>
          <w:numId w:val="27"/>
        </w:numPr>
        <w:spacing w:line="240" w:lineRule="auto"/>
        <w:jc w:val="both"/>
      </w:pPr>
      <w:r>
        <w:rPr>
          <w:rFonts w:eastAsia="TUOS Blake" w:cs="Calibri"/>
          <w:b/>
          <w:sz w:val="22"/>
          <w:szCs w:val="22"/>
        </w:rPr>
        <w:t>Will I be recorded, and how will the recorded media be used?</w:t>
      </w:r>
    </w:p>
    <w:p w14:paraId="4101FCAF" w14:textId="77777777" w:rsidR="00787F73" w:rsidRDefault="00787F73" w:rsidP="00EC3165">
      <w:pPr>
        <w:spacing w:line="240" w:lineRule="auto"/>
        <w:rPr>
          <w:rFonts w:cs="Calibri"/>
          <w:sz w:val="22"/>
          <w:szCs w:val="22"/>
        </w:rPr>
      </w:pPr>
    </w:p>
    <w:p w14:paraId="0447A137" w14:textId="77777777" w:rsidR="00787F73" w:rsidRDefault="00742FB7" w:rsidP="00EC3165">
      <w:pPr>
        <w:spacing w:line="240" w:lineRule="auto"/>
      </w:pPr>
      <w:r>
        <w:rPr>
          <w:rFonts w:cs="Calibri"/>
          <w:sz w:val="22"/>
          <w:szCs w:val="22"/>
        </w:rPr>
        <w:t>If you are happy to be recorded, the recording will be transcribed and analysed by the researcher (Alex Ricketts) using NVivo or NVivo transcription. The recordings will be stored in a format protected by passwords or in a locked space. The</w:t>
      </w:r>
      <w:r>
        <w:rPr>
          <w:rFonts w:eastAsia="TUOS Blake" w:cs="Calibri"/>
          <w:sz w:val="22"/>
          <w:szCs w:val="22"/>
          <w:highlight w:val="white"/>
        </w:rPr>
        <w:t xml:space="preserve"> recordings made during this research (interview or workshop) will be used only for analysis and for illustration in conference presentations and lectures. </w:t>
      </w:r>
      <w:r>
        <w:rPr>
          <w:rFonts w:eastAsia="TUOS Blake" w:cs="Calibri"/>
          <w:sz w:val="22"/>
          <w:szCs w:val="22"/>
          <w:highlight w:val="white"/>
        </w:rPr>
        <w:lastRenderedPageBreak/>
        <w:t>No other use will be made of them without your written permission, and no one outside the project will be allowed access to the original recordings</w:t>
      </w:r>
      <w:r>
        <w:rPr>
          <w:rFonts w:eastAsia="TUOS Blake" w:cs="Calibri"/>
          <w:sz w:val="22"/>
          <w:szCs w:val="22"/>
        </w:rPr>
        <w:t xml:space="preserve">. </w:t>
      </w:r>
    </w:p>
    <w:p w14:paraId="4B007413" w14:textId="77777777" w:rsidR="00787F73" w:rsidRDefault="00787F73" w:rsidP="00EC3165">
      <w:pPr>
        <w:spacing w:line="240" w:lineRule="auto"/>
        <w:jc w:val="both"/>
        <w:rPr>
          <w:rFonts w:eastAsia="TUOS Blake" w:cs="Calibri"/>
          <w:sz w:val="22"/>
          <w:szCs w:val="22"/>
        </w:rPr>
      </w:pPr>
    </w:p>
    <w:p w14:paraId="6B71E679" w14:textId="77777777" w:rsidR="00787F73" w:rsidRDefault="00742FB7" w:rsidP="00EC3165">
      <w:pPr>
        <w:numPr>
          <w:ilvl w:val="0"/>
          <w:numId w:val="28"/>
        </w:numPr>
        <w:spacing w:after="120" w:line="240" w:lineRule="auto"/>
        <w:jc w:val="both"/>
      </w:pPr>
      <w:r>
        <w:rPr>
          <w:rFonts w:eastAsia="TUOS Blake" w:cs="Calibri"/>
          <w:b/>
          <w:sz w:val="22"/>
          <w:szCs w:val="22"/>
        </w:rPr>
        <w:t xml:space="preserve">What are the </w:t>
      </w:r>
      <w:r>
        <w:rPr>
          <w:rFonts w:eastAsia="TUOS Blake" w:cs="Calibri"/>
          <w:b/>
          <w:sz w:val="22"/>
          <w:szCs w:val="22"/>
          <w:highlight w:val="white"/>
        </w:rPr>
        <w:t>possible</w:t>
      </w:r>
      <w:r>
        <w:rPr>
          <w:rFonts w:eastAsia="TUOS Blake" w:cs="Calibri"/>
          <w:b/>
          <w:sz w:val="22"/>
          <w:szCs w:val="22"/>
        </w:rPr>
        <w:t xml:space="preserve"> disadvantages and risks of taking part?</w:t>
      </w:r>
    </w:p>
    <w:p w14:paraId="0BA3AD8A" w14:textId="77777777" w:rsidR="00787F73" w:rsidRDefault="00742FB7" w:rsidP="00EC3165">
      <w:pPr>
        <w:spacing w:line="240" w:lineRule="auto"/>
      </w:pPr>
      <w:r>
        <w:rPr>
          <w:rFonts w:cs="Calibri"/>
          <w:sz w:val="22"/>
          <w:szCs w:val="22"/>
        </w:rPr>
        <w:t xml:space="preserve">Participating in the research is not anticipated to cause you any disadvantage or discomfort. No potential physical or psychological harm or distress is expected. </w:t>
      </w:r>
    </w:p>
    <w:p w14:paraId="21454B18" w14:textId="77777777" w:rsidR="00787F73" w:rsidRDefault="00787F73" w:rsidP="00EC3165">
      <w:pPr>
        <w:spacing w:line="240" w:lineRule="auto"/>
        <w:jc w:val="both"/>
        <w:rPr>
          <w:rFonts w:eastAsia="TUOS Blake" w:cs="Calibri"/>
          <w:sz w:val="22"/>
          <w:szCs w:val="22"/>
        </w:rPr>
      </w:pPr>
    </w:p>
    <w:p w14:paraId="7A5EA7E4" w14:textId="77777777" w:rsidR="00787F73" w:rsidRDefault="00742FB7" w:rsidP="00EC3165">
      <w:pPr>
        <w:numPr>
          <w:ilvl w:val="0"/>
          <w:numId w:val="29"/>
        </w:numPr>
        <w:spacing w:after="120" w:line="240" w:lineRule="auto"/>
        <w:jc w:val="both"/>
      </w:pPr>
      <w:r>
        <w:rPr>
          <w:rFonts w:eastAsia="TUOS Blake" w:cs="Calibri"/>
          <w:b/>
          <w:sz w:val="22"/>
          <w:szCs w:val="22"/>
        </w:rPr>
        <w:t xml:space="preserve">What are the </w:t>
      </w:r>
      <w:r>
        <w:rPr>
          <w:rFonts w:eastAsia="TUOS Blake" w:cs="Calibri"/>
          <w:b/>
          <w:sz w:val="22"/>
          <w:szCs w:val="22"/>
          <w:highlight w:val="white"/>
        </w:rPr>
        <w:t>possible</w:t>
      </w:r>
      <w:r>
        <w:rPr>
          <w:rFonts w:eastAsia="TUOS Blake" w:cs="Calibri"/>
          <w:b/>
          <w:sz w:val="22"/>
          <w:szCs w:val="22"/>
        </w:rPr>
        <w:t xml:space="preserve"> benefits of taking part?</w:t>
      </w:r>
    </w:p>
    <w:p w14:paraId="1C5BBD4E" w14:textId="49C196FF" w:rsidR="00787F73" w:rsidRDefault="00C84401" w:rsidP="00EC3165">
      <w:pPr>
        <w:spacing w:line="240" w:lineRule="auto"/>
        <w:jc w:val="both"/>
      </w:pPr>
      <w:r>
        <w:rPr>
          <w:rFonts w:eastAsia="TUOS Blake" w:cs="Calibri"/>
          <w:iCs/>
          <w:color w:val="000000"/>
          <w:sz w:val="22"/>
          <w:szCs w:val="22"/>
          <w:highlight w:val="white"/>
        </w:rPr>
        <w:t xml:space="preserve">While </w:t>
      </w:r>
      <w:r w:rsidR="00742FB7">
        <w:rPr>
          <w:rFonts w:eastAsia="TUOS Blake" w:cs="Calibri"/>
          <w:iCs/>
          <w:color w:val="000000"/>
          <w:sz w:val="22"/>
          <w:szCs w:val="22"/>
          <w:highlight w:val="white"/>
        </w:rPr>
        <w:t>there are no immediate benefits for those people participating in the project, it is hoped that this work will help to improve the understanding of community disaster resilience within South Yorkshire</w:t>
      </w:r>
      <w:r w:rsidR="00742FB7">
        <w:rPr>
          <w:rFonts w:eastAsia="TUOS Blake" w:cs="Calibri"/>
          <w:iCs/>
          <w:color w:val="000000"/>
          <w:sz w:val="22"/>
          <w:szCs w:val="22"/>
        </w:rPr>
        <w:t>.</w:t>
      </w:r>
    </w:p>
    <w:p w14:paraId="067A2D56" w14:textId="77777777" w:rsidR="00787F73" w:rsidRDefault="00787F73" w:rsidP="00EC3165">
      <w:pPr>
        <w:spacing w:after="120" w:line="240" w:lineRule="auto"/>
        <w:jc w:val="both"/>
        <w:rPr>
          <w:rFonts w:eastAsia="Arial" w:cs="Calibri"/>
          <w:color w:val="000000"/>
          <w:sz w:val="22"/>
          <w:szCs w:val="22"/>
        </w:rPr>
      </w:pPr>
    </w:p>
    <w:p w14:paraId="1829E11C" w14:textId="77777777" w:rsidR="00787F73" w:rsidRDefault="00742FB7" w:rsidP="00EC3165">
      <w:pPr>
        <w:numPr>
          <w:ilvl w:val="0"/>
          <w:numId w:val="30"/>
        </w:numPr>
        <w:spacing w:after="120" w:line="240" w:lineRule="auto"/>
        <w:jc w:val="both"/>
      </w:pPr>
      <w:r>
        <w:rPr>
          <w:rFonts w:eastAsia="TUOS Blake" w:cs="Calibri"/>
          <w:b/>
          <w:sz w:val="22"/>
          <w:szCs w:val="22"/>
        </w:rPr>
        <w:t>Will my taking part in this project be kept confidential?</w:t>
      </w:r>
    </w:p>
    <w:p w14:paraId="19ADB0BD" w14:textId="77777777" w:rsidR="00787F73" w:rsidRDefault="00742FB7" w:rsidP="00EC3165">
      <w:pPr>
        <w:spacing w:line="240" w:lineRule="auto"/>
        <w:jc w:val="both"/>
      </w:pPr>
      <w:r>
        <w:rPr>
          <w:rFonts w:eastAsia="TUOS Blake" w:cs="Calibri"/>
          <w:iCs/>
          <w:sz w:val="22"/>
          <w:szCs w:val="22"/>
          <w:highlight w:val="white"/>
        </w:rPr>
        <w:t xml:space="preserve">All the information that we collect about you during the course of the research will be kept strictly confidential and will only be accessible to members of the research team.   </w:t>
      </w:r>
      <w:r>
        <w:rPr>
          <w:rFonts w:eastAsia="TUOS Blake" w:cs="Calibri"/>
          <w:iCs/>
          <w:sz w:val="22"/>
          <w:szCs w:val="22"/>
        </w:rPr>
        <w:t>You will not be able to be identified in any reports or publications unless you have given your explicit consent for this. If you agree to us sharing the information you provide with other researchers (e.g. by making it available in a data archive) then your personal details will not be included unless you explicitly request this.</w:t>
      </w:r>
    </w:p>
    <w:p w14:paraId="3761F3AA" w14:textId="77777777" w:rsidR="00787F73" w:rsidRDefault="00787F73" w:rsidP="00EC3165">
      <w:pPr>
        <w:spacing w:line="240" w:lineRule="auto"/>
        <w:jc w:val="both"/>
        <w:rPr>
          <w:rFonts w:eastAsia="TUOS Blake" w:cs="Calibri"/>
          <w:sz w:val="22"/>
          <w:szCs w:val="22"/>
        </w:rPr>
      </w:pPr>
    </w:p>
    <w:p w14:paraId="43CD92A8" w14:textId="77777777" w:rsidR="00787F73" w:rsidRDefault="00742FB7" w:rsidP="00EC3165">
      <w:pPr>
        <w:numPr>
          <w:ilvl w:val="0"/>
          <w:numId w:val="31"/>
        </w:numPr>
        <w:spacing w:after="120" w:line="240" w:lineRule="auto"/>
        <w:jc w:val="both"/>
      </w:pPr>
      <w:r>
        <w:rPr>
          <w:rFonts w:eastAsia="TUOS Blake" w:cs="Calibri"/>
          <w:b/>
          <w:sz w:val="22"/>
          <w:szCs w:val="22"/>
        </w:rPr>
        <w:t xml:space="preserve">What is the </w:t>
      </w:r>
      <w:r>
        <w:rPr>
          <w:rFonts w:eastAsia="TUOS Blake" w:cs="Calibri"/>
          <w:b/>
          <w:sz w:val="22"/>
          <w:szCs w:val="22"/>
          <w:highlight w:val="white"/>
        </w:rPr>
        <w:t>legal</w:t>
      </w:r>
      <w:r>
        <w:rPr>
          <w:rFonts w:eastAsia="TUOS Blake" w:cs="Calibri"/>
          <w:b/>
          <w:sz w:val="22"/>
          <w:szCs w:val="22"/>
        </w:rPr>
        <w:t xml:space="preserve"> basis for processing my personal data?</w:t>
      </w:r>
    </w:p>
    <w:p w14:paraId="407FFEF6" w14:textId="77777777" w:rsidR="00787F73" w:rsidRDefault="00742FB7" w:rsidP="00EC3165">
      <w:pPr>
        <w:spacing w:line="240" w:lineRule="auto"/>
        <w:jc w:val="both"/>
      </w:pPr>
      <w:r>
        <w:rPr>
          <w:rFonts w:eastAsia="TUOS Blake" w:cs="Calibri"/>
          <w:iCs/>
          <w:sz w:val="22"/>
          <w:szCs w:val="22"/>
        </w:rPr>
        <w:t xml:space="preserve">According to data protection legislation, we are required to inform you that the legal basis we are applying in order to process your personal data is that ‘processing is necessary for the performance of a task carried out in the public interest’ (Article 6(1)(e)). </w:t>
      </w:r>
      <w:r>
        <w:rPr>
          <w:rFonts w:eastAsia="Arial" w:cs="Calibri"/>
          <w:iCs/>
          <w:sz w:val="22"/>
          <w:szCs w:val="22"/>
        </w:rPr>
        <w:t xml:space="preserve">Further information can be found in the University’s Privacy Notice </w:t>
      </w:r>
      <w:hyperlink r:id="rId44">
        <w:r>
          <w:rPr>
            <w:rStyle w:val="Hyperlink"/>
            <w:rFonts w:eastAsia="Arial" w:cs="Calibri"/>
            <w:iCs/>
            <w:sz w:val="22"/>
            <w:szCs w:val="22"/>
          </w:rPr>
          <w:t>https://www.sheffield.ac.uk/govern/data-protection/privacy/general</w:t>
        </w:r>
      </w:hyperlink>
      <w:r>
        <w:rPr>
          <w:rFonts w:eastAsia="Arial" w:cs="Calibri"/>
          <w:iCs/>
          <w:sz w:val="22"/>
          <w:szCs w:val="22"/>
        </w:rPr>
        <w:t>.</w:t>
      </w:r>
    </w:p>
    <w:p w14:paraId="09650B99" w14:textId="77777777" w:rsidR="00787F73" w:rsidRDefault="00787F73" w:rsidP="00EC3165">
      <w:pPr>
        <w:spacing w:line="240" w:lineRule="auto"/>
        <w:jc w:val="both"/>
        <w:rPr>
          <w:rFonts w:eastAsia="TUOS Blake" w:cs="Calibri"/>
          <w:iCs/>
          <w:sz w:val="22"/>
          <w:szCs w:val="22"/>
        </w:rPr>
      </w:pPr>
    </w:p>
    <w:p w14:paraId="047A9319" w14:textId="77777777" w:rsidR="00787F73" w:rsidRDefault="00742FB7" w:rsidP="00EC3165">
      <w:pPr>
        <w:numPr>
          <w:ilvl w:val="0"/>
          <w:numId w:val="32"/>
        </w:numPr>
        <w:spacing w:after="120" w:line="240" w:lineRule="auto"/>
        <w:jc w:val="both"/>
      </w:pPr>
      <w:r>
        <w:rPr>
          <w:rFonts w:eastAsia="TUOS Blake" w:cs="Calibri"/>
          <w:b/>
          <w:sz w:val="22"/>
          <w:szCs w:val="22"/>
        </w:rPr>
        <w:t>What will happen to the data collected, and the results of the research project?</w:t>
      </w:r>
    </w:p>
    <w:p w14:paraId="6D69E77E" w14:textId="77777777" w:rsidR="00787F73" w:rsidRDefault="00742FB7" w:rsidP="00EC3165">
      <w:pPr>
        <w:spacing w:line="240" w:lineRule="auto"/>
        <w:jc w:val="both"/>
      </w:pPr>
      <w:r>
        <w:rPr>
          <w:rFonts w:eastAsia="TUOS Blake" w:cs="Calibri"/>
          <w:sz w:val="22"/>
          <w:szCs w:val="22"/>
        </w:rPr>
        <w:t xml:space="preserve">The data collected will be </w:t>
      </w:r>
      <w:r>
        <w:rPr>
          <w:rFonts w:cs="Calibri"/>
          <w:sz w:val="22"/>
          <w:szCs w:val="22"/>
        </w:rPr>
        <w:t xml:space="preserve">transcribed and analysed by the researcher (Alex Ricketts) using NVivo or NVivo transcription. The anonymised data will </w:t>
      </w:r>
      <w:r>
        <w:rPr>
          <w:rFonts w:eastAsia="TUOS Blake" w:cs="Calibri"/>
          <w:sz w:val="22"/>
          <w:szCs w:val="22"/>
        </w:rPr>
        <w:t xml:space="preserve">be accessible to members of the research team for the duration of the project. After the project has been concluded the anonymised data will be </w:t>
      </w:r>
      <w:r>
        <w:rPr>
          <w:rFonts w:cs="Calibri"/>
          <w:color w:val="000000"/>
          <w:sz w:val="22"/>
          <w:szCs w:val="22"/>
          <w:highlight w:val="white"/>
        </w:rPr>
        <w:t>deposited in the UK Data Service data repository</w:t>
      </w:r>
      <w:r>
        <w:rPr>
          <w:rFonts w:cs="Calibri"/>
          <w:b/>
          <w:bCs/>
          <w:color w:val="000000"/>
          <w:sz w:val="22"/>
          <w:szCs w:val="22"/>
          <w:highlight w:val="white"/>
        </w:rPr>
        <w:t> </w:t>
      </w:r>
      <w:r>
        <w:rPr>
          <w:rFonts w:cs="Calibri"/>
          <w:color w:val="000000"/>
          <w:sz w:val="22"/>
          <w:szCs w:val="22"/>
          <w:highlight w:val="white"/>
        </w:rPr>
        <w:t>so it can be used for future research and learning</w:t>
      </w:r>
      <w:r>
        <w:rPr>
          <w:rFonts w:eastAsia="TUOS Blake" w:cs="Calibri"/>
          <w:sz w:val="22"/>
          <w:szCs w:val="22"/>
        </w:rPr>
        <w:t xml:space="preserve">. </w:t>
      </w:r>
    </w:p>
    <w:p w14:paraId="12E2BC92" w14:textId="77777777" w:rsidR="00787F73" w:rsidRDefault="00787F73" w:rsidP="00EC3165">
      <w:pPr>
        <w:spacing w:line="240" w:lineRule="auto"/>
        <w:jc w:val="both"/>
        <w:rPr>
          <w:rFonts w:eastAsia="TUOS Blake" w:cs="Calibri"/>
          <w:sz w:val="22"/>
          <w:szCs w:val="22"/>
        </w:rPr>
      </w:pPr>
    </w:p>
    <w:p w14:paraId="1F68E0D1" w14:textId="77777777" w:rsidR="00787F73" w:rsidRDefault="00742FB7" w:rsidP="00EC3165">
      <w:pPr>
        <w:spacing w:line="240" w:lineRule="auto"/>
        <w:jc w:val="both"/>
      </w:pPr>
      <w:r>
        <w:rPr>
          <w:rFonts w:eastAsia="TUOS Blake" w:cs="Calibri"/>
          <w:sz w:val="22"/>
          <w:szCs w:val="22"/>
        </w:rPr>
        <w:t>Due to the nature of this research it is very likely that other researchers may find the data collected to be useful in answering future research questions. We will ask for your explicit consent for your data to be shared in this way.</w:t>
      </w:r>
    </w:p>
    <w:p w14:paraId="1585791C" w14:textId="77777777" w:rsidR="00787F73" w:rsidRDefault="00787F73" w:rsidP="00EC3165">
      <w:pPr>
        <w:spacing w:line="240" w:lineRule="auto"/>
        <w:jc w:val="both"/>
        <w:rPr>
          <w:rFonts w:eastAsia="TUOS Blake" w:cs="Calibri"/>
          <w:sz w:val="22"/>
          <w:szCs w:val="22"/>
        </w:rPr>
      </w:pPr>
    </w:p>
    <w:p w14:paraId="3C83F014" w14:textId="77777777" w:rsidR="00787F73" w:rsidRDefault="00742FB7" w:rsidP="00EC3165">
      <w:pPr>
        <w:numPr>
          <w:ilvl w:val="0"/>
          <w:numId w:val="33"/>
        </w:numPr>
        <w:spacing w:after="120" w:line="240" w:lineRule="auto"/>
        <w:jc w:val="both"/>
      </w:pPr>
      <w:r>
        <w:rPr>
          <w:rFonts w:eastAsia="TUOS Blake" w:cs="Calibri"/>
          <w:b/>
          <w:sz w:val="22"/>
          <w:szCs w:val="22"/>
        </w:rPr>
        <w:t xml:space="preserve">Who is </w:t>
      </w:r>
      <w:r>
        <w:rPr>
          <w:rFonts w:eastAsia="TUOS Blake" w:cs="Calibri"/>
          <w:b/>
          <w:sz w:val="22"/>
          <w:szCs w:val="22"/>
          <w:highlight w:val="white"/>
        </w:rPr>
        <w:t>organising</w:t>
      </w:r>
      <w:r>
        <w:rPr>
          <w:rFonts w:eastAsia="TUOS Blake" w:cs="Calibri"/>
          <w:b/>
          <w:sz w:val="22"/>
          <w:szCs w:val="22"/>
        </w:rPr>
        <w:t xml:space="preserve"> and funding the research?</w:t>
      </w:r>
    </w:p>
    <w:p w14:paraId="2C9DFEFE" w14:textId="77777777" w:rsidR="00787F73" w:rsidRDefault="00742FB7" w:rsidP="00EC3165">
      <w:pPr>
        <w:spacing w:line="240" w:lineRule="auto"/>
      </w:pPr>
      <w:r>
        <w:rPr>
          <w:rFonts w:cs="Calibri"/>
          <w:sz w:val="22"/>
          <w:szCs w:val="22"/>
        </w:rPr>
        <w:t>This research is being organised by the researcher who is funded under the White Rose Doctoral Training Programme, supported by the Economic and Social Research Council.</w:t>
      </w:r>
    </w:p>
    <w:p w14:paraId="444C13F1" w14:textId="77777777" w:rsidR="00787F73" w:rsidRDefault="00787F73" w:rsidP="00EC3165">
      <w:pPr>
        <w:spacing w:line="240" w:lineRule="auto"/>
        <w:jc w:val="both"/>
        <w:rPr>
          <w:rFonts w:eastAsia="TUOS Blake" w:cs="Calibri"/>
          <w:sz w:val="22"/>
          <w:szCs w:val="22"/>
        </w:rPr>
      </w:pPr>
    </w:p>
    <w:p w14:paraId="35A5CAD6" w14:textId="77777777" w:rsidR="00787F73" w:rsidRDefault="00787F73" w:rsidP="00EC3165">
      <w:pPr>
        <w:spacing w:line="240" w:lineRule="auto"/>
        <w:rPr>
          <w:rFonts w:eastAsia="TUOS Blake" w:cs="Calibri"/>
          <w:b/>
          <w:sz w:val="22"/>
          <w:szCs w:val="22"/>
        </w:rPr>
      </w:pPr>
    </w:p>
    <w:p w14:paraId="346335C1" w14:textId="77777777" w:rsidR="00787F73" w:rsidRDefault="00742FB7" w:rsidP="00EC3165">
      <w:pPr>
        <w:numPr>
          <w:ilvl w:val="0"/>
          <w:numId w:val="34"/>
        </w:numPr>
        <w:spacing w:after="120" w:line="240" w:lineRule="auto"/>
        <w:jc w:val="both"/>
      </w:pPr>
      <w:r>
        <w:rPr>
          <w:rFonts w:eastAsia="TUOS Blake" w:cs="Calibri"/>
          <w:b/>
          <w:sz w:val="22"/>
          <w:szCs w:val="22"/>
        </w:rPr>
        <w:t>Who is the Data Controller?</w:t>
      </w:r>
    </w:p>
    <w:p w14:paraId="5D1207ED" w14:textId="77777777" w:rsidR="00787F73" w:rsidRDefault="00742FB7" w:rsidP="00EC3165">
      <w:pPr>
        <w:spacing w:line="240" w:lineRule="auto"/>
        <w:jc w:val="both"/>
      </w:pPr>
      <w:r>
        <w:rPr>
          <w:rFonts w:eastAsia="Arial" w:cs="Calibri"/>
          <w:sz w:val="22"/>
          <w:szCs w:val="22"/>
        </w:rPr>
        <w:t xml:space="preserve">The University of Sheffield will act as the Data Controller for this study. This means that the University is responsible for looking after your information and using it properly. </w:t>
      </w:r>
    </w:p>
    <w:p w14:paraId="17C6EEA2" w14:textId="77777777" w:rsidR="00787F73" w:rsidRDefault="00787F73" w:rsidP="00EC3165">
      <w:pPr>
        <w:spacing w:line="240" w:lineRule="auto"/>
        <w:jc w:val="both"/>
        <w:rPr>
          <w:rFonts w:eastAsia="TUOS Blake" w:cs="Calibri"/>
          <w:sz w:val="22"/>
          <w:szCs w:val="22"/>
        </w:rPr>
      </w:pPr>
    </w:p>
    <w:p w14:paraId="45BD8708" w14:textId="77777777" w:rsidR="00787F73" w:rsidRDefault="00742FB7" w:rsidP="00EC3165">
      <w:pPr>
        <w:numPr>
          <w:ilvl w:val="0"/>
          <w:numId w:val="35"/>
        </w:numPr>
        <w:spacing w:after="120" w:line="240" w:lineRule="auto"/>
        <w:jc w:val="both"/>
      </w:pPr>
      <w:r>
        <w:rPr>
          <w:rFonts w:eastAsia="TUOS Blake" w:cs="Calibri"/>
          <w:b/>
          <w:sz w:val="22"/>
          <w:szCs w:val="22"/>
        </w:rPr>
        <w:t xml:space="preserve">Who has </w:t>
      </w:r>
      <w:r>
        <w:rPr>
          <w:rFonts w:eastAsia="TUOS Blake" w:cs="Calibri"/>
          <w:b/>
          <w:sz w:val="22"/>
          <w:szCs w:val="22"/>
          <w:highlight w:val="white"/>
        </w:rPr>
        <w:t>ethically</w:t>
      </w:r>
      <w:r>
        <w:rPr>
          <w:rFonts w:eastAsia="TUOS Blake" w:cs="Calibri"/>
          <w:b/>
          <w:sz w:val="22"/>
          <w:szCs w:val="22"/>
        </w:rPr>
        <w:t xml:space="preserve"> reviewed the project?</w:t>
      </w:r>
    </w:p>
    <w:p w14:paraId="12F21101" w14:textId="77777777" w:rsidR="00787F73" w:rsidRDefault="00742FB7" w:rsidP="00EC3165">
      <w:pPr>
        <w:spacing w:line="240" w:lineRule="auto"/>
        <w:jc w:val="both"/>
      </w:pPr>
      <w:r>
        <w:rPr>
          <w:rFonts w:eastAsia="TUOS Blake" w:cs="Calibri"/>
          <w:sz w:val="22"/>
          <w:szCs w:val="22"/>
        </w:rPr>
        <w:t>This project has been ethically approved via the University of Sheffield’s Ethics Review Procedure, as administered by the Management School.</w:t>
      </w:r>
    </w:p>
    <w:p w14:paraId="6B8317B2" w14:textId="77777777" w:rsidR="00787F73" w:rsidRDefault="00787F73" w:rsidP="00EC3165">
      <w:pPr>
        <w:spacing w:line="240" w:lineRule="auto"/>
        <w:jc w:val="both"/>
        <w:rPr>
          <w:rFonts w:eastAsia="TUOS Blake" w:cs="Calibri"/>
          <w:sz w:val="22"/>
          <w:szCs w:val="22"/>
        </w:rPr>
      </w:pPr>
    </w:p>
    <w:p w14:paraId="1F30FAAE" w14:textId="77777777" w:rsidR="00787F73" w:rsidRDefault="00742FB7" w:rsidP="00EC3165">
      <w:pPr>
        <w:numPr>
          <w:ilvl w:val="0"/>
          <w:numId w:val="36"/>
        </w:numPr>
        <w:spacing w:after="120" w:line="240" w:lineRule="auto"/>
        <w:jc w:val="both"/>
      </w:pPr>
      <w:r>
        <w:rPr>
          <w:rFonts w:eastAsia="TUOS Blake" w:cs="Calibri"/>
          <w:b/>
          <w:sz w:val="22"/>
          <w:szCs w:val="22"/>
        </w:rPr>
        <w:t xml:space="preserve">What if something </w:t>
      </w:r>
      <w:r>
        <w:rPr>
          <w:rFonts w:eastAsia="TUOS Blake" w:cs="Calibri"/>
          <w:b/>
          <w:sz w:val="22"/>
          <w:szCs w:val="22"/>
          <w:highlight w:val="white"/>
        </w:rPr>
        <w:t>goes</w:t>
      </w:r>
      <w:r>
        <w:rPr>
          <w:rFonts w:eastAsia="TUOS Blake" w:cs="Calibri"/>
          <w:b/>
          <w:sz w:val="22"/>
          <w:szCs w:val="22"/>
        </w:rPr>
        <w:t xml:space="preserve"> wrong and I wish to complain about the research?</w:t>
      </w:r>
    </w:p>
    <w:p w14:paraId="350DB828" w14:textId="77777777" w:rsidR="00787F73" w:rsidRDefault="00742FB7" w:rsidP="00EC3165">
      <w:pPr>
        <w:pStyle w:val="Footer"/>
        <w:spacing w:line="240" w:lineRule="auto"/>
      </w:pPr>
      <w:r>
        <w:rPr>
          <w:rFonts w:eastAsia="TUOS Blake" w:cs="Calibri"/>
          <w:color w:val="000000"/>
          <w:sz w:val="22"/>
          <w:szCs w:val="22"/>
        </w:rPr>
        <w:t>If you would like to raise a complaint please contact the lead researcher (Alex Ricketts), or the Primary Supervisor (Dr Martina McGuinness).</w:t>
      </w:r>
    </w:p>
    <w:p w14:paraId="6A5EB34A" w14:textId="77777777" w:rsidR="00787F73" w:rsidRDefault="00787F73" w:rsidP="00EC3165">
      <w:pPr>
        <w:pStyle w:val="Footer"/>
        <w:spacing w:line="240" w:lineRule="auto"/>
        <w:rPr>
          <w:rFonts w:eastAsia="TUOS Blake" w:cs="Calibri"/>
          <w:color w:val="000000"/>
          <w:sz w:val="22"/>
          <w:szCs w:val="22"/>
        </w:rPr>
      </w:pPr>
    </w:p>
    <w:p w14:paraId="4E111924" w14:textId="77777777" w:rsidR="00787F73" w:rsidRDefault="00742FB7" w:rsidP="00EC3165">
      <w:pPr>
        <w:pStyle w:val="Footer"/>
        <w:spacing w:line="240" w:lineRule="auto"/>
      </w:pPr>
      <w:bookmarkStart w:id="1144" w:name="_Hlk501377071"/>
      <w:bookmarkStart w:id="1145" w:name="_Hlk501377070"/>
      <w:r>
        <w:rPr>
          <w:rFonts w:cs="Calibri"/>
          <w:b/>
          <w:bCs/>
          <w:sz w:val="22"/>
          <w:szCs w:val="22"/>
        </w:rPr>
        <w:t>Lead researcher</w:t>
      </w:r>
      <w:r>
        <w:rPr>
          <w:rFonts w:cs="Calibri"/>
          <w:b/>
          <w:bCs/>
          <w:sz w:val="22"/>
          <w:szCs w:val="22"/>
        </w:rPr>
        <w:tab/>
        <w:t xml:space="preserve">                                                               Supervisor </w:t>
      </w:r>
    </w:p>
    <w:p w14:paraId="00FE4C34" w14:textId="77777777" w:rsidR="00787F73" w:rsidRDefault="00742FB7" w:rsidP="00EC3165">
      <w:pPr>
        <w:pStyle w:val="Footer"/>
        <w:spacing w:line="240" w:lineRule="auto"/>
      </w:pPr>
      <w:r>
        <w:rPr>
          <w:rFonts w:cs="Calibri"/>
          <w:b/>
          <w:bCs/>
          <w:sz w:val="22"/>
          <w:szCs w:val="22"/>
        </w:rPr>
        <w:t>Name</w:t>
      </w:r>
      <w:r>
        <w:rPr>
          <w:rFonts w:cs="Calibri"/>
          <w:sz w:val="22"/>
          <w:szCs w:val="22"/>
        </w:rPr>
        <w:t>: Alex Ricketts</w:t>
      </w:r>
      <w:r>
        <w:rPr>
          <w:rFonts w:cs="Calibri"/>
          <w:sz w:val="22"/>
          <w:szCs w:val="22"/>
        </w:rPr>
        <w:tab/>
        <w:t xml:space="preserve">                                                                             </w:t>
      </w:r>
      <w:r>
        <w:rPr>
          <w:rFonts w:cs="Calibri"/>
          <w:b/>
          <w:bCs/>
          <w:sz w:val="22"/>
          <w:szCs w:val="22"/>
        </w:rPr>
        <w:t>Name:</w:t>
      </w:r>
      <w:r>
        <w:rPr>
          <w:rFonts w:cs="Calibri"/>
          <w:sz w:val="22"/>
          <w:szCs w:val="22"/>
        </w:rPr>
        <w:t xml:space="preserve"> Dr Martina McGuinness</w:t>
      </w:r>
    </w:p>
    <w:p w14:paraId="36BE1D5D" w14:textId="77777777" w:rsidR="00787F73" w:rsidRDefault="00742FB7" w:rsidP="00EC3165">
      <w:pPr>
        <w:pStyle w:val="Footer"/>
        <w:spacing w:line="240" w:lineRule="auto"/>
      </w:pPr>
      <w:r>
        <w:rPr>
          <w:rFonts w:cs="Calibri"/>
          <w:b/>
          <w:bCs/>
          <w:sz w:val="22"/>
          <w:szCs w:val="22"/>
        </w:rPr>
        <w:t>Email:</w:t>
      </w:r>
      <w:r>
        <w:rPr>
          <w:rFonts w:cs="Calibri"/>
          <w:sz w:val="22"/>
          <w:szCs w:val="22"/>
        </w:rPr>
        <w:t xml:space="preserve"> </w:t>
      </w:r>
      <w:hyperlink r:id="rId45">
        <w:r>
          <w:rPr>
            <w:rFonts w:cs="Calibri"/>
            <w:sz w:val="22"/>
            <w:szCs w:val="22"/>
          </w:rPr>
          <w:tab/>
          <w:t xml:space="preserve">xxxxxxxxxxxxxxxxxxxxx                                                            </w:t>
        </w:r>
      </w:hyperlink>
      <w:r>
        <w:rPr>
          <w:rFonts w:cs="Calibri"/>
          <w:b/>
          <w:bCs/>
          <w:sz w:val="22"/>
          <w:szCs w:val="22"/>
        </w:rPr>
        <w:t>Email :</w:t>
      </w:r>
      <w:r>
        <w:rPr>
          <w:rFonts w:cs="Calibri"/>
          <w:sz w:val="22"/>
          <w:szCs w:val="22"/>
        </w:rPr>
        <w:t xml:space="preserve"> xxxxxxxxxxxxxxxxxxxxxxxxxx</w:t>
      </w:r>
      <w:hyperlink r:id="rId46">
        <w:r>
          <w:rPr>
            <w:rFonts w:cs="Calibri"/>
          </w:rPr>
          <w:t xml:space="preserve"> </w:t>
        </w:r>
      </w:hyperlink>
    </w:p>
    <w:p w14:paraId="367954A6" w14:textId="77777777" w:rsidR="00787F73" w:rsidRDefault="00742FB7" w:rsidP="00EC3165">
      <w:pPr>
        <w:spacing w:line="240" w:lineRule="auto"/>
        <w:jc w:val="both"/>
      </w:pPr>
      <w:r>
        <w:rPr>
          <w:rFonts w:cs="Calibri"/>
          <w:sz w:val="22"/>
          <w:szCs w:val="22"/>
        </w:rPr>
        <w:tab/>
        <w:t xml:space="preserve">                                                                                                  </w:t>
      </w:r>
      <w:r>
        <w:rPr>
          <w:rFonts w:cs="Calibri"/>
          <w:b/>
          <w:bCs/>
          <w:sz w:val="22"/>
          <w:szCs w:val="22"/>
        </w:rPr>
        <w:t>Work Telephone:</w:t>
      </w:r>
      <w:r>
        <w:rPr>
          <w:rFonts w:cs="Calibri"/>
          <w:sz w:val="22"/>
          <w:szCs w:val="22"/>
        </w:rPr>
        <w:t xml:space="preserve"> xxxxxxxxxxxxxxxx</w:t>
      </w:r>
      <w:bookmarkEnd w:id="1144"/>
      <w:bookmarkEnd w:id="1145"/>
    </w:p>
    <w:p w14:paraId="67B13DC4" w14:textId="77777777" w:rsidR="00787F73" w:rsidRDefault="00787F73" w:rsidP="00EC3165">
      <w:pPr>
        <w:pStyle w:val="Footer"/>
        <w:spacing w:line="240" w:lineRule="auto"/>
        <w:rPr>
          <w:rFonts w:eastAsia="TUOS Blake" w:cs="Calibri"/>
          <w:color w:val="000000"/>
          <w:sz w:val="22"/>
          <w:szCs w:val="22"/>
        </w:rPr>
      </w:pPr>
    </w:p>
    <w:p w14:paraId="159B83C3" w14:textId="77777777" w:rsidR="00787F73" w:rsidRDefault="00742FB7" w:rsidP="00EC3165">
      <w:pPr>
        <w:pStyle w:val="Footer"/>
        <w:spacing w:line="240" w:lineRule="auto"/>
      </w:pPr>
      <w:r>
        <w:rPr>
          <w:rFonts w:cs="Calibri"/>
          <w:sz w:val="22"/>
          <w:szCs w:val="22"/>
        </w:rPr>
        <w:t>If you feel that your complaint has not been handled to your satisfaction, please contact the Dean of the Management School (Professor Rachel Finn).</w:t>
      </w:r>
    </w:p>
    <w:p w14:paraId="0A1A977A" w14:textId="77777777" w:rsidR="00787F73" w:rsidRDefault="00787F73" w:rsidP="00EC3165">
      <w:pPr>
        <w:pStyle w:val="Footer"/>
        <w:spacing w:line="240" w:lineRule="auto"/>
        <w:rPr>
          <w:rFonts w:cs="Calibri"/>
          <w:sz w:val="22"/>
          <w:szCs w:val="22"/>
        </w:rPr>
      </w:pPr>
    </w:p>
    <w:p w14:paraId="3931C94F" w14:textId="77777777" w:rsidR="00787F73" w:rsidRDefault="00742FB7" w:rsidP="00EC3165">
      <w:pPr>
        <w:pStyle w:val="Footer"/>
        <w:spacing w:line="240" w:lineRule="auto"/>
      </w:pPr>
      <w:r>
        <w:rPr>
          <w:rFonts w:cs="Calibri"/>
          <w:b/>
          <w:bCs/>
          <w:sz w:val="22"/>
          <w:szCs w:val="22"/>
        </w:rPr>
        <w:t>Dean of the Management School</w:t>
      </w:r>
    </w:p>
    <w:p w14:paraId="4604B90F" w14:textId="77777777" w:rsidR="00787F73" w:rsidRDefault="00742FB7" w:rsidP="00EC3165">
      <w:pPr>
        <w:pStyle w:val="Footer"/>
        <w:spacing w:line="240" w:lineRule="auto"/>
      </w:pPr>
      <w:r>
        <w:rPr>
          <w:rFonts w:cs="Calibri"/>
          <w:b/>
          <w:bCs/>
          <w:sz w:val="22"/>
          <w:szCs w:val="22"/>
        </w:rPr>
        <w:t>Name:</w:t>
      </w:r>
      <w:r>
        <w:rPr>
          <w:rFonts w:cs="Calibri"/>
          <w:sz w:val="22"/>
          <w:szCs w:val="22"/>
        </w:rPr>
        <w:t xml:space="preserve"> </w:t>
      </w:r>
      <w:r>
        <w:rPr>
          <w:rFonts w:cs="Calibri"/>
          <w:color w:val="000000"/>
          <w:sz w:val="22"/>
          <w:szCs w:val="22"/>
        </w:rPr>
        <w:t>Professor Rachael Finn</w:t>
      </w:r>
      <w:r>
        <w:rPr>
          <w:rFonts w:cs="Calibri"/>
          <w:b/>
          <w:bCs/>
          <w:color w:val="000000"/>
          <w:sz w:val="22"/>
          <w:szCs w:val="22"/>
        </w:rPr>
        <w:t xml:space="preserve"> </w:t>
      </w:r>
    </w:p>
    <w:p w14:paraId="3E3C5ABA" w14:textId="77777777" w:rsidR="00787F73" w:rsidRDefault="00742FB7" w:rsidP="00EC3165">
      <w:pPr>
        <w:pStyle w:val="Footer"/>
        <w:spacing w:line="240" w:lineRule="auto"/>
      </w:pPr>
      <w:r>
        <w:rPr>
          <w:rFonts w:cs="Calibri"/>
          <w:b/>
          <w:bCs/>
          <w:color w:val="000000"/>
          <w:sz w:val="22"/>
          <w:szCs w:val="22"/>
        </w:rPr>
        <w:t>Email</w:t>
      </w:r>
      <w:r>
        <w:rPr>
          <w:rFonts w:cs="Calibri"/>
          <w:color w:val="000000"/>
          <w:sz w:val="22"/>
          <w:szCs w:val="22"/>
        </w:rPr>
        <w:t xml:space="preserve">: </w:t>
      </w:r>
      <w:hyperlink r:id="rId47">
        <w:r>
          <w:rPr>
            <w:rStyle w:val="Hyperlink"/>
            <w:rFonts w:eastAsia="DengXian Light" w:cs="Calibri"/>
            <w:sz w:val="22"/>
            <w:szCs w:val="22"/>
          </w:rPr>
          <w:t>xxxxxxxxxxxxxxxxxxx</w:t>
        </w:r>
      </w:hyperlink>
    </w:p>
    <w:p w14:paraId="2C716917" w14:textId="77777777" w:rsidR="00787F73" w:rsidRDefault="00742FB7" w:rsidP="00EC3165">
      <w:pPr>
        <w:pStyle w:val="Footer"/>
        <w:spacing w:line="240" w:lineRule="auto"/>
      </w:pPr>
      <w:r>
        <w:rPr>
          <w:rFonts w:cs="Calibri"/>
          <w:b/>
          <w:bCs/>
          <w:color w:val="000000"/>
          <w:sz w:val="22"/>
          <w:szCs w:val="22"/>
        </w:rPr>
        <w:t>Phone number (Reception):</w:t>
      </w:r>
      <w:r>
        <w:rPr>
          <w:rFonts w:cs="Calibri"/>
          <w:color w:val="000000"/>
          <w:sz w:val="22"/>
          <w:szCs w:val="22"/>
        </w:rPr>
        <w:t xml:space="preserve"> xxxxxxxxxxxxxx</w:t>
      </w:r>
    </w:p>
    <w:p w14:paraId="15D950D4" w14:textId="77777777" w:rsidR="00787F73" w:rsidRDefault="00742FB7" w:rsidP="00EC3165">
      <w:pPr>
        <w:pStyle w:val="Footer"/>
        <w:spacing w:line="240" w:lineRule="auto"/>
      </w:pPr>
      <w:r>
        <w:rPr>
          <w:rFonts w:cs="Calibri"/>
          <w:b/>
          <w:bCs/>
          <w:color w:val="000000"/>
          <w:sz w:val="22"/>
          <w:szCs w:val="22"/>
        </w:rPr>
        <w:t>Address</w:t>
      </w:r>
      <w:r>
        <w:rPr>
          <w:rFonts w:cs="Calibri"/>
          <w:color w:val="000000"/>
          <w:sz w:val="22"/>
          <w:szCs w:val="22"/>
        </w:rPr>
        <w:t>: Sheffield University Management School, Conduit Road, Sheffield, S10 1FL</w:t>
      </w:r>
    </w:p>
    <w:p w14:paraId="4CFE94B4" w14:textId="77777777" w:rsidR="00787F73" w:rsidRDefault="00787F73" w:rsidP="00EC3165">
      <w:pPr>
        <w:pStyle w:val="Footer"/>
        <w:spacing w:line="240" w:lineRule="auto"/>
        <w:rPr>
          <w:rFonts w:cs="Calibri"/>
          <w:sz w:val="22"/>
          <w:szCs w:val="22"/>
        </w:rPr>
      </w:pPr>
    </w:p>
    <w:p w14:paraId="5D9BA65D" w14:textId="77777777" w:rsidR="00787F73" w:rsidRDefault="00742FB7" w:rsidP="00EC3165">
      <w:pPr>
        <w:shd w:val="clear" w:color="auto" w:fill="FFFFFF"/>
        <w:tabs>
          <w:tab w:val="left" w:pos="709"/>
        </w:tabs>
        <w:spacing w:line="240" w:lineRule="auto"/>
      </w:pPr>
      <w:r>
        <w:rPr>
          <w:rFonts w:eastAsia="TUOS Blake" w:cs="Calibri"/>
          <w:color w:val="000000"/>
          <w:sz w:val="22"/>
          <w:szCs w:val="22"/>
        </w:rPr>
        <w:t xml:space="preserve">If your complaint relates to how the participants’ personal data has been handled, information about how to raise a complaint can be found in the University’s Privacy Notice: </w:t>
      </w:r>
      <w:hyperlink r:id="rId48">
        <w:r>
          <w:rPr>
            <w:rStyle w:val="Hyperlink"/>
            <w:rFonts w:eastAsia="Arial" w:cs="Calibri"/>
            <w:sz w:val="22"/>
            <w:szCs w:val="22"/>
          </w:rPr>
          <w:t>https://www.sheffield.ac.uk/govern/data-protection/privacy/general</w:t>
        </w:r>
      </w:hyperlink>
      <w:r>
        <w:rPr>
          <w:rFonts w:eastAsia="Arial" w:cs="Calibri"/>
          <w:sz w:val="22"/>
          <w:szCs w:val="22"/>
        </w:rPr>
        <w:t>.</w:t>
      </w:r>
    </w:p>
    <w:p w14:paraId="374A29FC" w14:textId="77777777" w:rsidR="00787F73" w:rsidRDefault="00787F73" w:rsidP="00EC3165">
      <w:pPr>
        <w:spacing w:line="240" w:lineRule="auto"/>
        <w:jc w:val="both"/>
        <w:rPr>
          <w:rFonts w:eastAsia="TUOS Blake" w:cs="Calibri"/>
          <w:sz w:val="22"/>
          <w:szCs w:val="22"/>
        </w:rPr>
      </w:pPr>
    </w:p>
    <w:p w14:paraId="3339671D" w14:textId="77777777" w:rsidR="00787F73" w:rsidRDefault="00742FB7" w:rsidP="00EC3165">
      <w:pPr>
        <w:numPr>
          <w:ilvl w:val="0"/>
          <w:numId w:val="37"/>
        </w:numPr>
        <w:spacing w:after="120" w:line="240" w:lineRule="auto"/>
        <w:jc w:val="both"/>
      </w:pPr>
      <w:r>
        <w:rPr>
          <w:rFonts w:eastAsia="TUOS Blake" w:cs="Calibri"/>
          <w:b/>
          <w:sz w:val="22"/>
          <w:szCs w:val="22"/>
        </w:rPr>
        <w:t>Contact for further information</w:t>
      </w:r>
    </w:p>
    <w:p w14:paraId="3C3590B6" w14:textId="77777777" w:rsidR="00787F73" w:rsidRDefault="00787F73" w:rsidP="00EC3165">
      <w:pPr>
        <w:spacing w:line="240" w:lineRule="auto"/>
        <w:jc w:val="both"/>
        <w:rPr>
          <w:rFonts w:eastAsia="TUOS Blake" w:cs="Calibri"/>
          <w:color w:val="000000"/>
          <w:sz w:val="22"/>
          <w:szCs w:val="22"/>
        </w:rPr>
      </w:pPr>
    </w:p>
    <w:p w14:paraId="6DFD7367" w14:textId="77777777" w:rsidR="00787F73" w:rsidRDefault="00742FB7" w:rsidP="00EC3165">
      <w:pPr>
        <w:spacing w:line="240" w:lineRule="auto"/>
        <w:jc w:val="both"/>
      </w:pPr>
      <w:r>
        <w:rPr>
          <w:rFonts w:eastAsia="TUOS Blake" w:cs="Calibri"/>
          <w:color w:val="000000"/>
          <w:sz w:val="22"/>
          <w:szCs w:val="22"/>
        </w:rPr>
        <w:t>If you have any additional questions or comments, please contact the lead researcher or the primary supervisor.</w:t>
      </w:r>
    </w:p>
    <w:p w14:paraId="2F4115BA" w14:textId="77777777" w:rsidR="00787F73" w:rsidRDefault="00787F73" w:rsidP="00EC3165">
      <w:pPr>
        <w:spacing w:line="240" w:lineRule="auto"/>
        <w:jc w:val="both"/>
        <w:rPr>
          <w:rFonts w:eastAsia="TUOS Blake" w:cs="Calibri"/>
          <w:color w:val="000000"/>
          <w:sz w:val="22"/>
          <w:szCs w:val="22"/>
        </w:rPr>
      </w:pPr>
    </w:p>
    <w:p w14:paraId="6EEB5C34" w14:textId="77777777" w:rsidR="00787F73" w:rsidRDefault="00742FB7" w:rsidP="00EC3165">
      <w:pPr>
        <w:pStyle w:val="Footer"/>
        <w:spacing w:line="240" w:lineRule="auto"/>
      </w:pPr>
      <w:r>
        <w:rPr>
          <w:rFonts w:cs="Calibri"/>
          <w:b/>
          <w:bCs/>
          <w:sz w:val="22"/>
          <w:szCs w:val="22"/>
        </w:rPr>
        <w:t>Lead researcher</w:t>
      </w:r>
      <w:r>
        <w:rPr>
          <w:rFonts w:cs="Calibri"/>
          <w:b/>
          <w:bCs/>
          <w:sz w:val="22"/>
          <w:szCs w:val="22"/>
        </w:rPr>
        <w:tab/>
        <w:t xml:space="preserve">                                                               Supervisor </w:t>
      </w:r>
    </w:p>
    <w:p w14:paraId="563D3CB6" w14:textId="77777777" w:rsidR="00787F73" w:rsidRDefault="00742FB7" w:rsidP="00EC3165">
      <w:pPr>
        <w:pStyle w:val="Footer"/>
        <w:spacing w:line="240" w:lineRule="auto"/>
      </w:pPr>
      <w:r>
        <w:rPr>
          <w:rFonts w:cs="Calibri"/>
          <w:b/>
          <w:bCs/>
          <w:sz w:val="22"/>
          <w:szCs w:val="22"/>
        </w:rPr>
        <w:t>Name</w:t>
      </w:r>
      <w:r>
        <w:rPr>
          <w:rFonts w:cs="Calibri"/>
          <w:sz w:val="22"/>
          <w:szCs w:val="22"/>
        </w:rPr>
        <w:t>: Alex Ricketts</w:t>
      </w:r>
      <w:r>
        <w:rPr>
          <w:rFonts w:cs="Calibri"/>
          <w:sz w:val="22"/>
          <w:szCs w:val="22"/>
        </w:rPr>
        <w:tab/>
        <w:t xml:space="preserve">                                                                             </w:t>
      </w:r>
      <w:r>
        <w:rPr>
          <w:rFonts w:cs="Calibri"/>
          <w:b/>
          <w:bCs/>
          <w:sz w:val="22"/>
          <w:szCs w:val="22"/>
        </w:rPr>
        <w:t>Name:</w:t>
      </w:r>
      <w:r>
        <w:rPr>
          <w:rFonts w:cs="Calibri"/>
          <w:sz w:val="22"/>
          <w:szCs w:val="22"/>
        </w:rPr>
        <w:t xml:space="preserve"> Dr Martina McGuinness</w:t>
      </w:r>
    </w:p>
    <w:p w14:paraId="064EFBD8" w14:textId="77777777" w:rsidR="00787F73" w:rsidRDefault="00742FB7" w:rsidP="00EC3165">
      <w:pPr>
        <w:pStyle w:val="Footer"/>
        <w:spacing w:line="240" w:lineRule="auto"/>
      </w:pPr>
      <w:r>
        <w:rPr>
          <w:rFonts w:cs="Calibri"/>
          <w:b/>
          <w:bCs/>
          <w:sz w:val="22"/>
          <w:szCs w:val="22"/>
        </w:rPr>
        <w:t>Email:</w:t>
      </w:r>
      <w:r>
        <w:rPr>
          <w:rFonts w:cs="Calibri"/>
          <w:sz w:val="22"/>
          <w:szCs w:val="22"/>
        </w:rPr>
        <w:t xml:space="preserve"> </w:t>
      </w:r>
      <w:hyperlink r:id="rId49">
        <w:r>
          <w:rPr>
            <w:rFonts w:cs="Calibri"/>
            <w:sz w:val="22"/>
            <w:szCs w:val="22"/>
          </w:rPr>
          <w:tab/>
          <w:t xml:space="preserve">xxxxxxxxxxxxxxxxxxxxx                                                            </w:t>
        </w:r>
      </w:hyperlink>
      <w:r>
        <w:rPr>
          <w:rFonts w:cs="Calibri"/>
          <w:b/>
          <w:bCs/>
          <w:sz w:val="22"/>
          <w:szCs w:val="22"/>
        </w:rPr>
        <w:t>Email :</w:t>
      </w:r>
      <w:r>
        <w:rPr>
          <w:rFonts w:cs="Calibri"/>
          <w:sz w:val="22"/>
          <w:szCs w:val="22"/>
        </w:rPr>
        <w:t xml:space="preserve"> xxxxxxxxxxxxxxxxxxxxxxxxxx</w:t>
      </w:r>
      <w:hyperlink r:id="rId50">
        <w:r>
          <w:rPr>
            <w:rFonts w:cs="Calibri"/>
          </w:rPr>
          <w:t xml:space="preserve"> </w:t>
        </w:r>
      </w:hyperlink>
    </w:p>
    <w:p w14:paraId="1F204C43" w14:textId="77777777" w:rsidR="00787F73" w:rsidRDefault="00742FB7" w:rsidP="00EC3165">
      <w:pPr>
        <w:spacing w:line="240" w:lineRule="auto"/>
        <w:jc w:val="both"/>
      </w:pPr>
      <w:r>
        <w:rPr>
          <w:rFonts w:cs="Calibri"/>
          <w:sz w:val="22"/>
          <w:szCs w:val="22"/>
        </w:rPr>
        <w:tab/>
        <w:t xml:space="preserve">                                                                                                  </w:t>
      </w:r>
      <w:r>
        <w:rPr>
          <w:rFonts w:cs="Calibri"/>
          <w:b/>
          <w:bCs/>
          <w:sz w:val="22"/>
          <w:szCs w:val="22"/>
        </w:rPr>
        <w:t>Work Telephone:</w:t>
      </w:r>
      <w:r>
        <w:rPr>
          <w:rFonts w:cs="Calibri"/>
          <w:sz w:val="22"/>
          <w:szCs w:val="22"/>
        </w:rPr>
        <w:t xml:space="preserve"> xxxxxxxxxxxxxxxx</w:t>
      </w:r>
    </w:p>
    <w:p w14:paraId="351A620F" w14:textId="77777777" w:rsidR="00787F73" w:rsidRDefault="00742FB7" w:rsidP="00EC3165">
      <w:pPr>
        <w:pStyle w:val="ListParagraph"/>
        <w:keepNext/>
        <w:numPr>
          <w:ilvl w:val="0"/>
          <w:numId w:val="38"/>
        </w:numPr>
        <w:spacing w:line="240" w:lineRule="auto"/>
        <w:jc w:val="both"/>
      </w:pPr>
      <w:r>
        <w:rPr>
          <w:rFonts w:eastAsia="TUOS Blake" w:cs="Calibri"/>
          <w:b/>
          <w:color w:val="000000"/>
          <w:sz w:val="22"/>
          <w:szCs w:val="22"/>
        </w:rPr>
        <w:t>Copies of your documents</w:t>
      </w:r>
    </w:p>
    <w:p w14:paraId="5030AA5F" w14:textId="77777777" w:rsidR="00787F73" w:rsidRDefault="00787F73" w:rsidP="00EC3165">
      <w:pPr>
        <w:pStyle w:val="ListParagraph"/>
        <w:keepNext/>
        <w:spacing w:line="240" w:lineRule="auto"/>
        <w:jc w:val="both"/>
        <w:rPr>
          <w:rFonts w:eastAsia="TUOS Blake" w:cs="Calibri"/>
          <w:b/>
          <w:color w:val="000000"/>
          <w:sz w:val="22"/>
          <w:szCs w:val="22"/>
        </w:rPr>
      </w:pPr>
    </w:p>
    <w:p w14:paraId="7604DEF1" w14:textId="77777777" w:rsidR="00787F73" w:rsidRDefault="00742FB7" w:rsidP="00EC3165">
      <w:pPr>
        <w:shd w:val="clear" w:color="auto" w:fill="FFFFFF"/>
        <w:spacing w:line="240" w:lineRule="auto"/>
        <w:jc w:val="both"/>
      </w:pPr>
      <w:r>
        <w:rPr>
          <w:rFonts w:eastAsia="TUOS Blake" w:cs="Calibri"/>
          <w:bCs/>
          <w:color w:val="000000"/>
          <w:sz w:val="22"/>
          <w:szCs w:val="22"/>
        </w:rPr>
        <w:t>You</w:t>
      </w:r>
      <w:r>
        <w:rPr>
          <w:rFonts w:eastAsia="TUOS Blake" w:cs="Calibri"/>
          <w:bCs/>
          <w:sz w:val="22"/>
          <w:szCs w:val="22"/>
          <w:highlight w:val="white"/>
        </w:rPr>
        <w:t xml:space="preserve"> will be given</w:t>
      </w:r>
      <w:r>
        <w:rPr>
          <w:rFonts w:eastAsia="TUOS Blake" w:cs="Calibri"/>
          <w:sz w:val="22"/>
          <w:szCs w:val="22"/>
          <w:highlight w:val="white"/>
        </w:rPr>
        <w:t xml:space="preserve"> a copy of the information sheet and, if appropriate, a signed consent form to keep.</w:t>
      </w:r>
    </w:p>
    <w:p w14:paraId="33E9BAFD" w14:textId="77777777" w:rsidR="00787F73" w:rsidRDefault="00787F73" w:rsidP="00EC3165">
      <w:pPr>
        <w:keepNext/>
        <w:shd w:val="clear" w:color="auto" w:fill="FFFFFF"/>
        <w:spacing w:line="240" w:lineRule="auto"/>
        <w:jc w:val="center"/>
        <w:rPr>
          <w:rFonts w:eastAsia="TUOS Blake" w:cs="Calibri"/>
          <w:b/>
          <w:color w:val="000000"/>
          <w:sz w:val="28"/>
          <w:szCs w:val="28"/>
        </w:rPr>
      </w:pPr>
    </w:p>
    <w:p w14:paraId="28B74411" w14:textId="77777777" w:rsidR="00787F73" w:rsidRDefault="00742FB7" w:rsidP="00EC3165">
      <w:pPr>
        <w:keepNext/>
        <w:shd w:val="clear" w:color="auto" w:fill="FFFFFF"/>
        <w:spacing w:line="240" w:lineRule="auto"/>
        <w:jc w:val="center"/>
      </w:pPr>
      <w:r>
        <w:rPr>
          <w:rFonts w:eastAsia="TUOS Blake" w:cs="Calibri"/>
          <w:b/>
          <w:color w:val="000000"/>
          <w:sz w:val="28"/>
          <w:szCs w:val="28"/>
        </w:rPr>
        <w:t>Thank you very much for taking part in the project.</w:t>
      </w:r>
    </w:p>
    <w:p w14:paraId="19BB16F2" w14:textId="77777777" w:rsidR="00787F73" w:rsidRDefault="00787F73" w:rsidP="00EC3165">
      <w:pPr>
        <w:spacing w:line="240" w:lineRule="auto"/>
        <w:rPr>
          <w:rFonts w:cs="Calibri"/>
        </w:rPr>
      </w:pPr>
    </w:p>
    <w:p w14:paraId="396C026E" w14:textId="77777777" w:rsidR="00787F73" w:rsidRDefault="00742FB7" w:rsidP="00EC3165">
      <w:pPr>
        <w:spacing w:line="240" w:lineRule="auto"/>
        <w:rPr>
          <w:rFonts w:cs="Calibri"/>
        </w:rPr>
      </w:pPr>
      <w:r>
        <w:br w:type="page"/>
      </w:r>
    </w:p>
    <w:p w14:paraId="7FA5F87E" w14:textId="77777777" w:rsidR="00787F73" w:rsidRDefault="00742FB7" w:rsidP="00EC3165">
      <w:pPr>
        <w:pStyle w:val="Heading2"/>
        <w:spacing w:before="0" w:line="240" w:lineRule="auto"/>
      </w:pPr>
      <w:bookmarkStart w:id="1146" w:name="_Toc193367277"/>
      <w:r>
        <w:rPr>
          <w:rFonts w:ascii="Calibri" w:hAnsi="Calibri" w:cs="Calibri"/>
        </w:rPr>
        <w:lastRenderedPageBreak/>
        <w:t>Appendix 3: Consent Form</w:t>
      </w:r>
      <w:bookmarkEnd w:id="1146"/>
    </w:p>
    <w:p w14:paraId="1D3B055E" w14:textId="77777777" w:rsidR="00787F73" w:rsidRDefault="00742FB7" w:rsidP="00EC3165">
      <w:pPr>
        <w:spacing w:line="240" w:lineRule="auto"/>
        <w:jc w:val="center"/>
      </w:pPr>
      <w:r>
        <w:rPr>
          <w:rFonts w:cs="Calibri"/>
          <w:b/>
          <w:sz w:val="28"/>
          <w:szCs w:val="28"/>
        </w:rPr>
        <w:t>Social media and community disaster resilience: a process-based study of South Yorkshire Fire and Rescue</w:t>
      </w:r>
    </w:p>
    <w:tbl>
      <w:tblPr>
        <w:tblW w:w="10260" w:type="dxa"/>
        <w:tblInd w:w="108" w:type="dxa"/>
        <w:tblLayout w:type="fixed"/>
        <w:tblLook w:val="04A0" w:firstRow="1" w:lastRow="0" w:firstColumn="1" w:lastColumn="0" w:noHBand="0" w:noVBand="1"/>
      </w:tblPr>
      <w:tblGrid>
        <w:gridCol w:w="3871"/>
        <w:gridCol w:w="2933"/>
        <w:gridCol w:w="738"/>
        <w:gridCol w:w="709"/>
        <w:gridCol w:w="708"/>
        <w:gridCol w:w="1301"/>
      </w:tblGrid>
      <w:tr w:rsidR="00787F73" w14:paraId="7E5A5E60" w14:textId="77777777" w:rsidTr="001F5155">
        <w:trPr>
          <w:trHeight w:val="280"/>
        </w:trPr>
        <w:tc>
          <w:tcPr>
            <w:tcW w:w="7542" w:type="dxa"/>
            <w:gridSpan w:val="3"/>
            <w:tcBorders>
              <w:top w:val="single" w:sz="4" w:space="0" w:color="000000"/>
              <w:left w:val="single" w:sz="4" w:space="0" w:color="000000"/>
              <w:bottom w:val="single" w:sz="4" w:space="0" w:color="000000"/>
              <w:right w:val="single" w:sz="4" w:space="0" w:color="000000"/>
            </w:tcBorders>
          </w:tcPr>
          <w:p w14:paraId="7C49A9E8" w14:textId="77777777" w:rsidR="00787F73" w:rsidRDefault="00742FB7" w:rsidP="00EC3165">
            <w:pPr>
              <w:spacing w:after="80" w:line="240" w:lineRule="auto"/>
            </w:pPr>
            <w:r>
              <w:rPr>
                <w:rFonts w:cs="Calibri"/>
                <w:b/>
                <w:i/>
              </w:rPr>
              <w:t>Please tick the appropriate boxes</w:t>
            </w:r>
          </w:p>
        </w:tc>
        <w:tc>
          <w:tcPr>
            <w:tcW w:w="709" w:type="dxa"/>
            <w:tcBorders>
              <w:top w:val="single" w:sz="4" w:space="0" w:color="000000"/>
              <w:left w:val="single" w:sz="4" w:space="0" w:color="000000"/>
              <w:bottom w:val="single" w:sz="4" w:space="0" w:color="000000"/>
              <w:right w:val="single" w:sz="4" w:space="0" w:color="000000"/>
            </w:tcBorders>
          </w:tcPr>
          <w:p w14:paraId="3108236A" w14:textId="77777777" w:rsidR="00787F73" w:rsidRDefault="00742FB7" w:rsidP="00EC3165">
            <w:pPr>
              <w:spacing w:after="80" w:line="240" w:lineRule="auto"/>
            </w:pPr>
            <w:r>
              <w:rPr>
                <w:rFonts w:cs="Calibri"/>
                <w:b/>
              </w:rPr>
              <w:t>Yes</w:t>
            </w:r>
          </w:p>
        </w:tc>
        <w:tc>
          <w:tcPr>
            <w:tcW w:w="708" w:type="dxa"/>
            <w:tcBorders>
              <w:top w:val="single" w:sz="4" w:space="0" w:color="000000"/>
              <w:left w:val="single" w:sz="4" w:space="0" w:color="000000"/>
              <w:bottom w:val="single" w:sz="4" w:space="0" w:color="000000"/>
              <w:right w:val="single" w:sz="4" w:space="0" w:color="000000"/>
            </w:tcBorders>
          </w:tcPr>
          <w:p w14:paraId="20437659" w14:textId="77777777" w:rsidR="00787F73" w:rsidRDefault="00742FB7" w:rsidP="00EC3165">
            <w:pPr>
              <w:spacing w:after="80" w:line="240" w:lineRule="auto"/>
            </w:pPr>
            <w:r>
              <w:rPr>
                <w:rFonts w:cs="Calibri"/>
                <w:b/>
              </w:rPr>
              <w:t>No</w:t>
            </w:r>
          </w:p>
        </w:tc>
        <w:tc>
          <w:tcPr>
            <w:tcW w:w="1301" w:type="dxa"/>
          </w:tcPr>
          <w:p w14:paraId="571FE9D4" w14:textId="77777777" w:rsidR="00787F73" w:rsidRDefault="00787F73" w:rsidP="00EC3165">
            <w:pPr>
              <w:spacing w:line="240" w:lineRule="auto"/>
            </w:pPr>
          </w:p>
        </w:tc>
      </w:tr>
      <w:tr w:rsidR="00787F73" w14:paraId="664A8985" w14:textId="77777777" w:rsidTr="001F5155">
        <w:trPr>
          <w:trHeight w:val="300"/>
        </w:trPr>
        <w:tc>
          <w:tcPr>
            <w:tcW w:w="7542" w:type="dxa"/>
            <w:gridSpan w:val="3"/>
            <w:tcBorders>
              <w:top w:val="single" w:sz="4" w:space="0" w:color="000000"/>
              <w:left w:val="single" w:sz="4" w:space="0" w:color="000000"/>
              <w:bottom w:val="single" w:sz="4" w:space="0" w:color="000000"/>
              <w:right w:val="single" w:sz="4" w:space="0" w:color="000000"/>
            </w:tcBorders>
          </w:tcPr>
          <w:p w14:paraId="6BE38C72" w14:textId="77777777" w:rsidR="00787F73" w:rsidRDefault="00742FB7" w:rsidP="00EC3165">
            <w:pPr>
              <w:spacing w:after="120" w:line="240" w:lineRule="auto"/>
            </w:pPr>
            <w:r>
              <w:rPr>
                <w:rFonts w:cs="Calibri"/>
                <w:b/>
              </w:rPr>
              <w:t>Taking Part in the Project</w:t>
            </w:r>
          </w:p>
        </w:tc>
        <w:tc>
          <w:tcPr>
            <w:tcW w:w="709" w:type="dxa"/>
            <w:tcBorders>
              <w:top w:val="single" w:sz="4" w:space="0" w:color="000000"/>
              <w:left w:val="single" w:sz="4" w:space="0" w:color="000000"/>
              <w:bottom w:val="single" w:sz="4" w:space="0" w:color="000000"/>
              <w:right w:val="single" w:sz="4" w:space="0" w:color="000000"/>
            </w:tcBorders>
          </w:tcPr>
          <w:p w14:paraId="138FF01F" w14:textId="77777777" w:rsidR="00787F73" w:rsidRDefault="00787F73" w:rsidP="00EC3165">
            <w:pPr>
              <w:spacing w:after="120" w:line="240" w:lineRule="auto"/>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13FB8EBC" w14:textId="77777777" w:rsidR="00787F73" w:rsidRDefault="00787F73" w:rsidP="00EC3165">
            <w:pPr>
              <w:spacing w:after="120" w:line="240" w:lineRule="auto"/>
              <w:rPr>
                <w:rFonts w:cs="Calibri"/>
              </w:rPr>
            </w:pPr>
          </w:p>
        </w:tc>
        <w:tc>
          <w:tcPr>
            <w:tcW w:w="1301" w:type="dxa"/>
          </w:tcPr>
          <w:p w14:paraId="349F81FD" w14:textId="77777777" w:rsidR="00787F73" w:rsidRDefault="00787F73" w:rsidP="00EC3165">
            <w:pPr>
              <w:spacing w:line="240" w:lineRule="auto"/>
            </w:pPr>
          </w:p>
        </w:tc>
      </w:tr>
      <w:tr w:rsidR="00787F73" w14:paraId="352AC1C2" w14:textId="77777777" w:rsidTr="001F5155">
        <w:trPr>
          <w:trHeight w:val="460"/>
        </w:trPr>
        <w:tc>
          <w:tcPr>
            <w:tcW w:w="7542" w:type="dxa"/>
            <w:gridSpan w:val="3"/>
            <w:tcBorders>
              <w:top w:val="single" w:sz="4" w:space="0" w:color="000000"/>
              <w:left w:val="single" w:sz="4" w:space="0" w:color="000000"/>
              <w:bottom w:val="single" w:sz="4" w:space="0" w:color="000000"/>
              <w:right w:val="single" w:sz="4" w:space="0" w:color="000000"/>
            </w:tcBorders>
          </w:tcPr>
          <w:p w14:paraId="548A9F83" w14:textId="77777777" w:rsidR="00787F73" w:rsidRDefault="00742FB7" w:rsidP="00EC3165">
            <w:pPr>
              <w:pStyle w:val="NoSpacing"/>
            </w:pPr>
            <w:r>
              <w:rPr>
                <w:rFonts w:cs="Calibri"/>
                <w:color w:val="000000"/>
                <w:sz w:val="20"/>
                <w:szCs w:val="20"/>
              </w:rPr>
              <w:t>I have read and understood the project information sheet dated 03.04.20 or the project has been fully explained to me. (If you answer ‘No’ to this question please do not proceed with this consent form until you are fully aware of what your participation in the project will mean.)</w:t>
            </w:r>
          </w:p>
        </w:tc>
        <w:tc>
          <w:tcPr>
            <w:tcW w:w="709" w:type="dxa"/>
            <w:tcBorders>
              <w:top w:val="single" w:sz="4" w:space="0" w:color="000000"/>
              <w:left w:val="single" w:sz="4" w:space="0" w:color="000000"/>
              <w:bottom w:val="single" w:sz="4" w:space="0" w:color="000000"/>
              <w:right w:val="single" w:sz="4" w:space="0" w:color="000000"/>
            </w:tcBorders>
          </w:tcPr>
          <w:p w14:paraId="65164984" w14:textId="77777777" w:rsidR="00787F73" w:rsidRDefault="00787F73" w:rsidP="00EC3165">
            <w:pPr>
              <w:spacing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230F407F" w14:textId="77777777" w:rsidR="00787F73" w:rsidRDefault="00787F73" w:rsidP="00EC3165">
            <w:pPr>
              <w:spacing w:line="240" w:lineRule="auto"/>
              <w:jc w:val="center"/>
              <w:rPr>
                <w:rFonts w:cs="Calibri"/>
              </w:rPr>
            </w:pPr>
          </w:p>
        </w:tc>
        <w:tc>
          <w:tcPr>
            <w:tcW w:w="1301" w:type="dxa"/>
          </w:tcPr>
          <w:p w14:paraId="1B29FF10" w14:textId="77777777" w:rsidR="00787F73" w:rsidRDefault="00787F73" w:rsidP="00EC3165">
            <w:pPr>
              <w:spacing w:line="240" w:lineRule="auto"/>
            </w:pPr>
          </w:p>
        </w:tc>
      </w:tr>
      <w:tr w:rsidR="00787F73" w14:paraId="7B1022F5" w14:textId="77777777" w:rsidTr="001F5155">
        <w:tc>
          <w:tcPr>
            <w:tcW w:w="7542" w:type="dxa"/>
            <w:gridSpan w:val="3"/>
            <w:tcBorders>
              <w:top w:val="single" w:sz="4" w:space="0" w:color="000000"/>
              <w:left w:val="single" w:sz="4" w:space="0" w:color="000000"/>
              <w:bottom w:val="single" w:sz="4" w:space="0" w:color="000000"/>
              <w:right w:val="single" w:sz="4" w:space="0" w:color="000000"/>
            </w:tcBorders>
          </w:tcPr>
          <w:p w14:paraId="44580B1D" w14:textId="77777777" w:rsidR="00787F73" w:rsidRDefault="00742FB7" w:rsidP="00EC3165">
            <w:pPr>
              <w:spacing w:line="240" w:lineRule="auto"/>
              <w:rPr>
                <w:rFonts w:cs="Calibri"/>
                <w:color w:val="000000"/>
                <w:sz w:val="20"/>
                <w:szCs w:val="20"/>
              </w:rPr>
            </w:pPr>
            <w:r>
              <w:rPr>
                <w:rFonts w:cs="Calibri"/>
                <w:color w:val="000000"/>
                <w:sz w:val="20"/>
                <w:szCs w:val="20"/>
              </w:rPr>
              <w:t xml:space="preserve">I have been given the opportunity to ask questions about the project. </w:t>
            </w:r>
          </w:p>
          <w:p w14:paraId="00AF36FF" w14:textId="77777777" w:rsidR="001F5155" w:rsidRDefault="001F5155" w:rsidP="00EC3165">
            <w:pPr>
              <w:spacing w:line="240" w:lineRule="auto"/>
            </w:pPr>
          </w:p>
        </w:tc>
        <w:tc>
          <w:tcPr>
            <w:tcW w:w="709" w:type="dxa"/>
            <w:tcBorders>
              <w:top w:val="single" w:sz="4" w:space="0" w:color="000000"/>
              <w:left w:val="single" w:sz="4" w:space="0" w:color="000000"/>
              <w:bottom w:val="single" w:sz="4" w:space="0" w:color="000000"/>
              <w:right w:val="single" w:sz="4" w:space="0" w:color="000000"/>
            </w:tcBorders>
          </w:tcPr>
          <w:p w14:paraId="5CDD97D9" w14:textId="77777777" w:rsidR="00787F73" w:rsidRDefault="00787F73" w:rsidP="00EC3165">
            <w:pPr>
              <w:spacing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3C17370D" w14:textId="77777777" w:rsidR="00787F73" w:rsidRDefault="00787F73" w:rsidP="00EC3165">
            <w:pPr>
              <w:spacing w:line="240" w:lineRule="auto"/>
              <w:jc w:val="center"/>
              <w:rPr>
                <w:rFonts w:cs="Calibri"/>
              </w:rPr>
            </w:pPr>
          </w:p>
        </w:tc>
        <w:tc>
          <w:tcPr>
            <w:tcW w:w="1301" w:type="dxa"/>
          </w:tcPr>
          <w:p w14:paraId="61A7BD25" w14:textId="77777777" w:rsidR="00787F73" w:rsidRDefault="00787F73" w:rsidP="00EC3165">
            <w:pPr>
              <w:spacing w:line="240" w:lineRule="auto"/>
            </w:pPr>
          </w:p>
        </w:tc>
      </w:tr>
      <w:tr w:rsidR="00787F73" w14:paraId="277ED052" w14:textId="77777777" w:rsidTr="001F5155">
        <w:trPr>
          <w:trHeight w:val="540"/>
        </w:trPr>
        <w:tc>
          <w:tcPr>
            <w:tcW w:w="7542" w:type="dxa"/>
            <w:gridSpan w:val="3"/>
            <w:tcBorders>
              <w:top w:val="single" w:sz="4" w:space="0" w:color="000000"/>
              <w:left w:val="single" w:sz="4" w:space="0" w:color="000000"/>
              <w:bottom w:val="single" w:sz="4" w:space="0" w:color="000000"/>
              <w:right w:val="single" w:sz="4" w:space="0" w:color="000000"/>
            </w:tcBorders>
          </w:tcPr>
          <w:p w14:paraId="351A0E23" w14:textId="77777777" w:rsidR="00787F73" w:rsidRDefault="00742FB7" w:rsidP="00EC3165">
            <w:pPr>
              <w:spacing w:line="240" w:lineRule="auto"/>
            </w:pPr>
            <w:r>
              <w:rPr>
                <w:rFonts w:cs="Calibri"/>
                <w:color w:val="000000"/>
                <w:sz w:val="20"/>
                <w:szCs w:val="20"/>
              </w:rPr>
              <w:t xml:space="preserve">I agree to take part in the project.  </w:t>
            </w:r>
          </w:p>
        </w:tc>
        <w:tc>
          <w:tcPr>
            <w:tcW w:w="709" w:type="dxa"/>
            <w:tcBorders>
              <w:top w:val="single" w:sz="4" w:space="0" w:color="000000"/>
              <w:left w:val="single" w:sz="4" w:space="0" w:color="000000"/>
              <w:bottom w:val="single" w:sz="4" w:space="0" w:color="000000"/>
              <w:right w:val="single" w:sz="4" w:space="0" w:color="000000"/>
            </w:tcBorders>
          </w:tcPr>
          <w:p w14:paraId="439D1561" w14:textId="77777777" w:rsidR="00787F73" w:rsidRDefault="00787F73" w:rsidP="00EC3165">
            <w:pPr>
              <w:spacing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7C49FAB5" w14:textId="77777777" w:rsidR="00787F73" w:rsidRDefault="00787F73" w:rsidP="00EC3165">
            <w:pPr>
              <w:spacing w:line="240" w:lineRule="auto"/>
              <w:jc w:val="center"/>
              <w:rPr>
                <w:rFonts w:cs="Calibri"/>
              </w:rPr>
            </w:pPr>
          </w:p>
        </w:tc>
        <w:tc>
          <w:tcPr>
            <w:tcW w:w="1301" w:type="dxa"/>
          </w:tcPr>
          <w:p w14:paraId="3D23F51B" w14:textId="77777777" w:rsidR="00787F73" w:rsidRDefault="00787F73" w:rsidP="00EC3165">
            <w:pPr>
              <w:spacing w:line="240" w:lineRule="auto"/>
            </w:pPr>
          </w:p>
        </w:tc>
      </w:tr>
      <w:tr w:rsidR="00787F73" w14:paraId="4309424E" w14:textId="77777777" w:rsidTr="001F5155">
        <w:trPr>
          <w:trHeight w:val="540"/>
        </w:trPr>
        <w:tc>
          <w:tcPr>
            <w:tcW w:w="7542" w:type="dxa"/>
            <w:gridSpan w:val="3"/>
            <w:tcBorders>
              <w:top w:val="single" w:sz="4" w:space="0" w:color="000000"/>
              <w:left w:val="single" w:sz="4" w:space="0" w:color="000000"/>
              <w:bottom w:val="single" w:sz="4" w:space="0" w:color="000000"/>
              <w:right w:val="single" w:sz="4" w:space="0" w:color="000000"/>
            </w:tcBorders>
          </w:tcPr>
          <w:p w14:paraId="470AA684" w14:textId="77777777" w:rsidR="00787F73" w:rsidRDefault="00742FB7" w:rsidP="00EC3165">
            <w:pPr>
              <w:pStyle w:val="NoSpacing"/>
            </w:pPr>
            <w:r>
              <w:rPr>
                <w:rFonts w:cs="Calibri"/>
                <w:color w:val="000000"/>
                <w:sz w:val="20"/>
                <w:szCs w:val="20"/>
              </w:rPr>
              <w:t xml:space="preserve">I understand that taking part in the project will include semi-structured interviews - </w:t>
            </w:r>
            <w:r>
              <w:rPr>
                <w:rFonts w:cs="Calibri"/>
                <w:sz w:val="20"/>
                <w:szCs w:val="20"/>
              </w:rPr>
              <w:t>either in person, on the phone, or using an online video software, such as Skype or Zoom</w:t>
            </w:r>
          </w:p>
        </w:tc>
        <w:tc>
          <w:tcPr>
            <w:tcW w:w="709" w:type="dxa"/>
            <w:tcBorders>
              <w:top w:val="single" w:sz="4" w:space="0" w:color="000000"/>
              <w:left w:val="single" w:sz="4" w:space="0" w:color="000000"/>
              <w:bottom w:val="single" w:sz="4" w:space="0" w:color="000000"/>
              <w:right w:val="single" w:sz="4" w:space="0" w:color="000000"/>
            </w:tcBorders>
          </w:tcPr>
          <w:p w14:paraId="7EA2EFCA" w14:textId="77777777" w:rsidR="00787F73" w:rsidRDefault="00787F73" w:rsidP="00EC3165">
            <w:pPr>
              <w:spacing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4BD6106B" w14:textId="77777777" w:rsidR="00787F73" w:rsidRDefault="00787F73" w:rsidP="00EC3165">
            <w:pPr>
              <w:spacing w:line="240" w:lineRule="auto"/>
              <w:jc w:val="center"/>
              <w:rPr>
                <w:rFonts w:cs="Calibri"/>
              </w:rPr>
            </w:pPr>
          </w:p>
        </w:tc>
        <w:tc>
          <w:tcPr>
            <w:tcW w:w="1301" w:type="dxa"/>
          </w:tcPr>
          <w:p w14:paraId="6E40B268" w14:textId="77777777" w:rsidR="00787F73" w:rsidRDefault="00787F73" w:rsidP="00EC3165">
            <w:pPr>
              <w:spacing w:line="240" w:lineRule="auto"/>
            </w:pPr>
          </w:p>
        </w:tc>
      </w:tr>
      <w:tr w:rsidR="00787F73" w14:paraId="02D50A25" w14:textId="77777777" w:rsidTr="001F5155">
        <w:trPr>
          <w:trHeight w:val="540"/>
        </w:trPr>
        <w:tc>
          <w:tcPr>
            <w:tcW w:w="7542" w:type="dxa"/>
            <w:gridSpan w:val="3"/>
            <w:tcBorders>
              <w:top w:val="single" w:sz="4" w:space="0" w:color="000000"/>
              <w:left w:val="single" w:sz="4" w:space="0" w:color="000000"/>
              <w:bottom w:val="single" w:sz="4" w:space="0" w:color="000000"/>
              <w:right w:val="single" w:sz="4" w:space="0" w:color="000000"/>
            </w:tcBorders>
          </w:tcPr>
          <w:p w14:paraId="5541945C" w14:textId="77777777" w:rsidR="00787F73" w:rsidRDefault="00742FB7" w:rsidP="00EC3165">
            <w:pPr>
              <w:spacing w:line="240" w:lineRule="auto"/>
            </w:pPr>
            <w:r>
              <w:rPr>
                <w:rFonts w:cs="Calibri"/>
                <w:color w:val="000000"/>
                <w:sz w:val="20"/>
                <w:szCs w:val="20"/>
              </w:rPr>
              <w:t xml:space="preserve">I understand that taking part in the project will include attending and participating in workshops - </w:t>
            </w:r>
            <w:r>
              <w:rPr>
                <w:rFonts w:cs="Calibri"/>
                <w:sz w:val="20"/>
                <w:szCs w:val="20"/>
              </w:rPr>
              <w:t>either in person, on the phone, or using an online video software, such as Skype or Zoom</w:t>
            </w:r>
          </w:p>
        </w:tc>
        <w:tc>
          <w:tcPr>
            <w:tcW w:w="709" w:type="dxa"/>
            <w:tcBorders>
              <w:top w:val="single" w:sz="4" w:space="0" w:color="000000"/>
              <w:left w:val="single" w:sz="4" w:space="0" w:color="000000"/>
              <w:bottom w:val="single" w:sz="4" w:space="0" w:color="000000"/>
              <w:right w:val="single" w:sz="4" w:space="0" w:color="000000"/>
            </w:tcBorders>
          </w:tcPr>
          <w:p w14:paraId="4FE56816" w14:textId="77777777" w:rsidR="00787F73" w:rsidRDefault="00787F73" w:rsidP="00EC3165">
            <w:pPr>
              <w:spacing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2ED6E597" w14:textId="77777777" w:rsidR="00787F73" w:rsidRDefault="00787F73" w:rsidP="00EC3165">
            <w:pPr>
              <w:spacing w:line="240" w:lineRule="auto"/>
              <w:jc w:val="center"/>
              <w:rPr>
                <w:rFonts w:cs="Calibri"/>
              </w:rPr>
            </w:pPr>
          </w:p>
        </w:tc>
        <w:tc>
          <w:tcPr>
            <w:tcW w:w="1301" w:type="dxa"/>
          </w:tcPr>
          <w:p w14:paraId="0532A448" w14:textId="77777777" w:rsidR="00787F73" w:rsidRDefault="00787F73" w:rsidP="00EC3165">
            <w:pPr>
              <w:spacing w:line="240" w:lineRule="auto"/>
            </w:pPr>
          </w:p>
        </w:tc>
      </w:tr>
      <w:tr w:rsidR="00787F73" w14:paraId="0A2B19C6" w14:textId="77777777" w:rsidTr="001F5155">
        <w:trPr>
          <w:trHeight w:val="540"/>
        </w:trPr>
        <w:tc>
          <w:tcPr>
            <w:tcW w:w="7542" w:type="dxa"/>
            <w:gridSpan w:val="3"/>
            <w:tcBorders>
              <w:top w:val="single" w:sz="4" w:space="0" w:color="000000"/>
              <w:left w:val="single" w:sz="4" w:space="0" w:color="000000"/>
              <w:bottom w:val="single" w:sz="4" w:space="0" w:color="000000"/>
              <w:right w:val="single" w:sz="4" w:space="0" w:color="000000"/>
            </w:tcBorders>
          </w:tcPr>
          <w:p w14:paraId="41F2D275" w14:textId="77777777" w:rsidR="00787F73" w:rsidRDefault="00742FB7" w:rsidP="00EC3165">
            <w:pPr>
              <w:spacing w:line="240" w:lineRule="auto"/>
            </w:pPr>
            <w:r>
              <w:rPr>
                <w:rFonts w:cs="Calibri"/>
                <w:color w:val="000000"/>
                <w:sz w:val="20"/>
                <w:szCs w:val="20"/>
              </w:rPr>
              <w:t>I understand that taking part in the project will include being recorded via audio.</w:t>
            </w:r>
          </w:p>
        </w:tc>
        <w:tc>
          <w:tcPr>
            <w:tcW w:w="709" w:type="dxa"/>
            <w:tcBorders>
              <w:top w:val="single" w:sz="4" w:space="0" w:color="000000"/>
              <w:left w:val="single" w:sz="4" w:space="0" w:color="000000"/>
              <w:bottom w:val="single" w:sz="4" w:space="0" w:color="000000"/>
              <w:right w:val="single" w:sz="4" w:space="0" w:color="000000"/>
            </w:tcBorders>
          </w:tcPr>
          <w:p w14:paraId="1B80A202" w14:textId="77777777" w:rsidR="00787F73" w:rsidRDefault="00787F73" w:rsidP="00EC3165">
            <w:pPr>
              <w:spacing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30D3E67E" w14:textId="77777777" w:rsidR="00787F73" w:rsidRDefault="00787F73" w:rsidP="00EC3165">
            <w:pPr>
              <w:spacing w:line="240" w:lineRule="auto"/>
              <w:jc w:val="center"/>
              <w:rPr>
                <w:rFonts w:cs="Calibri"/>
              </w:rPr>
            </w:pPr>
          </w:p>
        </w:tc>
        <w:tc>
          <w:tcPr>
            <w:tcW w:w="1301" w:type="dxa"/>
          </w:tcPr>
          <w:p w14:paraId="4C3E395A" w14:textId="77777777" w:rsidR="00787F73" w:rsidRDefault="00787F73" w:rsidP="00EC3165">
            <w:pPr>
              <w:spacing w:line="240" w:lineRule="auto"/>
            </w:pPr>
          </w:p>
        </w:tc>
      </w:tr>
      <w:tr w:rsidR="00787F73" w14:paraId="3FB1E710" w14:textId="77777777" w:rsidTr="001F5155">
        <w:trPr>
          <w:trHeight w:val="540"/>
        </w:trPr>
        <w:tc>
          <w:tcPr>
            <w:tcW w:w="7542" w:type="dxa"/>
            <w:gridSpan w:val="3"/>
            <w:tcBorders>
              <w:top w:val="single" w:sz="4" w:space="0" w:color="000000"/>
              <w:left w:val="single" w:sz="4" w:space="0" w:color="000000"/>
              <w:bottom w:val="single" w:sz="4" w:space="0" w:color="000000"/>
              <w:right w:val="single" w:sz="4" w:space="0" w:color="000000"/>
            </w:tcBorders>
          </w:tcPr>
          <w:p w14:paraId="32887FDF" w14:textId="77777777" w:rsidR="00787F73" w:rsidRDefault="00742FB7" w:rsidP="00EC3165">
            <w:pPr>
              <w:spacing w:line="240" w:lineRule="auto"/>
            </w:pPr>
            <w:r>
              <w:rPr>
                <w:rFonts w:cs="Calibri"/>
                <w:color w:val="000000"/>
                <w:sz w:val="20"/>
                <w:szCs w:val="20"/>
              </w:rPr>
              <w:t>I understand that taking part in the project will include photos being taken of any work I share or produce in interviews or workshops.</w:t>
            </w:r>
          </w:p>
        </w:tc>
        <w:tc>
          <w:tcPr>
            <w:tcW w:w="709" w:type="dxa"/>
            <w:tcBorders>
              <w:top w:val="single" w:sz="4" w:space="0" w:color="000000"/>
              <w:left w:val="single" w:sz="4" w:space="0" w:color="000000"/>
              <w:bottom w:val="single" w:sz="4" w:space="0" w:color="000000"/>
              <w:right w:val="single" w:sz="4" w:space="0" w:color="000000"/>
            </w:tcBorders>
          </w:tcPr>
          <w:p w14:paraId="399E57AB" w14:textId="77777777" w:rsidR="00787F73" w:rsidRDefault="00787F73" w:rsidP="00EC3165">
            <w:pPr>
              <w:spacing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0A9603CE" w14:textId="77777777" w:rsidR="00787F73" w:rsidRDefault="00787F73" w:rsidP="00EC3165">
            <w:pPr>
              <w:spacing w:line="240" w:lineRule="auto"/>
              <w:jc w:val="center"/>
              <w:rPr>
                <w:rFonts w:cs="Calibri"/>
              </w:rPr>
            </w:pPr>
          </w:p>
        </w:tc>
        <w:tc>
          <w:tcPr>
            <w:tcW w:w="1301" w:type="dxa"/>
          </w:tcPr>
          <w:p w14:paraId="381CB0A8" w14:textId="77777777" w:rsidR="00787F73" w:rsidRDefault="00787F73" w:rsidP="00EC3165">
            <w:pPr>
              <w:spacing w:line="240" w:lineRule="auto"/>
            </w:pPr>
          </w:p>
        </w:tc>
      </w:tr>
      <w:tr w:rsidR="00787F73" w14:paraId="44B22032" w14:textId="77777777" w:rsidTr="001F5155">
        <w:tc>
          <w:tcPr>
            <w:tcW w:w="7542" w:type="dxa"/>
            <w:gridSpan w:val="3"/>
            <w:tcBorders>
              <w:top w:val="single" w:sz="4" w:space="0" w:color="000000"/>
              <w:left w:val="single" w:sz="4" w:space="0" w:color="000000"/>
              <w:bottom w:val="single" w:sz="4" w:space="0" w:color="000000"/>
              <w:right w:val="single" w:sz="4" w:space="0" w:color="000000"/>
            </w:tcBorders>
          </w:tcPr>
          <w:p w14:paraId="26FA15F9" w14:textId="77777777" w:rsidR="00787F73" w:rsidRDefault="00742FB7" w:rsidP="00EC3165">
            <w:pPr>
              <w:spacing w:line="240" w:lineRule="auto"/>
            </w:pPr>
            <w:r>
              <w:rPr>
                <w:rFonts w:cs="Calibri"/>
                <w:color w:val="000000"/>
                <w:sz w:val="20"/>
                <w:szCs w:val="20"/>
              </w:rPr>
              <w:t xml:space="preserve">I understand that my taking part is voluntary and that I can withdraw from the study at any time; I do not have to give any reasons for why I no longer want to take part and there will be no adverse consequences if I choose to withdraw. </w:t>
            </w:r>
          </w:p>
        </w:tc>
        <w:tc>
          <w:tcPr>
            <w:tcW w:w="709" w:type="dxa"/>
            <w:tcBorders>
              <w:top w:val="single" w:sz="4" w:space="0" w:color="000000"/>
              <w:left w:val="single" w:sz="4" w:space="0" w:color="000000"/>
              <w:bottom w:val="single" w:sz="4" w:space="0" w:color="000000"/>
              <w:right w:val="single" w:sz="4" w:space="0" w:color="000000"/>
            </w:tcBorders>
          </w:tcPr>
          <w:p w14:paraId="6329BE08" w14:textId="77777777" w:rsidR="00787F73" w:rsidRDefault="00787F73" w:rsidP="00EC3165">
            <w:pPr>
              <w:spacing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536C2B2C" w14:textId="77777777" w:rsidR="00787F73" w:rsidRDefault="00787F73" w:rsidP="00EC3165">
            <w:pPr>
              <w:spacing w:line="240" w:lineRule="auto"/>
              <w:jc w:val="center"/>
              <w:rPr>
                <w:rFonts w:cs="Calibri"/>
              </w:rPr>
            </w:pPr>
          </w:p>
        </w:tc>
        <w:tc>
          <w:tcPr>
            <w:tcW w:w="1301" w:type="dxa"/>
          </w:tcPr>
          <w:p w14:paraId="77C110E5" w14:textId="77777777" w:rsidR="00787F73" w:rsidRDefault="00787F73" w:rsidP="00EC3165">
            <w:pPr>
              <w:spacing w:line="240" w:lineRule="auto"/>
            </w:pPr>
          </w:p>
        </w:tc>
      </w:tr>
      <w:tr w:rsidR="00787F73" w14:paraId="20658097" w14:textId="77777777" w:rsidTr="001F5155">
        <w:tc>
          <w:tcPr>
            <w:tcW w:w="7542" w:type="dxa"/>
            <w:gridSpan w:val="3"/>
            <w:tcBorders>
              <w:top w:val="single" w:sz="4" w:space="0" w:color="000000"/>
              <w:left w:val="single" w:sz="4" w:space="0" w:color="000000"/>
              <w:bottom w:val="single" w:sz="4" w:space="0" w:color="000000"/>
              <w:right w:val="single" w:sz="4" w:space="0" w:color="000000"/>
            </w:tcBorders>
          </w:tcPr>
          <w:p w14:paraId="0089F383" w14:textId="77777777" w:rsidR="00787F73" w:rsidRDefault="00742FB7" w:rsidP="00EC3165">
            <w:pPr>
              <w:spacing w:after="80" w:line="240" w:lineRule="auto"/>
            </w:pPr>
            <w:r>
              <w:rPr>
                <w:rFonts w:cs="Calibri"/>
                <w:b/>
              </w:rPr>
              <w:t>How my information will be used during and after the project</w:t>
            </w:r>
          </w:p>
        </w:tc>
        <w:tc>
          <w:tcPr>
            <w:tcW w:w="709" w:type="dxa"/>
            <w:tcBorders>
              <w:top w:val="single" w:sz="4" w:space="0" w:color="000000"/>
              <w:left w:val="single" w:sz="4" w:space="0" w:color="000000"/>
              <w:bottom w:val="single" w:sz="4" w:space="0" w:color="000000"/>
              <w:right w:val="single" w:sz="4" w:space="0" w:color="000000"/>
            </w:tcBorders>
          </w:tcPr>
          <w:p w14:paraId="474F97CB" w14:textId="77777777" w:rsidR="00787F73" w:rsidRDefault="00787F73" w:rsidP="00EC3165">
            <w:pPr>
              <w:spacing w:after="80"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537F3138" w14:textId="77777777" w:rsidR="00787F73" w:rsidRDefault="00787F73" w:rsidP="00EC3165">
            <w:pPr>
              <w:spacing w:after="80" w:line="240" w:lineRule="auto"/>
              <w:jc w:val="center"/>
              <w:rPr>
                <w:rFonts w:cs="Calibri"/>
              </w:rPr>
            </w:pPr>
          </w:p>
        </w:tc>
        <w:tc>
          <w:tcPr>
            <w:tcW w:w="1301" w:type="dxa"/>
          </w:tcPr>
          <w:p w14:paraId="51901AEB" w14:textId="77777777" w:rsidR="00787F73" w:rsidRDefault="00787F73" w:rsidP="00EC3165">
            <w:pPr>
              <w:spacing w:line="240" w:lineRule="auto"/>
            </w:pPr>
          </w:p>
        </w:tc>
      </w:tr>
      <w:tr w:rsidR="00787F73" w14:paraId="42F7C40E" w14:textId="77777777" w:rsidTr="001F5155">
        <w:tc>
          <w:tcPr>
            <w:tcW w:w="7542" w:type="dxa"/>
            <w:gridSpan w:val="3"/>
            <w:tcBorders>
              <w:top w:val="single" w:sz="4" w:space="0" w:color="000000"/>
              <w:left w:val="single" w:sz="4" w:space="0" w:color="000000"/>
              <w:bottom w:val="single" w:sz="4" w:space="0" w:color="000000"/>
              <w:right w:val="single" w:sz="4" w:space="0" w:color="000000"/>
            </w:tcBorders>
          </w:tcPr>
          <w:p w14:paraId="7102E4D0" w14:textId="77777777" w:rsidR="00787F73" w:rsidRDefault="00742FB7" w:rsidP="00EC3165">
            <w:pPr>
              <w:spacing w:line="240" w:lineRule="auto"/>
            </w:pPr>
            <w:r>
              <w:rPr>
                <w:rFonts w:cs="Calibri"/>
                <w:sz w:val="20"/>
                <w:szCs w:val="20"/>
              </w:rPr>
              <w:t>I understand my personal details such as name, phone number, address and email address etc. will not be revealed to people outside the project.</w:t>
            </w:r>
          </w:p>
        </w:tc>
        <w:tc>
          <w:tcPr>
            <w:tcW w:w="709" w:type="dxa"/>
            <w:tcBorders>
              <w:top w:val="single" w:sz="4" w:space="0" w:color="000000"/>
              <w:left w:val="single" w:sz="4" w:space="0" w:color="000000"/>
              <w:bottom w:val="single" w:sz="4" w:space="0" w:color="000000"/>
              <w:right w:val="single" w:sz="4" w:space="0" w:color="000000"/>
            </w:tcBorders>
          </w:tcPr>
          <w:p w14:paraId="1710F61A" w14:textId="77777777" w:rsidR="00787F73" w:rsidRDefault="00787F73" w:rsidP="00EC3165">
            <w:pPr>
              <w:spacing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00BE04B6" w14:textId="77777777" w:rsidR="00787F73" w:rsidRDefault="00787F73" w:rsidP="00EC3165">
            <w:pPr>
              <w:spacing w:line="240" w:lineRule="auto"/>
              <w:jc w:val="center"/>
              <w:rPr>
                <w:rFonts w:cs="Calibri"/>
              </w:rPr>
            </w:pPr>
          </w:p>
        </w:tc>
        <w:tc>
          <w:tcPr>
            <w:tcW w:w="1301" w:type="dxa"/>
          </w:tcPr>
          <w:p w14:paraId="14C7759D" w14:textId="77777777" w:rsidR="00787F73" w:rsidRDefault="00787F73" w:rsidP="00EC3165">
            <w:pPr>
              <w:spacing w:line="240" w:lineRule="auto"/>
            </w:pPr>
          </w:p>
        </w:tc>
      </w:tr>
      <w:tr w:rsidR="00787F73" w14:paraId="75C787A7" w14:textId="77777777" w:rsidTr="001F5155">
        <w:tc>
          <w:tcPr>
            <w:tcW w:w="7542" w:type="dxa"/>
            <w:gridSpan w:val="3"/>
            <w:tcBorders>
              <w:top w:val="single" w:sz="4" w:space="0" w:color="000000"/>
              <w:left w:val="single" w:sz="4" w:space="0" w:color="000000"/>
              <w:bottom w:val="single" w:sz="4" w:space="0" w:color="000000"/>
              <w:right w:val="single" w:sz="4" w:space="0" w:color="000000"/>
            </w:tcBorders>
          </w:tcPr>
          <w:p w14:paraId="36291F05" w14:textId="77777777" w:rsidR="00787F73" w:rsidRDefault="00742FB7" w:rsidP="00EC3165">
            <w:pPr>
              <w:spacing w:line="240" w:lineRule="auto"/>
            </w:pPr>
            <w:r>
              <w:rPr>
                <w:rFonts w:cs="Calibri"/>
                <w:sz w:val="20"/>
                <w:szCs w:val="20"/>
              </w:rPr>
              <w:t>I understand and agree that my words may be quoted in publications, reports, web pages, and other research outputs. I understand that I will not be named in these outputs unless I specifically request this.</w:t>
            </w:r>
          </w:p>
        </w:tc>
        <w:tc>
          <w:tcPr>
            <w:tcW w:w="709" w:type="dxa"/>
            <w:tcBorders>
              <w:top w:val="single" w:sz="4" w:space="0" w:color="000000"/>
              <w:left w:val="single" w:sz="4" w:space="0" w:color="000000"/>
              <w:bottom w:val="single" w:sz="4" w:space="0" w:color="000000"/>
              <w:right w:val="single" w:sz="4" w:space="0" w:color="000000"/>
            </w:tcBorders>
          </w:tcPr>
          <w:p w14:paraId="6297E160" w14:textId="77777777" w:rsidR="00787F73" w:rsidRDefault="00787F73" w:rsidP="00EC3165">
            <w:pPr>
              <w:spacing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77AE028D" w14:textId="77777777" w:rsidR="00787F73" w:rsidRDefault="00787F73" w:rsidP="00EC3165">
            <w:pPr>
              <w:spacing w:line="240" w:lineRule="auto"/>
              <w:jc w:val="center"/>
              <w:rPr>
                <w:rFonts w:cs="Calibri"/>
              </w:rPr>
            </w:pPr>
          </w:p>
        </w:tc>
        <w:tc>
          <w:tcPr>
            <w:tcW w:w="1301" w:type="dxa"/>
          </w:tcPr>
          <w:p w14:paraId="69A4E3E4" w14:textId="77777777" w:rsidR="00787F73" w:rsidRDefault="00787F73" w:rsidP="00EC3165">
            <w:pPr>
              <w:spacing w:line="240" w:lineRule="auto"/>
            </w:pPr>
          </w:p>
        </w:tc>
      </w:tr>
      <w:tr w:rsidR="00787F73" w14:paraId="2909F00C" w14:textId="77777777" w:rsidTr="001F5155">
        <w:tc>
          <w:tcPr>
            <w:tcW w:w="7542" w:type="dxa"/>
            <w:gridSpan w:val="3"/>
            <w:tcBorders>
              <w:top w:val="single" w:sz="4" w:space="0" w:color="000000"/>
              <w:left w:val="single" w:sz="4" w:space="0" w:color="000000"/>
              <w:bottom w:val="single" w:sz="4" w:space="0" w:color="000000"/>
              <w:right w:val="single" w:sz="4" w:space="0" w:color="000000"/>
            </w:tcBorders>
          </w:tcPr>
          <w:p w14:paraId="02AC0C1B" w14:textId="77777777" w:rsidR="00787F73" w:rsidRDefault="00742FB7" w:rsidP="00EC3165">
            <w:pPr>
              <w:spacing w:line="240" w:lineRule="auto"/>
            </w:pPr>
            <w:r>
              <w:rPr>
                <w:rFonts w:cs="Calibri"/>
                <w:sz w:val="20"/>
                <w:szCs w:val="20"/>
              </w:rPr>
              <w:t xml:space="preserve">I understand and agree that other authorised researchers will have access to this data only if they agree to preserve the confidentiality of the information as requested in this form. </w:t>
            </w:r>
          </w:p>
        </w:tc>
        <w:tc>
          <w:tcPr>
            <w:tcW w:w="709" w:type="dxa"/>
            <w:tcBorders>
              <w:top w:val="single" w:sz="4" w:space="0" w:color="000000"/>
              <w:left w:val="single" w:sz="4" w:space="0" w:color="000000"/>
              <w:bottom w:val="single" w:sz="4" w:space="0" w:color="000000"/>
              <w:right w:val="single" w:sz="4" w:space="0" w:color="000000"/>
            </w:tcBorders>
          </w:tcPr>
          <w:p w14:paraId="1D5913CB" w14:textId="77777777" w:rsidR="00787F73" w:rsidRDefault="00787F73" w:rsidP="00EC3165">
            <w:pPr>
              <w:spacing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7D591E1F" w14:textId="77777777" w:rsidR="00787F73" w:rsidRDefault="00787F73" w:rsidP="00EC3165">
            <w:pPr>
              <w:spacing w:line="240" w:lineRule="auto"/>
              <w:jc w:val="center"/>
              <w:rPr>
                <w:rFonts w:cs="Calibri"/>
              </w:rPr>
            </w:pPr>
          </w:p>
        </w:tc>
        <w:tc>
          <w:tcPr>
            <w:tcW w:w="1301" w:type="dxa"/>
          </w:tcPr>
          <w:p w14:paraId="5EE59820" w14:textId="77777777" w:rsidR="00787F73" w:rsidRDefault="00787F73" w:rsidP="00EC3165">
            <w:pPr>
              <w:spacing w:line="240" w:lineRule="auto"/>
            </w:pPr>
          </w:p>
        </w:tc>
      </w:tr>
      <w:tr w:rsidR="00787F73" w14:paraId="695A9ADC" w14:textId="77777777" w:rsidTr="001F5155">
        <w:tc>
          <w:tcPr>
            <w:tcW w:w="7542" w:type="dxa"/>
            <w:gridSpan w:val="3"/>
            <w:tcBorders>
              <w:top w:val="single" w:sz="4" w:space="0" w:color="000000"/>
              <w:left w:val="single" w:sz="4" w:space="0" w:color="000000"/>
              <w:bottom w:val="single" w:sz="4" w:space="0" w:color="000000"/>
              <w:right w:val="single" w:sz="4" w:space="0" w:color="000000"/>
            </w:tcBorders>
          </w:tcPr>
          <w:p w14:paraId="7D4ACFD3" w14:textId="77777777" w:rsidR="00787F73" w:rsidRDefault="00742FB7" w:rsidP="00EC3165">
            <w:pPr>
              <w:spacing w:line="240" w:lineRule="auto"/>
            </w:pPr>
            <w:r>
              <w:rPr>
                <w:rFonts w:cs="Calibri"/>
                <w:color w:val="000000"/>
                <w:sz w:val="20"/>
                <w:szCs w:val="20"/>
              </w:rPr>
              <w:t>I understand and agree that other authorised researchers may use my data in publications, reports, web pages, and other research outputs, only if they agree to preserve the confidentiality of the information as requested in this form.</w:t>
            </w:r>
          </w:p>
        </w:tc>
        <w:tc>
          <w:tcPr>
            <w:tcW w:w="709" w:type="dxa"/>
            <w:tcBorders>
              <w:top w:val="single" w:sz="4" w:space="0" w:color="000000"/>
              <w:left w:val="single" w:sz="4" w:space="0" w:color="000000"/>
              <w:bottom w:val="single" w:sz="4" w:space="0" w:color="000000"/>
              <w:right w:val="single" w:sz="4" w:space="0" w:color="000000"/>
            </w:tcBorders>
          </w:tcPr>
          <w:p w14:paraId="3A13DF31" w14:textId="77777777" w:rsidR="00787F73" w:rsidRDefault="00787F73" w:rsidP="00EC3165">
            <w:pPr>
              <w:spacing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2766394A" w14:textId="77777777" w:rsidR="00787F73" w:rsidRDefault="00787F73" w:rsidP="00EC3165">
            <w:pPr>
              <w:spacing w:line="240" w:lineRule="auto"/>
              <w:jc w:val="center"/>
              <w:rPr>
                <w:rFonts w:cs="Calibri"/>
              </w:rPr>
            </w:pPr>
          </w:p>
        </w:tc>
        <w:tc>
          <w:tcPr>
            <w:tcW w:w="1301" w:type="dxa"/>
          </w:tcPr>
          <w:p w14:paraId="17B0813C" w14:textId="77777777" w:rsidR="00787F73" w:rsidRDefault="00787F73" w:rsidP="00EC3165">
            <w:pPr>
              <w:spacing w:line="240" w:lineRule="auto"/>
            </w:pPr>
          </w:p>
        </w:tc>
      </w:tr>
      <w:tr w:rsidR="00787F73" w14:paraId="635CFC17" w14:textId="77777777" w:rsidTr="001F5155">
        <w:tc>
          <w:tcPr>
            <w:tcW w:w="7542" w:type="dxa"/>
            <w:gridSpan w:val="3"/>
            <w:tcBorders>
              <w:top w:val="single" w:sz="4" w:space="0" w:color="000000"/>
              <w:left w:val="single" w:sz="4" w:space="0" w:color="000000"/>
              <w:bottom w:val="single" w:sz="4" w:space="0" w:color="000000"/>
              <w:right w:val="single" w:sz="4" w:space="0" w:color="000000"/>
            </w:tcBorders>
          </w:tcPr>
          <w:p w14:paraId="53F3CF60" w14:textId="77777777" w:rsidR="00787F73" w:rsidRDefault="00742FB7" w:rsidP="00EC3165">
            <w:pPr>
              <w:spacing w:line="240" w:lineRule="auto"/>
            </w:pPr>
            <w:r>
              <w:rPr>
                <w:rFonts w:cs="Calibri"/>
                <w:color w:val="000000"/>
                <w:sz w:val="20"/>
                <w:szCs w:val="20"/>
                <w:highlight w:val="white"/>
              </w:rPr>
              <w:t>I give permission for the transcripts and materials shared or created in the sessions that I provide to be deposited in the UK Data Service data repository</w:t>
            </w:r>
            <w:r>
              <w:rPr>
                <w:rFonts w:cs="Calibri"/>
                <w:b/>
                <w:bCs/>
                <w:color w:val="000000"/>
                <w:sz w:val="20"/>
                <w:szCs w:val="20"/>
                <w:highlight w:val="white"/>
              </w:rPr>
              <w:t> </w:t>
            </w:r>
            <w:r>
              <w:rPr>
                <w:rFonts w:cs="Calibri"/>
                <w:color w:val="000000"/>
                <w:sz w:val="20"/>
                <w:szCs w:val="20"/>
                <w:highlight w:val="white"/>
              </w:rPr>
              <w:t>so it can be used for future research and learning</w:t>
            </w:r>
          </w:p>
        </w:tc>
        <w:tc>
          <w:tcPr>
            <w:tcW w:w="709" w:type="dxa"/>
            <w:tcBorders>
              <w:top w:val="single" w:sz="4" w:space="0" w:color="000000"/>
              <w:left w:val="single" w:sz="4" w:space="0" w:color="000000"/>
              <w:bottom w:val="single" w:sz="4" w:space="0" w:color="000000"/>
              <w:right w:val="single" w:sz="4" w:space="0" w:color="000000"/>
            </w:tcBorders>
          </w:tcPr>
          <w:p w14:paraId="4B676D77" w14:textId="77777777" w:rsidR="00787F73" w:rsidRDefault="00787F73" w:rsidP="00EC3165">
            <w:pPr>
              <w:spacing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59DF5508" w14:textId="77777777" w:rsidR="00787F73" w:rsidRDefault="00787F73" w:rsidP="00EC3165">
            <w:pPr>
              <w:spacing w:line="240" w:lineRule="auto"/>
              <w:jc w:val="center"/>
              <w:rPr>
                <w:rFonts w:cs="Calibri"/>
              </w:rPr>
            </w:pPr>
          </w:p>
        </w:tc>
        <w:tc>
          <w:tcPr>
            <w:tcW w:w="1301" w:type="dxa"/>
          </w:tcPr>
          <w:p w14:paraId="67CDF5D6" w14:textId="77777777" w:rsidR="00787F73" w:rsidRDefault="00787F73" w:rsidP="00EC3165">
            <w:pPr>
              <w:spacing w:line="240" w:lineRule="auto"/>
            </w:pPr>
          </w:p>
        </w:tc>
      </w:tr>
      <w:tr w:rsidR="00787F73" w14:paraId="46CFBCBA" w14:textId="77777777" w:rsidTr="001F5155">
        <w:tc>
          <w:tcPr>
            <w:tcW w:w="7542" w:type="dxa"/>
            <w:gridSpan w:val="3"/>
            <w:tcBorders>
              <w:top w:val="single" w:sz="4" w:space="0" w:color="000000"/>
              <w:left w:val="single" w:sz="4" w:space="0" w:color="000000"/>
              <w:bottom w:val="single" w:sz="4" w:space="0" w:color="000000"/>
              <w:right w:val="single" w:sz="4" w:space="0" w:color="000000"/>
            </w:tcBorders>
          </w:tcPr>
          <w:p w14:paraId="013FE709" w14:textId="77777777" w:rsidR="00787F73" w:rsidRDefault="00742FB7" w:rsidP="00EC3165">
            <w:pPr>
              <w:spacing w:after="80" w:line="240" w:lineRule="auto"/>
            </w:pPr>
            <w:r>
              <w:rPr>
                <w:rFonts w:cs="Calibri"/>
                <w:b/>
              </w:rPr>
              <w:t>So that the information you provide can be used legally by the researchers</w:t>
            </w:r>
          </w:p>
        </w:tc>
        <w:tc>
          <w:tcPr>
            <w:tcW w:w="709" w:type="dxa"/>
            <w:tcBorders>
              <w:top w:val="single" w:sz="4" w:space="0" w:color="000000"/>
              <w:left w:val="single" w:sz="4" w:space="0" w:color="000000"/>
              <w:bottom w:val="single" w:sz="4" w:space="0" w:color="000000"/>
              <w:right w:val="single" w:sz="4" w:space="0" w:color="000000"/>
            </w:tcBorders>
          </w:tcPr>
          <w:p w14:paraId="0B8EEE3C" w14:textId="77777777" w:rsidR="00787F73" w:rsidRDefault="00787F73" w:rsidP="00EC3165">
            <w:pPr>
              <w:spacing w:after="80"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05561C7D" w14:textId="77777777" w:rsidR="00787F73" w:rsidRDefault="00787F73" w:rsidP="00EC3165">
            <w:pPr>
              <w:spacing w:after="80" w:line="240" w:lineRule="auto"/>
              <w:jc w:val="center"/>
              <w:rPr>
                <w:rFonts w:cs="Calibri"/>
              </w:rPr>
            </w:pPr>
          </w:p>
        </w:tc>
        <w:tc>
          <w:tcPr>
            <w:tcW w:w="1301" w:type="dxa"/>
          </w:tcPr>
          <w:p w14:paraId="538F983A" w14:textId="77777777" w:rsidR="00787F73" w:rsidRDefault="00787F73" w:rsidP="00EC3165">
            <w:pPr>
              <w:spacing w:line="240" w:lineRule="auto"/>
            </w:pPr>
          </w:p>
        </w:tc>
      </w:tr>
      <w:tr w:rsidR="00787F73" w14:paraId="50905E9E" w14:textId="77777777" w:rsidTr="001F5155">
        <w:tc>
          <w:tcPr>
            <w:tcW w:w="7542" w:type="dxa"/>
            <w:gridSpan w:val="3"/>
            <w:tcBorders>
              <w:top w:val="single" w:sz="4" w:space="0" w:color="000000"/>
              <w:left w:val="single" w:sz="4" w:space="0" w:color="000000"/>
              <w:bottom w:val="single" w:sz="4" w:space="0" w:color="000000"/>
              <w:right w:val="single" w:sz="4" w:space="0" w:color="000000"/>
            </w:tcBorders>
          </w:tcPr>
          <w:p w14:paraId="2A881106" w14:textId="77777777" w:rsidR="00787F73" w:rsidRDefault="00742FB7" w:rsidP="00EC3165">
            <w:pPr>
              <w:spacing w:line="240" w:lineRule="auto"/>
            </w:pPr>
            <w:r>
              <w:rPr>
                <w:rFonts w:cs="Calibri"/>
                <w:sz w:val="20"/>
                <w:szCs w:val="20"/>
              </w:rPr>
              <w:t>I agree to assign the copyright I hold in any materials generated as part of this project to The University of Sheffield.</w:t>
            </w:r>
          </w:p>
        </w:tc>
        <w:tc>
          <w:tcPr>
            <w:tcW w:w="709" w:type="dxa"/>
            <w:tcBorders>
              <w:top w:val="single" w:sz="4" w:space="0" w:color="000000"/>
              <w:left w:val="single" w:sz="4" w:space="0" w:color="000000"/>
              <w:bottom w:val="single" w:sz="4" w:space="0" w:color="000000"/>
              <w:right w:val="single" w:sz="4" w:space="0" w:color="000000"/>
            </w:tcBorders>
          </w:tcPr>
          <w:p w14:paraId="4101EAC5" w14:textId="77777777" w:rsidR="00787F73" w:rsidRDefault="00787F73" w:rsidP="00EC3165">
            <w:pPr>
              <w:spacing w:line="240" w:lineRule="auto"/>
              <w:jc w:val="center"/>
              <w:rPr>
                <w:rFonts w:cs="Calibri"/>
              </w:rPr>
            </w:pPr>
          </w:p>
        </w:tc>
        <w:tc>
          <w:tcPr>
            <w:tcW w:w="708" w:type="dxa"/>
            <w:tcBorders>
              <w:top w:val="single" w:sz="4" w:space="0" w:color="000000"/>
              <w:left w:val="single" w:sz="4" w:space="0" w:color="000000"/>
              <w:bottom w:val="single" w:sz="4" w:space="0" w:color="000000"/>
              <w:right w:val="single" w:sz="4" w:space="0" w:color="000000"/>
            </w:tcBorders>
          </w:tcPr>
          <w:p w14:paraId="01986E5F" w14:textId="77777777" w:rsidR="00787F73" w:rsidRDefault="00787F73" w:rsidP="00EC3165">
            <w:pPr>
              <w:spacing w:line="240" w:lineRule="auto"/>
              <w:jc w:val="center"/>
              <w:rPr>
                <w:rFonts w:cs="Calibri"/>
              </w:rPr>
            </w:pPr>
          </w:p>
        </w:tc>
        <w:tc>
          <w:tcPr>
            <w:tcW w:w="1301" w:type="dxa"/>
          </w:tcPr>
          <w:p w14:paraId="4FCEEE14" w14:textId="77777777" w:rsidR="00787F73" w:rsidRDefault="00787F73" w:rsidP="00EC3165">
            <w:pPr>
              <w:spacing w:line="240" w:lineRule="auto"/>
            </w:pPr>
          </w:p>
        </w:tc>
      </w:tr>
      <w:tr w:rsidR="00787F73" w14:paraId="4382D525" w14:textId="77777777" w:rsidTr="001F5155">
        <w:trPr>
          <w:trHeight w:val="320"/>
        </w:trPr>
        <w:tc>
          <w:tcPr>
            <w:tcW w:w="3871" w:type="dxa"/>
          </w:tcPr>
          <w:p w14:paraId="4D8AA12C" w14:textId="77777777" w:rsidR="00787F73" w:rsidRDefault="00787F73" w:rsidP="00EC3165">
            <w:pPr>
              <w:spacing w:line="240" w:lineRule="auto"/>
              <w:rPr>
                <w:rFonts w:cs="Calibri"/>
              </w:rPr>
            </w:pPr>
          </w:p>
        </w:tc>
        <w:tc>
          <w:tcPr>
            <w:tcW w:w="2933" w:type="dxa"/>
          </w:tcPr>
          <w:p w14:paraId="5A5603A7" w14:textId="77777777" w:rsidR="00787F73" w:rsidRDefault="00787F73" w:rsidP="00EC3165">
            <w:pPr>
              <w:spacing w:line="240" w:lineRule="auto"/>
              <w:rPr>
                <w:rFonts w:cs="Calibri"/>
              </w:rPr>
            </w:pPr>
          </w:p>
        </w:tc>
        <w:tc>
          <w:tcPr>
            <w:tcW w:w="3456" w:type="dxa"/>
            <w:gridSpan w:val="4"/>
          </w:tcPr>
          <w:p w14:paraId="30D7025F" w14:textId="77777777" w:rsidR="00787F73" w:rsidRDefault="00787F73" w:rsidP="00EC3165">
            <w:pPr>
              <w:spacing w:line="240" w:lineRule="auto"/>
              <w:rPr>
                <w:rFonts w:cs="Calibri"/>
              </w:rPr>
            </w:pPr>
          </w:p>
        </w:tc>
      </w:tr>
      <w:tr w:rsidR="00787F73" w14:paraId="306A75CB" w14:textId="77777777" w:rsidTr="001F5155">
        <w:tc>
          <w:tcPr>
            <w:tcW w:w="3871" w:type="dxa"/>
          </w:tcPr>
          <w:p w14:paraId="0D37D618" w14:textId="77777777" w:rsidR="00787F73" w:rsidRDefault="00742FB7" w:rsidP="00EC3165">
            <w:pPr>
              <w:spacing w:line="240" w:lineRule="auto"/>
            </w:pPr>
            <w:r>
              <w:rPr>
                <w:rFonts w:cs="Calibri"/>
                <w:sz w:val="20"/>
                <w:szCs w:val="20"/>
              </w:rPr>
              <w:t>Name of participant  [printed]</w:t>
            </w:r>
          </w:p>
        </w:tc>
        <w:tc>
          <w:tcPr>
            <w:tcW w:w="2933" w:type="dxa"/>
          </w:tcPr>
          <w:p w14:paraId="321D0E8B" w14:textId="77777777" w:rsidR="00787F73" w:rsidRDefault="00742FB7" w:rsidP="00EC3165">
            <w:pPr>
              <w:spacing w:line="240" w:lineRule="auto"/>
            </w:pPr>
            <w:r>
              <w:rPr>
                <w:rFonts w:cs="Calibri"/>
                <w:sz w:val="20"/>
                <w:szCs w:val="20"/>
              </w:rPr>
              <w:t>Signature</w:t>
            </w:r>
          </w:p>
        </w:tc>
        <w:tc>
          <w:tcPr>
            <w:tcW w:w="3456" w:type="dxa"/>
            <w:gridSpan w:val="4"/>
          </w:tcPr>
          <w:p w14:paraId="1FC3AA56" w14:textId="77777777" w:rsidR="00787F73" w:rsidRDefault="00742FB7" w:rsidP="00EC3165">
            <w:pPr>
              <w:spacing w:line="240" w:lineRule="auto"/>
            </w:pPr>
            <w:r>
              <w:rPr>
                <w:rFonts w:cs="Calibri"/>
                <w:sz w:val="20"/>
                <w:szCs w:val="20"/>
              </w:rPr>
              <w:t>Date</w:t>
            </w:r>
          </w:p>
        </w:tc>
      </w:tr>
      <w:tr w:rsidR="00787F73" w14:paraId="2FA20FF5" w14:textId="77777777" w:rsidTr="001F5155">
        <w:trPr>
          <w:trHeight w:val="320"/>
        </w:trPr>
        <w:tc>
          <w:tcPr>
            <w:tcW w:w="3871" w:type="dxa"/>
          </w:tcPr>
          <w:p w14:paraId="7F35AA55" w14:textId="77777777" w:rsidR="00787F73" w:rsidRDefault="00787F73" w:rsidP="00EC3165">
            <w:pPr>
              <w:spacing w:line="240" w:lineRule="auto"/>
              <w:rPr>
                <w:rFonts w:cs="Calibri"/>
              </w:rPr>
            </w:pPr>
          </w:p>
        </w:tc>
        <w:tc>
          <w:tcPr>
            <w:tcW w:w="2933" w:type="dxa"/>
          </w:tcPr>
          <w:p w14:paraId="48D48AEB" w14:textId="77777777" w:rsidR="00787F73" w:rsidRDefault="00787F73" w:rsidP="00EC3165">
            <w:pPr>
              <w:spacing w:line="240" w:lineRule="auto"/>
              <w:rPr>
                <w:rFonts w:cs="Calibri"/>
              </w:rPr>
            </w:pPr>
          </w:p>
        </w:tc>
        <w:tc>
          <w:tcPr>
            <w:tcW w:w="3456" w:type="dxa"/>
            <w:gridSpan w:val="4"/>
          </w:tcPr>
          <w:p w14:paraId="1CE245F2" w14:textId="77777777" w:rsidR="00787F73" w:rsidRDefault="00787F73" w:rsidP="00EC3165">
            <w:pPr>
              <w:spacing w:line="240" w:lineRule="auto"/>
              <w:rPr>
                <w:rFonts w:cs="Calibri"/>
              </w:rPr>
            </w:pPr>
          </w:p>
        </w:tc>
      </w:tr>
      <w:tr w:rsidR="00787F73" w14:paraId="70F81C58" w14:textId="77777777" w:rsidTr="001F5155">
        <w:tc>
          <w:tcPr>
            <w:tcW w:w="3871" w:type="dxa"/>
          </w:tcPr>
          <w:p w14:paraId="774B08EF" w14:textId="77777777" w:rsidR="00787F73" w:rsidRDefault="00742FB7" w:rsidP="00EC3165">
            <w:pPr>
              <w:spacing w:line="240" w:lineRule="auto"/>
            </w:pPr>
            <w:r>
              <w:rPr>
                <w:rFonts w:cs="Calibri"/>
                <w:sz w:val="20"/>
                <w:szCs w:val="20"/>
              </w:rPr>
              <w:t>Name of Researcher  [printed]</w:t>
            </w:r>
          </w:p>
        </w:tc>
        <w:tc>
          <w:tcPr>
            <w:tcW w:w="2933" w:type="dxa"/>
          </w:tcPr>
          <w:p w14:paraId="14A2BE59" w14:textId="77777777" w:rsidR="00787F73" w:rsidRDefault="00742FB7" w:rsidP="00EC3165">
            <w:pPr>
              <w:spacing w:line="240" w:lineRule="auto"/>
            </w:pPr>
            <w:r>
              <w:rPr>
                <w:rFonts w:cs="Calibri"/>
                <w:sz w:val="20"/>
                <w:szCs w:val="20"/>
              </w:rPr>
              <w:t>Signature</w:t>
            </w:r>
          </w:p>
        </w:tc>
        <w:tc>
          <w:tcPr>
            <w:tcW w:w="3456" w:type="dxa"/>
            <w:gridSpan w:val="4"/>
          </w:tcPr>
          <w:p w14:paraId="426D2A2F" w14:textId="77777777" w:rsidR="00787F73" w:rsidRDefault="00742FB7" w:rsidP="00EC3165">
            <w:pPr>
              <w:spacing w:line="240" w:lineRule="auto"/>
            </w:pPr>
            <w:r>
              <w:rPr>
                <w:rFonts w:cs="Calibri"/>
                <w:sz w:val="20"/>
                <w:szCs w:val="20"/>
              </w:rPr>
              <w:t>Date</w:t>
            </w:r>
          </w:p>
        </w:tc>
      </w:tr>
    </w:tbl>
    <w:p w14:paraId="796462E9" w14:textId="77777777" w:rsidR="00787F73" w:rsidRDefault="00787F73" w:rsidP="00EC3165">
      <w:pPr>
        <w:pStyle w:val="Footer"/>
        <w:spacing w:line="240" w:lineRule="auto"/>
        <w:rPr>
          <w:rFonts w:cs="Calibri"/>
          <w:color w:val="FF0000"/>
          <w:sz w:val="20"/>
          <w:szCs w:val="20"/>
        </w:rPr>
      </w:pPr>
    </w:p>
    <w:bookmarkEnd w:id="1"/>
    <w:p w14:paraId="1B338A18" w14:textId="77777777" w:rsidR="00787F73" w:rsidRDefault="00787F73" w:rsidP="00EC3165">
      <w:pPr>
        <w:spacing w:line="240" w:lineRule="auto"/>
      </w:pPr>
    </w:p>
    <w:sectPr w:rsidR="00787F73">
      <w:footerReference w:type="default" r:id="rId51"/>
      <w:footerReference w:type="first" r:id="rId52"/>
      <w:pgSz w:w="11906" w:h="16838"/>
      <w:pgMar w:top="1440" w:right="1440" w:bottom="1440" w:left="1440" w:header="0" w:footer="708"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6B1EB" w14:textId="77777777" w:rsidR="00CC6FE5" w:rsidRDefault="00CC6FE5">
      <w:pPr>
        <w:spacing w:line="240" w:lineRule="auto"/>
      </w:pPr>
      <w:r>
        <w:separator/>
      </w:r>
    </w:p>
  </w:endnote>
  <w:endnote w:type="continuationSeparator" w:id="0">
    <w:p w14:paraId="1B6DC16A" w14:textId="77777777" w:rsidR="00CC6FE5" w:rsidRDefault="00CC6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UOS Blake">
    <w:panose1 w:val="020B0503040000020004"/>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12FB" w14:textId="77777777" w:rsidR="00787F73" w:rsidRDefault="00742FB7">
    <w:pPr>
      <w:pStyle w:val="Footer"/>
      <w:jc w:val="right"/>
    </w:pPr>
    <w:r>
      <w:fldChar w:fldCharType="begin"/>
    </w:r>
    <w:r>
      <w:instrText xml:space="preserve"> PAGE </w:instrText>
    </w:r>
    <w:r>
      <w:fldChar w:fldCharType="separate"/>
    </w:r>
    <w:r>
      <w:t>93</w:t>
    </w:r>
    <w:r>
      <w:fldChar w:fldCharType="end"/>
    </w:r>
  </w:p>
  <w:p w14:paraId="6C6FEBAA" w14:textId="77777777" w:rsidR="00787F73" w:rsidRDefault="00787F73">
    <w:pPr>
      <w:tabs>
        <w:tab w:val="center" w:pos="4513"/>
        <w:tab w:val="right" w:pos="9026"/>
      </w:tabs>
      <w:jc w:val="right"/>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20E1" w14:textId="77777777" w:rsidR="00787F73" w:rsidRDefault="00742FB7">
    <w:pPr>
      <w:pStyle w:val="Footer"/>
      <w:jc w:val="right"/>
    </w:pPr>
    <w:r>
      <w:fldChar w:fldCharType="begin"/>
    </w:r>
    <w:r>
      <w:instrText xml:space="preserve"> PAGE </w:instrText>
    </w:r>
    <w:r>
      <w:fldChar w:fldCharType="separate"/>
    </w:r>
    <w:r>
      <w:t>143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E5D2" w14:textId="77777777" w:rsidR="00787F73" w:rsidRDefault="00787F73">
    <w:pPr>
      <w:tabs>
        <w:tab w:val="center" w:pos="4513"/>
        <w:tab w:val="right" w:pos="9026"/>
      </w:tabs>
      <w:jc w:val="right"/>
      <w:rPr>
        <w:color w:val="000000"/>
      </w:rPr>
    </w:pPr>
  </w:p>
  <w:p w14:paraId="692986CC" w14:textId="77777777" w:rsidR="00787F73" w:rsidRDefault="00787F73">
    <w:pP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236E" w14:textId="77777777" w:rsidR="00787F73" w:rsidRDefault="00742FB7">
    <w:pPr>
      <w:pStyle w:val="Footer"/>
      <w:jc w:val="right"/>
    </w:pPr>
    <w:r>
      <w:fldChar w:fldCharType="begin"/>
    </w:r>
    <w:r>
      <w:instrText xml:space="preserve"> PAGE </w:instrText>
    </w:r>
    <w:r>
      <w:fldChar w:fldCharType="separate"/>
    </w:r>
    <w:r>
      <w:t>94</w:t>
    </w:r>
    <w:r>
      <w:fldChar w:fldCharType="end"/>
    </w:r>
  </w:p>
  <w:p w14:paraId="143CED55" w14:textId="77777777" w:rsidR="00787F73" w:rsidRDefault="00787F73">
    <w:pPr>
      <w:tabs>
        <w:tab w:val="center" w:pos="4513"/>
        <w:tab w:val="right" w:pos="9026"/>
      </w:tabs>
      <w:jc w:val="right"/>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38C0" w14:textId="77777777" w:rsidR="00787F73" w:rsidRDefault="00787F7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F479" w14:textId="77777777" w:rsidR="00787F73" w:rsidRPr="001646E8" w:rsidRDefault="00742FB7">
    <w:pPr>
      <w:pStyle w:val="Footer"/>
      <w:jc w:val="right"/>
    </w:pPr>
    <w:r w:rsidRPr="001646E8">
      <w:fldChar w:fldCharType="begin"/>
    </w:r>
    <w:r w:rsidRPr="001646E8">
      <w:instrText xml:space="preserve"> PAGE </w:instrText>
    </w:r>
    <w:r w:rsidRPr="001646E8">
      <w:fldChar w:fldCharType="separate"/>
    </w:r>
    <w:r w:rsidRPr="001646E8">
      <w:t>139</w:t>
    </w:r>
    <w:r w:rsidRPr="001646E8">
      <w:fldChar w:fldCharType="end"/>
    </w:r>
  </w:p>
  <w:p w14:paraId="69FF7D40" w14:textId="77777777" w:rsidR="00787F73" w:rsidRDefault="00787F73">
    <w:pPr>
      <w:tabs>
        <w:tab w:val="center" w:pos="4513"/>
        <w:tab w:val="right" w:pos="9026"/>
      </w:tabs>
      <w:jc w:val="right"/>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F073" w14:textId="77777777" w:rsidR="00787F73" w:rsidRDefault="00787F7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0324" w14:textId="77777777" w:rsidR="00787F73" w:rsidRDefault="00742FB7">
    <w:pPr>
      <w:pStyle w:val="Footer"/>
      <w:jc w:val="right"/>
    </w:pPr>
    <w:r>
      <w:fldChar w:fldCharType="begin"/>
    </w:r>
    <w:r>
      <w:instrText xml:space="preserve"> PAGE </w:instrText>
    </w:r>
    <w:r>
      <w:fldChar w:fldCharType="separate"/>
    </w:r>
    <w:r>
      <w:t>142</w:t>
    </w:r>
    <w:r>
      <w:fldChar w:fldCharType="end"/>
    </w:r>
  </w:p>
  <w:p w14:paraId="40DE3925" w14:textId="77777777" w:rsidR="00787F73" w:rsidRDefault="00787F73">
    <w:pPr>
      <w:tabs>
        <w:tab w:val="center" w:pos="4513"/>
        <w:tab w:val="right" w:pos="9026"/>
      </w:tabs>
      <w:jc w:val="right"/>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AAB5F" w14:textId="77777777" w:rsidR="00787F73" w:rsidRDefault="00787F7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6F2DC" w14:textId="77777777" w:rsidR="00787F73" w:rsidRDefault="00742FB7">
    <w:pPr>
      <w:pStyle w:val="Footer"/>
      <w:jc w:val="right"/>
    </w:pPr>
    <w:r>
      <w:fldChar w:fldCharType="begin"/>
    </w:r>
    <w:r>
      <w:instrText xml:space="preserve"> PAGE </w:instrText>
    </w:r>
    <w:r>
      <w:fldChar w:fldCharType="separate"/>
    </w:r>
    <w:r>
      <w:t>290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3DA6C" w14:textId="77777777" w:rsidR="00CC6FE5" w:rsidRDefault="00CC6FE5">
      <w:pPr>
        <w:rPr>
          <w:sz w:val="12"/>
        </w:rPr>
      </w:pPr>
    </w:p>
  </w:footnote>
  <w:footnote w:type="continuationSeparator" w:id="0">
    <w:p w14:paraId="3BDE6882" w14:textId="77777777" w:rsidR="00CC6FE5" w:rsidRDefault="00CC6FE5">
      <w:pPr>
        <w:rPr>
          <w:sz w:val="12"/>
        </w:rPr>
      </w:pPr>
    </w:p>
  </w:footnote>
  <w:footnote w:id="1">
    <w:p w14:paraId="18B270B9" w14:textId="77777777" w:rsidR="00787F73" w:rsidRDefault="00742FB7">
      <w:pPr>
        <w:pStyle w:val="FootnoteText"/>
      </w:pPr>
      <w:r>
        <w:rPr>
          <w:rStyle w:val="FootnoteCharacters"/>
        </w:rPr>
        <w:footnoteRef/>
      </w:r>
      <w:r>
        <w:tab/>
        <w:t xml:space="preserve"> </w:t>
      </w:r>
      <w:r>
        <w:rPr>
          <w:rFonts w:cs="Calibri"/>
        </w:rPr>
        <w:t>Social media is used by citizens to monitor the police especially around episodes of police brutality and the community mobilisation over perceived injustices (Walsh &amp; O’Connor, 2019)</w:t>
      </w:r>
    </w:p>
    <w:p w14:paraId="109B1F29" w14:textId="77777777" w:rsidR="00787F73" w:rsidRDefault="00787F7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6D0"/>
    <w:multiLevelType w:val="multilevel"/>
    <w:tmpl w:val="C51EC760"/>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1" w15:restartNumberingAfterBreak="0">
    <w:nsid w:val="09522E71"/>
    <w:multiLevelType w:val="multilevel"/>
    <w:tmpl w:val="A7B44DB2"/>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 w15:restartNumberingAfterBreak="0">
    <w:nsid w:val="0E59247A"/>
    <w:multiLevelType w:val="multilevel"/>
    <w:tmpl w:val="0A86150A"/>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3" w15:restartNumberingAfterBreak="0">
    <w:nsid w:val="12917B9D"/>
    <w:multiLevelType w:val="multilevel"/>
    <w:tmpl w:val="FBD4875A"/>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4" w15:restartNumberingAfterBreak="0">
    <w:nsid w:val="12AE44F0"/>
    <w:multiLevelType w:val="hybridMultilevel"/>
    <w:tmpl w:val="D02A7020"/>
    <w:lvl w:ilvl="0" w:tplc="04C8AFE4">
      <w:start w:val="1"/>
      <w:numFmt w:val="bullet"/>
      <w:lvlText w:val=""/>
      <w:lvlJc w:val="left"/>
      <w:pPr>
        <w:ind w:left="1440" w:hanging="360"/>
      </w:pPr>
      <w:rPr>
        <w:rFonts w:ascii="Symbol" w:hAnsi="Symbol"/>
      </w:rPr>
    </w:lvl>
    <w:lvl w:ilvl="1" w:tplc="71729CE0">
      <w:start w:val="1"/>
      <w:numFmt w:val="bullet"/>
      <w:lvlText w:val=""/>
      <w:lvlJc w:val="left"/>
      <w:pPr>
        <w:ind w:left="1440" w:hanging="360"/>
      </w:pPr>
      <w:rPr>
        <w:rFonts w:ascii="Symbol" w:hAnsi="Symbol"/>
      </w:rPr>
    </w:lvl>
    <w:lvl w:ilvl="2" w:tplc="E2A458E8">
      <w:start w:val="1"/>
      <w:numFmt w:val="bullet"/>
      <w:lvlText w:val=""/>
      <w:lvlJc w:val="left"/>
      <w:pPr>
        <w:ind w:left="1440" w:hanging="360"/>
      </w:pPr>
      <w:rPr>
        <w:rFonts w:ascii="Symbol" w:hAnsi="Symbol"/>
      </w:rPr>
    </w:lvl>
    <w:lvl w:ilvl="3" w:tplc="2EDE4926">
      <w:start w:val="1"/>
      <w:numFmt w:val="bullet"/>
      <w:lvlText w:val=""/>
      <w:lvlJc w:val="left"/>
      <w:pPr>
        <w:ind w:left="1440" w:hanging="360"/>
      </w:pPr>
      <w:rPr>
        <w:rFonts w:ascii="Symbol" w:hAnsi="Symbol"/>
      </w:rPr>
    </w:lvl>
    <w:lvl w:ilvl="4" w:tplc="B29451EC">
      <w:start w:val="1"/>
      <w:numFmt w:val="bullet"/>
      <w:lvlText w:val=""/>
      <w:lvlJc w:val="left"/>
      <w:pPr>
        <w:ind w:left="1440" w:hanging="360"/>
      </w:pPr>
      <w:rPr>
        <w:rFonts w:ascii="Symbol" w:hAnsi="Symbol"/>
      </w:rPr>
    </w:lvl>
    <w:lvl w:ilvl="5" w:tplc="4650DCFA">
      <w:start w:val="1"/>
      <w:numFmt w:val="bullet"/>
      <w:lvlText w:val=""/>
      <w:lvlJc w:val="left"/>
      <w:pPr>
        <w:ind w:left="1440" w:hanging="360"/>
      </w:pPr>
      <w:rPr>
        <w:rFonts w:ascii="Symbol" w:hAnsi="Symbol"/>
      </w:rPr>
    </w:lvl>
    <w:lvl w:ilvl="6" w:tplc="E4F0659A">
      <w:start w:val="1"/>
      <w:numFmt w:val="bullet"/>
      <w:lvlText w:val=""/>
      <w:lvlJc w:val="left"/>
      <w:pPr>
        <w:ind w:left="1440" w:hanging="360"/>
      </w:pPr>
      <w:rPr>
        <w:rFonts w:ascii="Symbol" w:hAnsi="Symbol"/>
      </w:rPr>
    </w:lvl>
    <w:lvl w:ilvl="7" w:tplc="54F6E8D4">
      <w:start w:val="1"/>
      <w:numFmt w:val="bullet"/>
      <w:lvlText w:val=""/>
      <w:lvlJc w:val="left"/>
      <w:pPr>
        <w:ind w:left="1440" w:hanging="360"/>
      </w:pPr>
      <w:rPr>
        <w:rFonts w:ascii="Symbol" w:hAnsi="Symbol"/>
      </w:rPr>
    </w:lvl>
    <w:lvl w:ilvl="8" w:tplc="93DCC75E">
      <w:start w:val="1"/>
      <w:numFmt w:val="bullet"/>
      <w:lvlText w:val=""/>
      <w:lvlJc w:val="left"/>
      <w:pPr>
        <w:ind w:left="1440" w:hanging="360"/>
      </w:pPr>
      <w:rPr>
        <w:rFonts w:ascii="Symbol" w:hAnsi="Symbol"/>
      </w:rPr>
    </w:lvl>
  </w:abstractNum>
  <w:abstractNum w:abstractNumId="5" w15:restartNumberingAfterBreak="0">
    <w:nsid w:val="14E37729"/>
    <w:multiLevelType w:val="multilevel"/>
    <w:tmpl w:val="78AA790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19C9773B"/>
    <w:multiLevelType w:val="multilevel"/>
    <w:tmpl w:val="E8ACB524"/>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7" w15:restartNumberingAfterBreak="0">
    <w:nsid w:val="1AB25108"/>
    <w:multiLevelType w:val="hybridMultilevel"/>
    <w:tmpl w:val="EDB82AF4"/>
    <w:lvl w:ilvl="0" w:tplc="522E2106">
      <w:start w:val="1"/>
      <w:numFmt w:val="bullet"/>
      <w:lvlText w:val=""/>
      <w:lvlJc w:val="left"/>
      <w:pPr>
        <w:ind w:left="1320" w:hanging="360"/>
      </w:pPr>
      <w:rPr>
        <w:rFonts w:ascii="Symbol" w:hAnsi="Symbol"/>
      </w:rPr>
    </w:lvl>
    <w:lvl w:ilvl="1" w:tplc="4B543AE2">
      <w:start w:val="1"/>
      <w:numFmt w:val="bullet"/>
      <w:lvlText w:val=""/>
      <w:lvlJc w:val="left"/>
      <w:pPr>
        <w:ind w:left="1320" w:hanging="360"/>
      </w:pPr>
      <w:rPr>
        <w:rFonts w:ascii="Symbol" w:hAnsi="Symbol"/>
      </w:rPr>
    </w:lvl>
    <w:lvl w:ilvl="2" w:tplc="3F0644EC">
      <w:start w:val="1"/>
      <w:numFmt w:val="bullet"/>
      <w:lvlText w:val=""/>
      <w:lvlJc w:val="left"/>
      <w:pPr>
        <w:ind w:left="1320" w:hanging="360"/>
      </w:pPr>
      <w:rPr>
        <w:rFonts w:ascii="Symbol" w:hAnsi="Symbol"/>
      </w:rPr>
    </w:lvl>
    <w:lvl w:ilvl="3" w:tplc="85E8770E">
      <w:start w:val="1"/>
      <w:numFmt w:val="bullet"/>
      <w:lvlText w:val=""/>
      <w:lvlJc w:val="left"/>
      <w:pPr>
        <w:ind w:left="1320" w:hanging="360"/>
      </w:pPr>
      <w:rPr>
        <w:rFonts w:ascii="Symbol" w:hAnsi="Symbol"/>
      </w:rPr>
    </w:lvl>
    <w:lvl w:ilvl="4" w:tplc="B808857E">
      <w:start w:val="1"/>
      <w:numFmt w:val="bullet"/>
      <w:lvlText w:val=""/>
      <w:lvlJc w:val="left"/>
      <w:pPr>
        <w:ind w:left="1320" w:hanging="360"/>
      </w:pPr>
      <w:rPr>
        <w:rFonts w:ascii="Symbol" w:hAnsi="Symbol"/>
      </w:rPr>
    </w:lvl>
    <w:lvl w:ilvl="5" w:tplc="9D2C0F94">
      <w:start w:val="1"/>
      <w:numFmt w:val="bullet"/>
      <w:lvlText w:val=""/>
      <w:lvlJc w:val="left"/>
      <w:pPr>
        <w:ind w:left="1320" w:hanging="360"/>
      </w:pPr>
      <w:rPr>
        <w:rFonts w:ascii="Symbol" w:hAnsi="Symbol"/>
      </w:rPr>
    </w:lvl>
    <w:lvl w:ilvl="6" w:tplc="25D6CF08">
      <w:start w:val="1"/>
      <w:numFmt w:val="bullet"/>
      <w:lvlText w:val=""/>
      <w:lvlJc w:val="left"/>
      <w:pPr>
        <w:ind w:left="1320" w:hanging="360"/>
      </w:pPr>
      <w:rPr>
        <w:rFonts w:ascii="Symbol" w:hAnsi="Symbol"/>
      </w:rPr>
    </w:lvl>
    <w:lvl w:ilvl="7" w:tplc="E8F4561A">
      <w:start w:val="1"/>
      <w:numFmt w:val="bullet"/>
      <w:lvlText w:val=""/>
      <w:lvlJc w:val="left"/>
      <w:pPr>
        <w:ind w:left="1320" w:hanging="360"/>
      </w:pPr>
      <w:rPr>
        <w:rFonts w:ascii="Symbol" w:hAnsi="Symbol"/>
      </w:rPr>
    </w:lvl>
    <w:lvl w:ilvl="8" w:tplc="8DB00E46">
      <w:start w:val="1"/>
      <w:numFmt w:val="bullet"/>
      <w:lvlText w:val=""/>
      <w:lvlJc w:val="left"/>
      <w:pPr>
        <w:ind w:left="1320" w:hanging="360"/>
      </w:pPr>
      <w:rPr>
        <w:rFonts w:ascii="Symbol" w:hAnsi="Symbol"/>
      </w:rPr>
    </w:lvl>
  </w:abstractNum>
  <w:abstractNum w:abstractNumId="8" w15:restartNumberingAfterBreak="0">
    <w:nsid w:val="28D953F9"/>
    <w:multiLevelType w:val="hybridMultilevel"/>
    <w:tmpl w:val="989AFB22"/>
    <w:lvl w:ilvl="0" w:tplc="06A2F3DE">
      <w:start w:val="1"/>
      <w:numFmt w:val="bullet"/>
      <w:lvlText w:val=""/>
      <w:lvlJc w:val="left"/>
      <w:pPr>
        <w:ind w:left="1440" w:hanging="360"/>
      </w:pPr>
      <w:rPr>
        <w:rFonts w:ascii="Symbol" w:hAnsi="Symbol"/>
      </w:rPr>
    </w:lvl>
    <w:lvl w:ilvl="1" w:tplc="0C404D9C">
      <w:start w:val="1"/>
      <w:numFmt w:val="bullet"/>
      <w:lvlText w:val=""/>
      <w:lvlJc w:val="left"/>
      <w:pPr>
        <w:ind w:left="1440" w:hanging="360"/>
      </w:pPr>
      <w:rPr>
        <w:rFonts w:ascii="Symbol" w:hAnsi="Symbol"/>
      </w:rPr>
    </w:lvl>
    <w:lvl w:ilvl="2" w:tplc="C33ED330">
      <w:start w:val="1"/>
      <w:numFmt w:val="bullet"/>
      <w:lvlText w:val=""/>
      <w:lvlJc w:val="left"/>
      <w:pPr>
        <w:ind w:left="1440" w:hanging="360"/>
      </w:pPr>
      <w:rPr>
        <w:rFonts w:ascii="Symbol" w:hAnsi="Symbol"/>
      </w:rPr>
    </w:lvl>
    <w:lvl w:ilvl="3" w:tplc="6302A972">
      <w:start w:val="1"/>
      <w:numFmt w:val="bullet"/>
      <w:lvlText w:val=""/>
      <w:lvlJc w:val="left"/>
      <w:pPr>
        <w:ind w:left="1440" w:hanging="360"/>
      </w:pPr>
      <w:rPr>
        <w:rFonts w:ascii="Symbol" w:hAnsi="Symbol"/>
      </w:rPr>
    </w:lvl>
    <w:lvl w:ilvl="4" w:tplc="F9CC8BAE">
      <w:start w:val="1"/>
      <w:numFmt w:val="bullet"/>
      <w:lvlText w:val=""/>
      <w:lvlJc w:val="left"/>
      <w:pPr>
        <w:ind w:left="1440" w:hanging="360"/>
      </w:pPr>
      <w:rPr>
        <w:rFonts w:ascii="Symbol" w:hAnsi="Symbol"/>
      </w:rPr>
    </w:lvl>
    <w:lvl w:ilvl="5" w:tplc="F924791A">
      <w:start w:val="1"/>
      <w:numFmt w:val="bullet"/>
      <w:lvlText w:val=""/>
      <w:lvlJc w:val="left"/>
      <w:pPr>
        <w:ind w:left="1440" w:hanging="360"/>
      </w:pPr>
      <w:rPr>
        <w:rFonts w:ascii="Symbol" w:hAnsi="Symbol"/>
      </w:rPr>
    </w:lvl>
    <w:lvl w:ilvl="6" w:tplc="5FB4DFC0">
      <w:start w:val="1"/>
      <w:numFmt w:val="bullet"/>
      <w:lvlText w:val=""/>
      <w:lvlJc w:val="left"/>
      <w:pPr>
        <w:ind w:left="1440" w:hanging="360"/>
      </w:pPr>
      <w:rPr>
        <w:rFonts w:ascii="Symbol" w:hAnsi="Symbol"/>
      </w:rPr>
    </w:lvl>
    <w:lvl w:ilvl="7" w:tplc="89B6AE66">
      <w:start w:val="1"/>
      <w:numFmt w:val="bullet"/>
      <w:lvlText w:val=""/>
      <w:lvlJc w:val="left"/>
      <w:pPr>
        <w:ind w:left="1440" w:hanging="360"/>
      </w:pPr>
      <w:rPr>
        <w:rFonts w:ascii="Symbol" w:hAnsi="Symbol"/>
      </w:rPr>
    </w:lvl>
    <w:lvl w:ilvl="8" w:tplc="06F653BA">
      <w:start w:val="1"/>
      <w:numFmt w:val="bullet"/>
      <w:lvlText w:val=""/>
      <w:lvlJc w:val="left"/>
      <w:pPr>
        <w:ind w:left="1440" w:hanging="360"/>
      </w:pPr>
      <w:rPr>
        <w:rFonts w:ascii="Symbol" w:hAnsi="Symbol"/>
      </w:rPr>
    </w:lvl>
  </w:abstractNum>
  <w:abstractNum w:abstractNumId="9" w15:restartNumberingAfterBreak="0">
    <w:nsid w:val="29637F2D"/>
    <w:multiLevelType w:val="multilevel"/>
    <w:tmpl w:val="6FDA80C6"/>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10" w15:restartNumberingAfterBreak="0">
    <w:nsid w:val="3218731E"/>
    <w:multiLevelType w:val="multilevel"/>
    <w:tmpl w:val="154C47EE"/>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11" w15:restartNumberingAfterBreak="0">
    <w:nsid w:val="3457384E"/>
    <w:multiLevelType w:val="hybridMultilevel"/>
    <w:tmpl w:val="B3C4D38C"/>
    <w:lvl w:ilvl="0" w:tplc="1BD05CAA">
      <w:start w:val="1"/>
      <w:numFmt w:val="bullet"/>
      <w:lvlText w:val=""/>
      <w:lvlJc w:val="left"/>
      <w:pPr>
        <w:ind w:left="2160" w:hanging="360"/>
      </w:pPr>
      <w:rPr>
        <w:rFonts w:ascii="Symbol" w:hAnsi="Symbol"/>
      </w:rPr>
    </w:lvl>
    <w:lvl w:ilvl="1" w:tplc="66F07DE6">
      <w:start w:val="1"/>
      <w:numFmt w:val="bullet"/>
      <w:lvlText w:val=""/>
      <w:lvlJc w:val="left"/>
      <w:pPr>
        <w:ind w:left="2160" w:hanging="360"/>
      </w:pPr>
      <w:rPr>
        <w:rFonts w:ascii="Symbol" w:hAnsi="Symbol"/>
      </w:rPr>
    </w:lvl>
    <w:lvl w:ilvl="2" w:tplc="4A6469CE">
      <w:start w:val="1"/>
      <w:numFmt w:val="bullet"/>
      <w:lvlText w:val=""/>
      <w:lvlJc w:val="left"/>
      <w:pPr>
        <w:ind w:left="2160" w:hanging="360"/>
      </w:pPr>
      <w:rPr>
        <w:rFonts w:ascii="Symbol" w:hAnsi="Symbol"/>
      </w:rPr>
    </w:lvl>
    <w:lvl w:ilvl="3" w:tplc="9BD82F06">
      <w:start w:val="1"/>
      <w:numFmt w:val="bullet"/>
      <w:lvlText w:val=""/>
      <w:lvlJc w:val="left"/>
      <w:pPr>
        <w:ind w:left="2160" w:hanging="360"/>
      </w:pPr>
      <w:rPr>
        <w:rFonts w:ascii="Symbol" w:hAnsi="Symbol"/>
      </w:rPr>
    </w:lvl>
    <w:lvl w:ilvl="4" w:tplc="5EA09A1E">
      <w:start w:val="1"/>
      <w:numFmt w:val="bullet"/>
      <w:lvlText w:val=""/>
      <w:lvlJc w:val="left"/>
      <w:pPr>
        <w:ind w:left="2160" w:hanging="360"/>
      </w:pPr>
      <w:rPr>
        <w:rFonts w:ascii="Symbol" w:hAnsi="Symbol"/>
      </w:rPr>
    </w:lvl>
    <w:lvl w:ilvl="5" w:tplc="0172C96A">
      <w:start w:val="1"/>
      <w:numFmt w:val="bullet"/>
      <w:lvlText w:val=""/>
      <w:lvlJc w:val="left"/>
      <w:pPr>
        <w:ind w:left="2160" w:hanging="360"/>
      </w:pPr>
      <w:rPr>
        <w:rFonts w:ascii="Symbol" w:hAnsi="Symbol"/>
      </w:rPr>
    </w:lvl>
    <w:lvl w:ilvl="6" w:tplc="89007088">
      <w:start w:val="1"/>
      <w:numFmt w:val="bullet"/>
      <w:lvlText w:val=""/>
      <w:lvlJc w:val="left"/>
      <w:pPr>
        <w:ind w:left="2160" w:hanging="360"/>
      </w:pPr>
      <w:rPr>
        <w:rFonts w:ascii="Symbol" w:hAnsi="Symbol"/>
      </w:rPr>
    </w:lvl>
    <w:lvl w:ilvl="7" w:tplc="76400B4E">
      <w:start w:val="1"/>
      <w:numFmt w:val="bullet"/>
      <w:lvlText w:val=""/>
      <w:lvlJc w:val="left"/>
      <w:pPr>
        <w:ind w:left="2160" w:hanging="360"/>
      </w:pPr>
      <w:rPr>
        <w:rFonts w:ascii="Symbol" w:hAnsi="Symbol"/>
      </w:rPr>
    </w:lvl>
    <w:lvl w:ilvl="8" w:tplc="EB222EBC">
      <w:start w:val="1"/>
      <w:numFmt w:val="bullet"/>
      <w:lvlText w:val=""/>
      <w:lvlJc w:val="left"/>
      <w:pPr>
        <w:ind w:left="2160" w:hanging="360"/>
      </w:pPr>
      <w:rPr>
        <w:rFonts w:ascii="Symbol" w:hAnsi="Symbol"/>
      </w:rPr>
    </w:lvl>
  </w:abstractNum>
  <w:abstractNum w:abstractNumId="12" w15:restartNumberingAfterBreak="0">
    <w:nsid w:val="3945553C"/>
    <w:multiLevelType w:val="multilevel"/>
    <w:tmpl w:val="3F20FCE8"/>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13" w15:restartNumberingAfterBreak="0">
    <w:nsid w:val="3CFA1629"/>
    <w:multiLevelType w:val="multilevel"/>
    <w:tmpl w:val="B0D43DEE"/>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14" w15:restartNumberingAfterBreak="0">
    <w:nsid w:val="437236CC"/>
    <w:multiLevelType w:val="multilevel"/>
    <w:tmpl w:val="CB62FD9A"/>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15" w15:restartNumberingAfterBreak="0">
    <w:nsid w:val="4C326C56"/>
    <w:multiLevelType w:val="multilevel"/>
    <w:tmpl w:val="C5502620"/>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16" w15:restartNumberingAfterBreak="0">
    <w:nsid w:val="513823D4"/>
    <w:multiLevelType w:val="multilevel"/>
    <w:tmpl w:val="5F887C78"/>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17" w15:restartNumberingAfterBreak="0">
    <w:nsid w:val="535F3286"/>
    <w:multiLevelType w:val="multilevel"/>
    <w:tmpl w:val="F306C2A6"/>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18" w15:restartNumberingAfterBreak="0">
    <w:nsid w:val="54131907"/>
    <w:multiLevelType w:val="multilevel"/>
    <w:tmpl w:val="88D849EC"/>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19" w15:restartNumberingAfterBreak="0">
    <w:nsid w:val="587C56E5"/>
    <w:multiLevelType w:val="multilevel"/>
    <w:tmpl w:val="A89625AE"/>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20" w15:restartNumberingAfterBreak="0">
    <w:nsid w:val="64445558"/>
    <w:multiLevelType w:val="multilevel"/>
    <w:tmpl w:val="C13A7C5E"/>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21" w15:restartNumberingAfterBreak="0">
    <w:nsid w:val="7288177D"/>
    <w:multiLevelType w:val="multilevel"/>
    <w:tmpl w:val="83CC89CA"/>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22" w15:restartNumberingAfterBreak="0">
    <w:nsid w:val="73426BB3"/>
    <w:multiLevelType w:val="multilevel"/>
    <w:tmpl w:val="E3D4BB88"/>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23" w15:restartNumberingAfterBreak="0">
    <w:nsid w:val="7BE3770D"/>
    <w:multiLevelType w:val="hybridMultilevel"/>
    <w:tmpl w:val="09D8ED04"/>
    <w:lvl w:ilvl="0" w:tplc="72A0C0EE">
      <w:start w:val="1"/>
      <w:numFmt w:val="bullet"/>
      <w:lvlText w:val=""/>
      <w:lvlJc w:val="left"/>
      <w:pPr>
        <w:ind w:left="1440" w:hanging="360"/>
      </w:pPr>
      <w:rPr>
        <w:rFonts w:ascii="Symbol" w:hAnsi="Symbol"/>
      </w:rPr>
    </w:lvl>
    <w:lvl w:ilvl="1" w:tplc="E1F621DA">
      <w:start w:val="1"/>
      <w:numFmt w:val="bullet"/>
      <w:lvlText w:val=""/>
      <w:lvlJc w:val="left"/>
      <w:pPr>
        <w:ind w:left="1440" w:hanging="360"/>
      </w:pPr>
      <w:rPr>
        <w:rFonts w:ascii="Symbol" w:hAnsi="Symbol"/>
      </w:rPr>
    </w:lvl>
    <w:lvl w:ilvl="2" w:tplc="0C5A1912">
      <w:start w:val="1"/>
      <w:numFmt w:val="bullet"/>
      <w:lvlText w:val=""/>
      <w:lvlJc w:val="left"/>
      <w:pPr>
        <w:ind w:left="1440" w:hanging="360"/>
      </w:pPr>
      <w:rPr>
        <w:rFonts w:ascii="Symbol" w:hAnsi="Symbol"/>
      </w:rPr>
    </w:lvl>
    <w:lvl w:ilvl="3" w:tplc="1B82B0D0">
      <w:start w:val="1"/>
      <w:numFmt w:val="bullet"/>
      <w:lvlText w:val=""/>
      <w:lvlJc w:val="left"/>
      <w:pPr>
        <w:ind w:left="1440" w:hanging="360"/>
      </w:pPr>
      <w:rPr>
        <w:rFonts w:ascii="Symbol" w:hAnsi="Symbol"/>
      </w:rPr>
    </w:lvl>
    <w:lvl w:ilvl="4" w:tplc="C7F488A4">
      <w:start w:val="1"/>
      <w:numFmt w:val="bullet"/>
      <w:lvlText w:val=""/>
      <w:lvlJc w:val="left"/>
      <w:pPr>
        <w:ind w:left="1440" w:hanging="360"/>
      </w:pPr>
      <w:rPr>
        <w:rFonts w:ascii="Symbol" w:hAnsi="Symbol"/>
      </w:rPr>
    </w:lvl>
    <w:lvl w:ilvl="5" w:tplc="76309418">
      <w:start w:val="1"/>
      <w:numFmt w:val="bullet"/>
      <w:lvlText w:val=""/>
      <w:lvlJc w:val="left"/>
      <w:pPr>
        <w:ind w:left="1440" w:hanging="360"/>
      </w:pPr>
      <w:rPr>
        <w:rFonts w:ascii="Symbol" w:hAnsi="Symbol"/>
      </w:rPr>
    </w:lvl>
    <w:lvl w:ilvl="6" w:tplc="C04A732C">
      <w:start w:val="1"/>
      <w:numFmt w:val="bullet"/>
      <w:lvlText w:val=""/>
      <w:lvlJc w:val="left"/>
      <w:pPr>
        <w:ind w:left="1440" w:hanging="360"/>
      </w:pPr>
      <w:rPr>
        <w:rFonts w:ascii="Symbol" w:hAnsi="Symbol"/>
      </w:rPr>
    </w:lvl>
    <w:lvl w:ilvl="7" w:tplc="D040DB04">
      <w:start w:val="1"/>
      <w:numFmt w:val="bullet"/>
      <w:lvlText w:val=""/>
      <w:lvlJc w:val="left"/>
      <w:pPr>
        <w:ind w:left="1440" w:hanging="360"/>
      </w:pPr>
      <w:rPr>
        <w:rFonts w:ascii="Symbol" w:hAnsi="Symbol"/>
      </w:rPr>
    </w:lvl>
    <w:lvl w:ilvl="8" w:tplc="C414A838">
      <w:start w:val="1"/>
      <w:numFmt w:val="bullet"/>
      <w:lvlText w:val=""/>
      <w:lvlJc w:val="left"/>
      <w:pPr>
        <w:ind w:left="1440" w:hanging="360"/>
      </w:pPr>
      <w:rPr>
        <w:rFonts w:ascii="Symbol" w:hAnsi="Symbol"/>
      </w:rPr>
    </w:lvl>
  </w:abstractNum>
  <w:abstractNum w:abstractNumId="24" w15:restartNumberingAfterBreak="0">
    <w:nsid w:val="7CCD276C"/>
    <w:multiLevelType w:val="multilevel"/>
    <w:tmpl w:val="39D4FF84"/>
    <w:lvl w:ilvl="0">
      <w:start w:val="1"/>
      <w:numFmt w:val="decimal"/>
      <w:lvlText w:val="%1"/>
      <w:lvlJc w:val="left"/>
      <w:pPr>
        <w:tabs>
          <w:tab w:val="num" w:pos="0"/>
        </w:tabs>
        <w:ind w:left="720" w:hanging="72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num w:numId="1" w16cid:durableId="159001816">
    <w:abstractNumId w:val="1"/>
  </w:num>
  <w:num w:numId="2" w16cid:durableId="383679912">
    <w:abstractNumId w:val="13"/>
  </w:num>
  <w:num w:numId="3" w16cid:durableId="1748838406">
    <w:abstractNumId w:val="12"/>
  </w:num>
  <w:num w:numId="4" w16cid:durableId="2086998570">
    <w:abstractNumId w:val="18"/>
  </w:num>
  <w:num w:numId="5" w16cid:durableId="756247396">
    <w:abstractNumId w:val="10"/>
  </w:num>
  <w:num w:numId="6" w16cid:durableId="770854537">
    <w:abstractNumId w:val="16"/>
  </w:num>
  <w:num w:numId="7" w16cid:durableId="1522163935">
    <w:abstractNumId w:val="14"/>
  </w:num>
  <w:num w:numId="8" w16cid:durableId="881596824">
    <w:abstractNumId w:val="2"/>
  </w:num>
  <w:num w:numId="9" w16cid:durableId="684866262">
    <w:abstractNumId w:val="6"/>
  </w:num>
  <w:num w:numId="10" w16cid:durableId="1840853404">
    <w:abstractNumId w:val="19"/>
  </w:num>
  <w:num w:numId="11" w16cid:durableId="2076775580">
    <w:abstractNumId w:val="20"/>
  </w:num>
  <w:num w:numId="12" w16cid:durableId="844369400">
    <w:abstractNumId w:val="22"/>
  </w:num>
  <w:num w:numId="13" w16cid:durableId="221989372">
    <w:abstractNumId w:val="17"/>
  </w:num>
  <w:num w:numId="14" w16cid:durableId="1087533772">
    <w:abstractNumId w:val="9"/>
  </w:num>
  <w:num w:numId="15" w16cid:durableId="899825249">
    <w:abstractNumId w:val="15"/>
  </w:num>
  <w:num w:numId="16" w16cid:durableId="652636063">
    <w:abstractNumId w:val="21"/>
  </w:num>
  <w:num w:numId="17" w16cid:durableId="1403017317">
    <w:abstractNumId w:val="0"/>
  </w:num>
  <w:num w:numId="18" w16cid:durableId="1586720073">
    <w:abstractNumId w:val="3"/>
  </w:num>
  <w:num w:numId="19" w16cid:durableId="216018974">
    <w:abstractNumId w:val="24"/>
  </w:num>
  <w:num w:numId="20" w16cid:durableId="1769734650">
    <w:abstractNumId w:val="5"/>
  </w:num>
  <w:num w:numId="21" w16cid:durableId="857355947">
    <w:abstractNumId w:val="13"/>
    <w:lvlOverride w:ilvl="0">
      <w:startOverride w:val="1"/>
    </w:lvlOverride>
  </w:num>
  <w:num w:numId="22" w16cid:durableId="576288370">
    <w:abstractNumId w:val="13"/>
  </w:num>
  <w:num w:numId="23" w16cid:durableId="1233655838">
    <w:abstractNumId w:val="13"/>
  </w:num>
  <w:num w:numId="24" w16cid:durableId="787551870">
    <w:abstractNumId w:val="13"/>
  </w:num>
  <w:num w:numId="25" w16cid:durableId="818231668">
    <w:abstractNumId w:val="13"/>
  </w:num>
  <w:num w:numId="26" w16cid:durableId="1109814717">
    <w:abstractNumId w:val="13"/>
  </w:num>
  <w:num w:numId="27" w16cid:durableId="928344070">
    <w:abstractNumId w:val="13"/>
  </w:num>
  <w:num w:numId="28" w16cid:durableId="8797098">
    <w:abstractNumId w:val="13"/>
  </w:num>
  <w:num w:numId="29" w16cid:durableId="218635070">
    <w:abstractNumId w:val="13"/>
  </w:num>
  <w:num w:numId="30" w16cid:durableId="1251814330">
    <w:abstractNumId w:val="13"/>
  </w:num>
  <w:num w:numId="31" w16cid:durableId="559287403">
    <w:abstractNumId w:val="13"/>
  </w:num>
  <w:num w:numId="32" w16cid:durableId="1776516724">
    <w:abstractNumId w:val="13"/>
  </w:num>
  <w:num w:numId="33" w16cid:durableId="1945305523">
    <w:abstractNumId w:val="13"/>
  </w:num>
  <w:num w:numId="34" w16cid:durableId="242840440">
    <w:abstractNumId w:val="13"/>
  </w:num>
  <w:num w:numId="35" w16cid:durableId="1313683447">
    <w:abstractNumId w:val="13"/>
  </w:num>
  <w:num w:numId="36" w16cid:durableId="447823134">
    <w:abstractNumId w:val="13"/>
  </w:num>
  <w:num w:numId="37" w16cid:durableId="1685940612">
    <w:abstractNumId w:val="13"/>
  </w:num>
  <w:num w:numId="38" w16cid:durableId="1966766434">
    <w:abstractNumId w:val="13"/>
  </w:num>
  <w:num w:numId="39" w16cid:durableId="2096321781">
    <w:abstractNumId w:val="23"/>
  </w:num>
  <w:num w:numId="40" w16cid:durableId="1268388220">
    <w:abstractNumId w:val="8"/>
  </w:num>
  <w:num w:numId="41" w16cid:durableId="496846166">
    <w:abstractNumId w:val="11"/>
  </w:num>
  <w:num w:numId="42" w16cid:durableId="1795824552">
    <w:abstractNumId w:val="4"/>
  </w:num>
  <w:num w:numId="43" w16cid:durableId="19463846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F73"/>
    <w:rsid w:val="00013936"/>
    <w:rsid w:val="00023982"/>
    <w:rsid w:val="00025DD1"/>
    <w:rsid w:val="000300CD"/>
    <w:rsid w:val="00030BFF"/>
    <w:rsid w:val="00047B20"/>
    <w:rsid w:val="00051476"/>
    <w:rsid w:val="00057CAC"/>
    <w:rsid w:val="00065235"/>
    <w:rsid w:val="00065827"/>
    <w:rsid w:val="00067E31"/>
    <w:rsid w:val="000717BA"/>
    <w:rsid w:val="00082D36"/>
    <w:rsid w:val="0009791A"/>
    <w:rsid w:val="000B0DCE"/>
    <w:rsid w:val="000B43BD"/>
    <w:rsid w:val="000B5BDC"/>
    <w:rsid w:val="000C0DE5"/>
    <w:rsid w:val="000C71CE"/>
    <w:rsid w:val="000D493E"/>
    <w:rsid w:val="000D66C3"/>
    <w:rsid w:val="000D68C3"/>
    <w:rsid w:val="000E29C5"/>
    <w:rsid w:val="001028E7"/>
    <w:rsid w:val="00104558"/>
    <w:rsid w:val="00105687"/>
    <w:rsid w:val="001109B5"/>
    <w:rsid w:val="00113678"/>
    <w:rsid w:val="00116194"/>
    <w:rsid w:val="00120E3B"/>
    <w:rsid w:val="0012123F"/>
    <w:rsid w:val="00122C6A"/>
    <w:rsid w:val="00127AEB"/>
    <w:rsid w:val="00130391"/>
    <w:rsid w:val="001307E3"/>
    <w:rsid w:val="00132F53"/>
    <w:rsid w:val="00133DD5"/>
    <w:rsid w:val="0013548C"/>
    <w:rsid w:val="0013719E"/>
    <w:rsid w:val="001378A2"/>
    <w:rsid w:val="00141DC9"/>
    <w:rsid w:val="0014486E"/>
    <w:rsid w:val="001574CD"/>
    <w:rsid w:val="001638F6"/>
    <w:rsid w:val="001646E8"/>
    <w:rsid w:val="001662CC"/>
    <w:rsid w:val="0017242F"/>
    <w:rsid w:val="00174010"/>
    <w:rsid w:val="001962AA"/>
    <w:rsid w:val="001B11F5"/>
    <w:rsid w:val="001B677D"/>
    <w:rsid w:val="001C228E"/>
    <w:rsid w:val="001C342C"/>
    <w:rsid w:val="001C5CB2"/>
    <w:rsid w:val="001C6429"/>
    <w:rsid w:val="001D1340"/>
    <w:rsid w:val="001D167E"/>
    <w:rsid w:val="001D233A"/>
    <w:rsid w:val="001D297F"/>
    <w:rsid w:val="001D4D98"/>
    <w:rsid w:val="001D5E85"/>
    <w:rsid w:val="001E2DA7"/>
    <w:rsid w:val="001F5155"/>
    <w:rsid w:val="001F6510"/>
    <w:rsid w:val="001F7965"/>
    <w:rsid w:val="0020743D"/>
    <w:rsid w:val="002106DF"/>
    <w:rsid w:val="002134F6"/>
    <w:rsid w:val="00215774"/>
    <w:rsid w:val="0021630D"/>
    <w:rsid w:val="002212D9"/>
    <w:rsid w:val="002223DD"/>
    <w:rsid w:val="00224291"/>
    <w:rsid w:val="00225153"/>
    <w:rsid w:val="0022530C"/>
    <w:rsid w:val="00233ECA"/>
    <w:rsid w:val="00241900"/>
    <w:rsid w:val="00243ED8"/>
    <w:rsid w:val="00245EFD"/>
    <w:rsid w:val="0025240F"/>
    <w:rsid w:val="00254247"/>
    <w:rsid w:val="002564D0"/>
    <w:rsid w:val="00257D8D"/>
    <w:rsid w:val="00261B16"/>
    <w:rsid w:val="00263E5E"/>
    <w:rsid w:val="0026793E"/>
    <w:rsid w:val="002701CA"/>
    <w:rsid w:val="002716B8"/>
    <w:rsid w:val="00274D5D"/>
    <w:rsid w:val="002807A6"/>
    <w:rsid w:val="00287E79"/>
    <w:rsid w:val="00291656"/>
    <w:rsid w:val="00292C5D"/>
    <w:rsid w:val="002931DD"/>
    <w:rsid w:val="0029662E"/>
    <w:rsid w:val="002968BF"/>
    <w:rsid w:val="002A25FE"/>
    <w:rsid w:val="002A689D"/>
    <w:rsid w:val="002A6B4A"/>
    <w:rsid w:val="002B18D2"/>
    <w:rsid w:val="002B23FA"/>
    <w:rsid w:val="002B4232"/>
    <w:rsid w:val="002C2E3B"/>
    <w:rsid w:val="002C3176"/>
    <w:rsid w:val="002C48FC"/>
    <w:rsid w:val="002D3D49"/>
    <w:rsid w:val="002D4E6D"/>
    <w:rsid w:val="002D5EB1"/>
    <w:rsid w:val="002D648F"/>
    <w:rsid w:val="002D74EE"/>
    <w:rsid w:val="002E66BD"/>
    <w:rsid w:val="002E762D"/>
    <w:rsid w:val="002F70FC"/>
    <w:rsid w:val="002F766B"/>
    <w:rsid w:val="0030595D"/>
    <w:rsid w:val="00305E47"/>
    <w:rsid w:val="00306A1E"/>
    <w:rsid w:val="00321D27"/>
    <w:rsid w:val="00323A57"/>
    <w:rsid w:val="0032416A"/>
    <w:rsid w:val="00327ED9"/>
    <w:rsid w:val="00332E2A"/>
    <w:rsid w:val="003431F0"/>
    <w:rsid w:val="00346745"/>
    <w:rsid w:val="003504CB"/>
    <w:rsid w:val="00350830"/>
    <w:rsid w:val="00350B3A"/>
    <w:rsid w:val="003522F2"/>
    <w:rsid w:val="0035257A"/>
    <w:rsid w:val="0035515B"/>
    <w:rsid w:val="003557AF"/>
    <w:rsid w:val="00356016"/>
    <w:rsid w:val="003613CC"/>
    <w:rsid w:val="0036386C"/>
    <w:rsid w:val="0036512A"/>
    <w:rsid w:val="00366E10"/>
    <w:rsid w:val="00371FF2"/>
    <w:rsid w:val="00373C24"/>
    <w:rsid w:val="0038275C"/>
    <w:rsid w:val="00394720"/>
    <w:rsid w:val="0039505A"/>
    <w:rsid w:val="003A460D"/>
    <w:rsid w:val="003A5C93"/>
    <w:rsid w:val="003B192D"/>
    <w:rsid w:val="003B71CD"/>
    <w:rsid w:val="003B742A"/>
    <w:rsid w:val="003B77B6"/>
    <w:rsid w:val="003B7F55"/>
    <w:rsid w:val="003C5C75"/>
    <w:rsid w:val="003E19CA"/>
    <w:rsid w:val="003E2C69"/>
    <w:rsid w:val="003F0294"/>
    <w:rsid w:val="003F335F"/>
    <w:rsid w:val="003F33BE"/>
    <w:rsid w:val="00401CDA"/>
    <w:rsid w:val="00401DAB"/>
    <w:rsid w:val="0040407A"/>
    <w:rsid w:val="00404321"/>
    <w:rsid w:val="004074A6"/>
    <w:rsid w:val="0041287A"/>
    <w:rsid w:val="00422DB9"/>
    <w:rsid w:val="00424E36"/>
    <w:rsid w:val="0042618F"/>
    <w:rsid w:val="00427405"/>
    <w:rsid w:val="00430F18"/>
    <w:rsid w:val="00433B91"/>
    <w:rsid w:val="00434456"/>
    <w:rsid w:val="00434BEB"/>
    <w:rsid w:val="0044412F"/>
    <w:rsid w:val="0044545D"/>
    <w:rsid w:val="00445AD8"/>
    <w:rsid w:val="00451DF1"/>
    <w:rsid w:val="0046280C"/>
    <w:rsid w:val="0046336A"/>
    <w:rsid w:val="004712A4"/>
    <w:rsid w:val="0048529D"/>
    <w:rsid w:val="00487393"/>
    <w:rsid w:val="0049076A"/>
    <w:rsid w:val="00491716"/>
    <w:rsid w:val="00492B74"/>
    <w:rsid w:val="0049363A"/>
    <w:rsid w:val="00495908"/>
    <w:rsid w:val="004976E0"/>
    <w:rsid w:val="004A44E8"/>
    <w:rsid w:val="004A6E09"/>
    <w:rsid w:val="004B2DCF"/>
    <w:rsid w:val="004B5C0F"/>
    <w:rsid w:val="004C2997"/>
    <w:rsid w:val="004C40E5"/>
    <w:rsid w:val="004C672A"/>
    <w:rsid w:val="004C6C39"/>
    <w:rsid w:val="004D1D35"/>
    <w:rsid w:val="004D6DD9"/>
    <w:rsid w:val="004D761F"/>
    <w:rsid w:val="004D7F73"/>
    <w:rsid w:val="004E276D"/>
    <w:rsid w:val="004E4FE5"/>
    <w:rsid w:val="004E7853"/>
    <w:rsid w:val="004F0D87"/>
    <w:rsid w:val="004F5253"/>
    <w:rsid w:val="004F6AAA"/>
    <w:rsid w:val="004F7978"/>
    <w:rsid w:val="004F7B90"/>
    <w:rsid w:val="00500023"/>
    <w:rsid w:val="005018A7"/>
    <w:rsid w:val="00506BEB"/>
    <w:rsid w:val="005076EF"/>
    <w:rsid w:val="00510CF1"/>
    <w:rsid w:val="00512F18"/>
    <w:rsid w:val="00517C5A"/>
    <w:rsid w:val="005331E6"/>
    <w:rsid w:val="00534437"/>
    <w:rsid w:val="00540AA5"/>
    <w:rsid w:val="0054206F"/>
    <w:rsid w:val="00542D7B"/>
    <w:rsid w:val="0055237D"/>
    <w:rsid w:val="00552C1B"/>
    <w:rsid w:val="00557805"/>
    <w:rsid w:val="00560651"/>
    <w:rsid w:val="00561056"/>
    <w:rsid w:val="005630D2"/>
    <w:rsid w:val="00563507"/>
    <w:rsid w:val="00563F24"/>
    <w:rsid w:val="00564020"/>
    <w:rsid w:val="00566555"/>
    <w:rsid w:val="00566E9B"/>
    <w:rsid w:val="00573338"/>
    <w:rsid w:val="0058470E"/>
    <w:rsid w:val="00594F32"/>
    <w:rsid w:val="00596C9A"/>
    <w:rsid w:val="005A3506"/>
    <w:rsid w:val="005B20B3"/>
    <w:rsid w:val="005B6202"/>
    <w:rsid w:val="005D06FC"/>
    <w:rsid w:val="005D7392"/>
    <w:rsid w:val="005E2F74"/>
    <w:rsid w:val="005E402B"/>
    <w:rsid w:val="005F3D38"/>
    <w:rsid w:val="005F735A"/>
    <w:rsid w:val="006011A6"/>
    <w:rsid w:val="00601CFD"/>
    <w:rsid w:val="00605521"/>
    <w:rsid w:val="00615CEB"/>
    <w:rsid w:val="00615DFA"/>
    <w:rsid w:val="00616DE0"/>
    <w:rsid w:val="006174FB"/>
    <w:rsid w:val="00623078"/>
    <w:rsid w:val="006232E9"/>
    <w:rsid w:val="00624117"/>
    <w:rsid w:val="006321CD"/>
    <w:rsid w:val="00647368"/>
    <w:rsid w:val="00650A4B"/>
    <w:rsid w:val="00663B18"/>
    <w:rsid w:val="00664817"/>
    <w:rsid w:val="00665264"/>
    <w:rsid w:val="00673A6F"/>
    <w:rsid w:val="00673B70"/>
    <w:rsid w:val="0067686A"/>
    <w:rsid w:val="006826E9"/>
    <w:rsid w:val="006872E5"/>
    <w:rsid w:val="006912CD"/>
    <w:rsid w:val="00694A02"/>
    <w:rsid w:val="00697F40"/>
    <w:rsid w:val="006A0F18"/>
    <w:rsid w:val="006A72EE"/>
    <w:rsid w:val="006A7A2E"/>
    <w:rsid w:val="006B0B87"/>
    <w:rsid w:val="006B3FF1"/>
    <w:rsid w:val="006B7EA4"/>
    <w:rsid w:val="006C0204"/>
    <w:rsid w:val="006C050A"/>
    <w:rsid w:val="006C1E69"/>
    <w:rsid w:val="006C263A"/>
    <w:rsid w:val="006C38B9"/>
    <w:rsid w:val="006C7D7A"/>
    <w:rsid w:val="006D5B7F"/>
    <w:rsid w:val="006D6D22"/>
    <w:rsid w:val="006E36C4"/>
    <w:rsid w:val="006E3817"/>
    <w:rsid w:val="006E3C33"/>
    <w:rsid w:val="006E728E"/>
    <w:rsid w:val="006F20A5"/>
    <w:rsid w:val="006F558C"/>
    <w:rsid w:val="00703213"/>
    <w:rsid w:val="0070481A"/>
    <w:rsid w:val="00710137"/>
    <w:rsid w:val="00713A0B"/>
    <w:rsid w:val="00723EC5"/>
    <w:rsid w:val="0072567D"/>
    <w:rsid w:val="00726191"/>
    <w:rsid w:val="00727B83"/>
    <w:rsid w:val="0073237A"/>
    <w:rsid w:val="00732436"/>
    <w:rsid w:val="0073612B"/>
    <w:rsid w:val="00742FB7"/>
    <w:rsid w:val="00751A84"/>
    <w:rsid w:val="00753B56"/>
    <w:rsid w:val="00753D4B"/>
    <w:rsid w:val="00754602"/>
    <w:rsid w:val="00761E2A"/>
    <w:rsid w:val="00772F6F"/>
    <w:rsid w:val="00773ACF"/>
    <w:rsid w:val="007762FA"/>
    <w:rsid w:val="00780D51"/>
    <w:rsid w:val="00784456"/>
    <w:rsid w:val="007873EF"/>
    <w:rsid w:val="00787F73"/>
    <w:rsid w:val="00792736"/>
    <w:rsid w:val="007A1AF3"/>
    <w:rsid w:val="007A5ADB"/>
    <w:rsid w:val="007A7DAB"/>
    <w:rsid w:val="007A7E99"/>
    <w:rsid w:val="007C12EC"/>
    <w:rsid w:val="007C190B"/>
    <w:rsid w:val="007C39CA"/>
    <w:rsid w:val="007C6843"/>
    <w:rsid w:val="007D0E2A"/>
    <w:rsid w:val="007D7778"/>
    <w:rsid w:val="007D7C87"/>
    <w:rsid w:val="007E3CB6"/>
    <w:rsid w:val="007E4014"/>
    <w:rsid w:val="007E5BCF"/>
    <w:rsid w:val="007F0A76"/>
    <w:rsid w:val="007F0D33"/>
    <w:rsid w:val="007F1B53"/>
    <w:rsid w:val="007F1E7B"/>
    <w:rsid w:val="007F20FD"/>
    <w:rsid w:val="007F21EF"/>
    <w:rsid w:val="007F3EFD"/>
    <w:rsid w:val="0080267A"/>
    <w:rsid w:val="008029E1"/>
    <w:rsid w:val="00807AC3"/>
    <w:rsid w:val="00811391"/>
    <w:rsid w:val="0082350B"/>
    <w:rsid w:val="008242F9"/>
    <w:rsid w:val="00830617"/>
    <w:rsid w:val="008314EA"/>
    <w:rsid w:val="00835F7C"/>
    <w:rsid w:val="008409C6"/>
    <w:rsid w:val="00842C66"/>
    <w:rsid w:val="00844D9B"/>
    <w:rsid w:val="00845D2C"/>
    <w:rsid w:val="008558E5"/>
    <w:rsid w:val="00855DFB"/>
    <w:rsid w:val="00857C5A"/>
    <w:rsid w:val="008613F0"/>
    <w:rsid w:val="00863EBA"/>
    <w:rsid w:val="00864621"/>
    <w:rsid w:val="00866155"/>
    <w:rsid w:val="008713CD"/>
    <w:rsid w:val="00886B9E"/>
    <w:rsid w:val="00897630"/>
    <w:rsid w:val="008A0C95"/>
    <w:rsid w:val="008A7910"/>
    <w:rsid w:val="008C04A3"/>
    <w:rsid w:val="008C0D41"/>
    <w:rsid w:val="008C574E"/>
    <w:rsid w:val="008C686B"/>
    <w:rsid w:val="008C6995"/>
    <w:rsid w:val="008D42F2"/>
    <w:rsid w:val="008D4525"/>
    <w:rsid w:val="008D4A61"/>
    <w:rsid w:val="008D4E4E"/>
    <w:rsid w:val="008E3689"/>
    <w:rsid w:val="008E6474"/>
    <w:rsid w:val="008F0E06"/>
    <w:rsid w:val="008F2A5E"/>
    <w:rsid w:val="008F4D75"/>
    <w:rsid w:val="008F6607"/>
    <w:rsid w:val="00902594"/>
    <w:rsid w:val="00904F09"/>
    <w:rsid w:val="00906C38"/>
    <w:rsid w:val="00907012"/>
    <w:rsid w:val="00912954"/>
    <w:rsid w:val="00912AEA"/>
    <w:rsid w:val="00921B36"/>
    <w:rsid w:val="0093200E"/>
    <w:rsid w:val="009413D0"/>
    <w:rsid w:val="00956DFB"/>
    <w:rsid w:val="00962CBF"/>
    <w:rsid w:val="00967D77"/>
    <w:rsid w:val="009727AC"/>
    <w:rsid w:val="00974B75"/>
    <w:rsid w:val="0097658D"/>
    <w:rsid w:val="00976B46"/>
    <w:rsid w:val="00992A15"/>
    <w:rsid w:val="009934D7"/>
    <w:rsid w:val="009A057B"/>
    <w:rsid w:val="009A2943"/>
    <w:rsid w:val="009A5234"/>
    <w:rsid w:val="009B27E8"/>
    <w:rsid w:val="009B7473"/>
    <w:rsid w:val="009C2AAA"/>
    <w:rsid w:val="009C5140"/>
    <w:rsid w:val="009C6BCC"/>
    <w:rsid w:val="009D1A6A"/>
    <w:rsid w:val="009D4EC6"/>
    <w:rsid w:val="009D59F4"/>
    <w:rsid w:val="009D7C4C"/>
    <w:rsid w:val="009F2D66"/>
    <w:rsid w:val="009F5822"/>
    <w:rsid w:val="009F5D92"/>
    <w:rsid w:val="00A0151B"/>
    <w:rsid w:val="00A060C7"/>
    <w:rsid w:val="00A11811"/>
    <w:rsid w:val="00A14A72"/>
    <w:rsid w:val="00A1788D"/>
    <w:rsid w:val="00A2112F"/>
    <w:rsid w:val="00A30CB5"/>
    <w:rsid w:val="00A4118F"/>
    <w:rsid w:val="00A50C63"/>
    <w:rsid w:val="00A67CE4"/>
    <w:rsid w:val="00A7510A"/>
    <w:rsid w:val="00A761F7"/>
    <w:rsid w:val="00A82C8D"/>
    <w:rsid w:val="00A8770E"/>
    <w:rsid w:val="00A900E1"/>
    <w:rsid w:val="00A959B5"/>
    <w:rsid w:val="00A97704"/>
    <w:rsid w:val="00AA1D2D"/>
    <w:rsid w:val="00AA53E5"/>
    <w:rsid w:val="00AA5A2A"/>
    <w:rsid w:val="00AA5C28"/>
    <w:rsid w:val="00AB0C26"/>
    <w:rsid w:val="00AB2B75"/>
    <w:rsid w:val="00AB793D"/>
    <w:rsid w:val="00AB7FCE"/>
    <w:rsid w:val="00AC1B06"/>
    <w:rsid w:val="00AC35AC"/>
    <w:rsid w:val="00AC6587"/>
    <w:rsid w:val="00AC693F"/>
    <w:rsid w:val="00AC774B"/>
    <w:rsid w:val="00AD005B"/>
    <w:rsid w:val="00AD4FD8"/>
    <w:rsid w:val="00AD51E5"/>
    <w:rsid w:val="00AD5F82"/>
    <w:rsid w:val="00AE238C"/>
    <w:rsid w:val="00AE5095"/>
    <w:rsid w:val="00AE7E37"/>
    <w:rsid w:val="00AF5A2F"/>
    <w:rsid w:val="00AF5FD6"/>
    <w:rsid w:val="00AF7FDF"/>
    <w:rsid w:val="00B007F0"/>
    <w:rsid w:val="00B03115"/>
    <w:rsid w:val="00B034BC"/>
    <w:rsid w:val="00B03E8E"/>
    <w:rsid w:val="00B1063B"/>
    <w:rsid w:val="00B207A5"/>
    <w:rsid w:val="00B24379"/>
    <w:rsid w:val="00B24A85"/>
    <w:rsid w:val="00B2797D"/>
    <w:rsid w:val="00B45EA7"/>
    <w:rsid w:val="00B462FF"/>
    <w:rsid w:val="00B50327"/>
    <w:rsid w:val="00B52275"/>
    <w:rsid w:val="00B554C8"/>
    <w:rsid w:val="00B559C1"/>
    <w:rsid w:val="00B61FEE"/>
    <w:rsid w:val="00B64931"/>
    <w:rsid w:val="00B665F0"/>
    <w:rsid w:val="00B66626"/>
    <w:rsid w:val="00B66A79"/>
    <w:rsid w:val="00B67CDD"/>
    <w:rsid w:val="00B7544A"/>
    <w:rsid w:val="00B82875"/>
    <w:rsid w:val="00B84810"/>
    <w:rsid w:val="00B92D86"/>
    <w:rsid w:val="00B97387"/>
    <w:rsid w:val="00B97CA3"/>
    <w:rsid w:val="00BA0CD4"/>
    <w:rsid w:val="00BA16C4"/>
    <w:rsid w:val="00BB0539"/>
    <w:rsid w:val="00BB06F7"/>
    <w:rsid w:val="00BB15DB"/>
    <w:rsid w:val="00BB227E"/>
    <w:rsid w:val="00BB4AF2"/>
    <w:rsid w:val="00BB6B56"/>
    <w:rsid w:val="00BB6B69"/>
    <w:rsid w:val="00BC0904"/>
    <w:rsid w:val="00BC4B24"/>
    <w:rsid w:val="00BC72B6"/>
    <w:rsid w:val="00BD2F78"/>
    <w:rsid w:val="00BE0127"/>
    <w:rsid w:val="00BE3CE9"/>
    <w:rsid w:val="00BE3FD4"/>
    <w:rsid w:val="00BE4411"/>
    <w:rsid w:val="00BE6F09"/>
    <w:rsid w:val="00BF12D9"/>
    <w:rsid w:val="00BF4E3D"/>
    <w:rsid w:val="00BF5B8D"/>
    <w:rsid w:val="00BF5CC1"/>
    <w:rsid w:val="00C019F7"/>
    <w:rsid w:val="00C02EEB"/>
    <w:rsid w:val="00C02F78"/>
    <w:rsid w:val="00C10161"/>
    <w:rsid w:val="00C11392"/>
    <w:rsid w:val="00C15059"/>
    <w:rsid w:val="00C1507A"/>
    <w:rsid w:val="00C21B3F"/>
    <w:rsid w:val="00C24152"/>
    <w:rsid w:val="00C30014"/>
    <w:rsid w:val="00C30B86"/>
    <w:rsid w:val="00C33F93"/>
    <w:rsid w:val="00C368B3"/>
    <w:rsid w:val="00C422A8"/>
    <w:rsid w:val="00C46AF1"/>
    <w:rsid w:val="00C52D24"/>
    <w:rsid w:val="00C541CC"/>
    <w:rsid w:val="00C57C11"/>
    <w:rsid w:val="00C64169"/>
    <w:rsid w:val="00C673A5"/>
    <w:rsid w:val="00C7430A"/>
    <w:rsid w:val="00C744BB"/>
    <w:rsid w:val="00C74E9C"/>
    <w:rsid w:val="00C8304C"/>
    <w:rsid w:val="00C84401"/>
    <w:rsid w:val="00C84514"/>
    <w:rsid w:val="00C86938"/>
    <w:rsid w:val="00C91C1F"/>
    <w:rsid w:val="00C957F5"/>
    <w:rsid w:val="00CA071E"/>
    <w:rsid w:val="00CB08F8"/>
    <w:rsid w:val="00CB4FCA"/>
    <w:rsid w:val="00CB61FC"/>
    <w:rsid w:val="00CB70A3"/>
    <w:rsid w:val="00CC0D6D"/>
    <w:rsid w:val="00CC646F"/>
    <w:rsid w:val="00CC6FE5"/>
    <w:rsid w:val="00CD25FF"/>
    <w:rsid w:val="00CD42CA"/>
    <w:rsid w:val="00CE325D"/>
    <w:rsid w:val="00CE6E1E"/>
    <w:rsid w:val="00CF14FD"/>
    <w:rsid w:val="00CF1B4D"/>
    <w:rsid w:val="00CF3D41"/>
    <w:rsid w:val="00CF40AE"/>
    <w:rsid w:val="00CF58EE"/>
    <w:rsid w:val="00CF5D0F"/>
    <w:rsid w:val="00CF601A"/>
    <w:rsid w:val="00CF6C52"/>
    <w:rsid w:val="00CF7661"/>
    <w:rsid w:val="00D00251"/>
    <w:rsid w:val="00D014EE"/>
    <w:rsid w:val="00D01E45"/>
    <w:rsid w:val="00D07006"/>
    <w:rsid w:val="00D07A75"/>
    <w:rsid w:val="00D13269"/>
    <w:rsid w:val="00D15738"/>
    <w:rsid w:val="00D177B9"/>
    <w:rsid w:val="00D35A26"/>
    <w:rsid w:val="00D36C2E"/>
    <w:rsid w:val="00D36C61"/>
    <w:rsid w:val="00D4014B"/>
    <w:rsid w:val="00D41D72"/>
    <w:rsid w:val="00D42CFC"/>
    <w:rsid w:val="00D46592"/>
    <w:rsid w:val="00D51290"/>
    <w:rsid w:val="00D539BD"/>
    <w:rsid w:val="00D640FB"/>
    <w:rsid w:val="00D6463F"/>
    <w:rsid w:val="00D66A77"/>
    <w:rsid w:val="00D73C4E"/>
    <w:rsid w:val="00D80D35"/>
    <w:rsid w:val="00D84CA7"/>
    <w:rsid w:val="00D855A4"/>
    <w:rsid w:val="00D9078C"/>
    <w:rsid w:val="00D93F57"/>
    <w:rsid w:val="00D94552"/>
    <w:rsid w:val="00D95AFA"/>
    <w:rsid w:val="00D95E5A"/>
    <w:rsid w:val="00D964F2"/>
    <w:rsid w:val="00DA0FC3"/>
    <w:rsid w:val="00DA14B6"/>
    <w:rsid w:val="00DA57F7"/>
    <w:rsid w:val="00DB2BD5"/>
    <w:rsid w:val="00DC0ACB"/>
    <w:rsid w:val="00DC0C23"/>
    <w:rsid w:val="00DC25C5"/>
    <w:rsid w:val="00DC2974"/>
    <w:rsid w:val="00DD0D7E"/>
    <w:rsid w:val="00DD30D6"/>
    <w:rsid w:val="00DD6287"/>
    <w:rsid w:val="00DE1B04"/>
    <w:rsid w:val="00DE22DE"/>
    <w:rsid w:val="00DF687F"/>
    <w:rsid w:val="00E0018C"/>
    <w:rsid w:val="00E03992"/>
    <w:rsid w:val="00E061FF"/>
    <w:rsid w:val="00E07C24"/>
    <w:rsid w:val="00E07E4D"/>
    <w:rsid w:val="00E103C6"/>
    <w:rsid w:val="00E140ED"/>
    <w:rsid w:val="00E14461"/>
    <w:rsid w:val="00E14968"/>
    <w:rsid w:val="00E16D30"/>
    <w:rsid w:val="00E20E26"/>
    <w:rsid w:val="00E22AEF"/>
    <w:rsid w:val="00E23E38"/>
    <w:rsid w:val="00E26088"/>
    <w:rsid w:val="00E2662F"/>
    <w:rsid w:val="00E30520"/>
    <w:rsid w:val="00E332B8"/>
    <w:rsid w:val="00E33B89"/>
    <w:rsid w:val="00E34B1E"/>
    <w:rsid w:val="00E34CBA"/>
    <w:rsid w:val="00E37B0E"/>
    <w:rsid w:val="00E472E7"/>
    <w:rsid w:val="00E52006"/>
    <w:rsid w:val="00E55253"/>
    <w:rsid w:val="00E5605A"/>
    <w:rsid w:val="00E61835"/>
    <w:rsid w:val="00E63BCC"/>
    <w:rsid w:val="00E63E9A"/>
    <w:rsid w:val="00E6417D"/>
    <w:rsid w:val="00E67582"/>
    <w:rsid w:val="00E724FA"/>
    <w:rsid w:val="00E735C1"/>
    <w:rsid w:val="00E76DB0"/>
    <w:rsid w:val="00E84AD5"/>
    <w:rsid w:val="00E947FD"/>
    <w:rsid w:val="00E951E3"/>
    <w:rsid w:val="00E97EA9"/>
    <w:rsid w:val="00EA08AE"/>
    <w:rsid w:val="00EA2EA9"/>
    <w:rsid w:val="00EA5E33"/>
    <w:rsid w:val="00EB2AAB"/>
    <w:rsid w:val="00EB59D1"/>
    <w:rsid w:val="00EC1DEC"/>
    <w:rsid w:val="00EC3165"/>
    <w:rsid w:val="00EC3B04"/>
    <w:rsid w:val="00EC665C"/>
    <w:rsid w:val="00EC7F43"/>
    <w:rsid w:val="00ED2F2A"/>
    <w:rsid w:val="00ED3072"/>
    <w:rsid w:val="00EE3A18"/>
    <w:rsid w:val="00EE49A8"/>
    <w:rsid w:val="00EF320B"/>
    <w:rsid w:val="00EF3BFA"/>
    <w:rsid w:val="00EF6487"/>
    <w:rsid w:val="00F02528"/>
    <w:rsid w:val="00F02D65"/>
    <w:rsid w:val="00F10CF7"/>
    <w:rsid w:val="00F124CA"/>
    <w:rsid w:val="00F168CF"/>
    <w:rsid w:val="00F2624F"/>
    <w:rsid w:val="00F30217"/>
    <w:rsid w:val="00F36AC6"/>
    <w:rsid w:val="00F44207"/>
    <w:rsid w:val="00F47FBA"/>
    <w:rsid w:val="00F5408B"/>
    <w:rsid w:val="00F644FE"/>
    <w:rsid w:val="00F6509A"/>
    <w:rsid w:val="00F67297"/>
    <w:rsid w:val="00F673AA"/>
    <w:rsid w:val="00F767FF"/>
    <w:rsid w:val="00F76C73"/>
    <w:rsid w:val="00F81A24"/>
    <w:rsid w:val="00F84689"/>
    <w:rsid w:val="00F900CC"/>
    <w:rsid w:val="00F91947"/>
    <w:rsid w:val="00F95E33"/>
    <w:rsid w:val="00F96A4E"/>
    <w:rsid w:val="00FB1535"/>
    <w:rsid w:val="00FB1825"/>
    <w:rsid w:val="00FB37C7"/>
    <w:rsid w:val="00FC087A"/>
    <w:rsid w:val="00FD024B"/>
    <w:rsid w:val="00FD5ADE"/>
    <w:rsid w:val="00FE7C2A"/>
    <w:rsid w:val="00FF1679"/>
    <w:rsid w:val="00FF2836"/>
    <w:rsid w:val="00FF4A0B"/>
    <w:rsid w:val="00FF6B1A"/>
    <w:rsid w:val="00FF6D0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1FD8A"/>
  <w15:docId w15:val="{9746BBB6-5240-458A-84B0-ED7994377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Arial"/>
        <w:lang w:val="en-GB"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spacing w:line="360" w:lineRule="auto"/>
    </w:pPr>
    <w:rPr>
      <w:rFonts w:eastAsia="Times New Roman" w:cs="Times New Roman"/>
      <w:sz w:val="24"/>
      <w:szCs w:val="24"/>
      <w:lang w:eastAsia="en-GB"/>
    </w:rPr>
  </w:style>
  <w:style w:type="paragraph" w:styleId="Heading1">
    <w:name w:val="heading 1"/>
    <w:basedOn w:val="Normal"/>
    <w:next w:val="Normal"/>
    <w:uiPriority w:val="9"/>
    <w:qFormat/>
    <w:pPr>
      <w:keepNext/>
      <w:keepLines/>
      <w:spacing w:before="240"/>
      <w:outlineLvl w:val="0"/>
    </w:pPr>
    <w:rPr>
      <w:rFonts w:ascii="Calibri Light" w:eastAsia="DengXian Light" w:hAnsi="Calibri Light"/>
      <w:color w:val="385623"/>
      <w:sz w:val="32"/>
      <w:szCs w:val="32"/>
    </w:rPr>
  </w:style>
  <w:style w:type="paragraph" w:styleId="Heading2">
    <w:name w:val="heading 2"/>
    <w:basedOn w:val="Normal"/>
    <w:next w:val="Normal"/>
    <w:uiPriority w:val="9"/>
    <w:unhideWhenUsed/>
    <w:qFormat/>
    <w:pPr>
      <w:keepNext/>
      <w:keepLines/>
      <w:spacing w:before="40"/>
      <w:outlineLvl w:val="1"/>
    </w:pPr>
    <w:rPr>
      <w:rFonts w:ascii="Calibri Light" w:eastAsia="DengXian Light" w:hAnsi="Calibri Light"/>
      <w:color w:val="538135"/>
      <w:sz w:val="26"/>
      <w:szCs w:val="26"/>
    </w:rPr>
  </w:style>
  <w:style w:type="paragraph" w:styleId="Heading3">
    <w:name w:val="heading 3"/>
    <w:basedOn w:val="Normal"/>
    <w:next w:val="Normal"/>
    <w:uiPriority w:val="9"/>
    <w:unhideWhenUsed/>
    <w:qFormat/>
    <w:pPr>
      <w:keepNext/>
      <w:keepLines/>
      <w:spacing w:before="40"/>
      <w:outlineLvl w:val="2"/>
    </w:pPr>
    <w:rPr>
      <w:rFonts w:ascii="Calibri Light" w:eastAsia="DengXian Light" w:hAnsi="Calibri Light"/>
      <w:color w:val="538135"/>
    </w:rPr>
  </w:style>
  <w:style w:type="paragraph" w:styleId="Heading4">
    <w:name w:val="heading 4"/>
    <w:basedOn w:val="Normal"/>
    <w:next w:val="Normal"/>
    <w:uiPriority w:val="9"/>
    <w:unhideWhenUsed/>
    <w:qFormat/>
    <w:pPr>
      <w:keepNext/>
      <w:keepLines/>
      <w:spacing w:before="40" w:line="252" w:lineRule="auto"/>
      <w:outlineLvl w:val="3"/>
    </w:pPr>
    <w:rPr>
      <w:rFonts w:ascii="Calibri Light" w:eastAsia="DengXian Light" w:hAnsi="Calibri Light"/>
      <w:i/>
      <w:iCs/>
      <w:color w:val="538135"/>
      <w:szCs w:val="22"/>
      <w:lang w:eastAsia="en-US"/>
    </w:rPr>
  </w:style>
  <w:style w:type="paragraph" w:styleId="Heading5">
    <w:name w:val="heading 5"/>
    <w:basedOn w:val="Normal"/>
    <w:next w:val="Normal"/>
    <w:uiPriority w:val="9"/>
    <w:unhideWhenUsed/>
    <w:qFormat/>
    <w:pPr>
      <w:keepNext/>
      <w:keepLines/>
      <w:spacing w:before="40" w:line="252" w:lineRule="auto"/>
      <w:outlineLvl w:val="4"/>
    </w:pPr>
    <w:rPr>
      <w:rFonts w:ascii="Calibri Light" w:eastAsia="DengXian Light" w:hAnsi="Calibri Light"/>
      <w:color w:val="538135"/>
      <w:szCs w:val="22"/>
      <w:lang w:eastAsia="en-US"/>
    </w:rPr>
  </w:style>
  <w:style w:type="paragraph" w:styleId="Heading6">
    <w:name w:val="heading 6"/>
    <w:basedOn w:val="Normal"/>
    <w:next w:val="Normal"/>
    <w:uiPriority w:val="9"/>
    <w:unhideWhenUsed/>
    <w:qFormat/>
    <w:pPr>
      <w:keepNext/>
      <w:keepLines/>
      <w:spacing w:before="40" w:line="252" w:lineRule="auto"/>
      <w:outlineLvl w:val="5"/>
    </w:pPr>
    <w:rPr>
      <w:rFonts w:ascii="Calibri Light" w:eastAsia="DengXian Light" w:hAnsi="Calibri Light"/>
      <w:color w:val="538135"/>
      <w:szCs w:val="22"/>
      <w:lang w:eastAsia="en-US"/>
    </w:rPr>
  </w:style>
  <w:style w:type="paragraph" w:styleId="Heading7">
    <w:name w:val="heading 7"/>
    <w:basedOn w:val="Normal"/>
    <w:next w:val="Normal"/>
    <w:qFormat/>
    <w:pPr>
      <w:keepNext/>
      <w:keepLines/>
      <w:spacing w:before="40"/>
      <w:outlineLvl w:val="6"/>
    </w:pPr>
    <w:rPr>
      <w:rFonts w:ascii="Calibri Light" w:eastAsia="DengXian" w:hAnsi="Calibri Light" w:cs="Arial"/>
      <w:i/>
      <w:iCs/>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Calibri Light" w:eastAsia="DengXian Light" w:hAnsi="Calibri Light" w:cs="Times New Roman"/>
      <w:color w:val="385623"/>
      <w:sz w:val="32"/>
      <w:szCs w:val="32"/>
      <w:lang w:eastAsia="en-GB"/>
    </w:rPr>
  </w:style>
  <w:style w:type="character" w:customStyle="1" w:styleId="Heading2Char">
    <w:name w:val="Heading 2 Char"/>
    <w:qFormat/>
    <w:rPr>
      <w:rFonts w:ascii="Calibri Light" w:eastAsia="DengXian Light" w:hAnsi="Calibri Light" w:cs="Times New Roman"/>
      <w:color w:val="538135"/>
      <w:sz w:val="26"/>
      <w:szCs w:val="26"/>
      <w:lang w:eastAsia="en-GB"/>
    </w:rPr>
  </w:style>
  <w:style w:type="character" w:customStyle="1" w:styleId="Heading3Char">
    <w:name w:val="Heading 3 Char"/>
    <w:qFormat/>
    <w:rPr>
      <w:rFonts w:ascii="Calibri Light" w:eastAsia="DengXian Light" w:hAnsi="Calibri Light" w:cs="Times New Roman"/>
      <w:color w:val="538135"/>
      <w:sz w:val="24"/>
      <w:szCs w:val="24"/>
      <w:lang w:eastAsia="en-GB"/>
    </w:rPr>
  </w:style>
  <w:style w:type="character" w:customStyle="1" w:styleId="Heading4Char">
    <w:name w:val="Heading 4 Char"/>
    <w:qFormat/>
    <w:rPr>
      <w:rFonts w:ascii="Calibri Light" w:eastAsia="DengXian Light" w:hAnsi="Calibri Light" w:cs="Times New Roman"/>
      <w:i/>
      <w:iCs/>
      <w:color w:val="538135"/>
      <w:sz w:val="24"/>
      <w:lang w:eastAsia="en-US"/>
    </w:rPr>
  </w:style>
  <w:style w:type="character" w:customStyle="1" w:styleId="Heading5Char">
    <w:name w:val="Heading 5 Char"/>
    <w:qFormat/>
    <w:rPr>
      <w:rFonts w:ascii="Calibri Light" w:eastAsia="DengXian Light" w:hAnsi="Calibri Light" w:cs="Times New Roman"/>
      <w:color w:val="538135"/>
      <w:sz w:val="24"/>
      <w:lang w:eastAsia="en-US"/>
    </w:rPr>
  </w:style>
  <w:style w:type="character" w:customStyle="1" w:styleId="Heading6Char">
    <w:name w:val="Heading 6 Char"/>
    <w:qFormat/>
    <w:rPr>
      <w:rFonts w:ascii="Calibri Light" w:eastAsia="DengXian Light" w:hAnsi="Calibri Light" w:cs="Times New Roman"/>
      <w:color w:val="538135"/>
      <w:sz w:val="24"/>
      <w:lang w:eastAsia="en-US"/>
    </w:rPr>
  </w:style>
  <w:style w:type="character" w:customStyle="1" w:styleId="NoSpacingChar">
    <w:name w:val="No Spacing Char"/>
    <w:qFormat/>
    <w:rPr>
      <w:lang w:eastAsia="en-US"/>
    </w:rPr>
  </w:style>
  <w:style w:type="character" w:customStyle="1" w:styleId="HeaderChar">
    <w:name w:val="Header Char"/>
    <w:qFormat/>
    <w:rPr>
      <w:rFonts w:eastAsia="Times New Roman" w:cs="Times New Roman"/>
      <w:sz w:val="24"/>
      <w:szCs w:val="24"/>
      <w:lang w:eastAsia="en-GB"/>
    </w:rPr>
  </w:style>
  <w:style w:type="character" w:customStyle="1" w:styleId="FooterChar">
    <w:name w:val="Footer Char"/>
    <w:qFormat/>
    <w:rPr>
      <w:rFonts w:eastAsia="Times New Roman" w:cs="Times New Roman"/>
      <w:sz w:val="24"/>
      <w:szCs w:val="24"/>
      <w:lang w:eastAsia="en-GB"/>
    </w:rPr>
  </w:style>
  <w:style w:type="character" w:styleId="Hyperlink">
    <w:name w:val="Hyperlink"/>
    <w:uiPriority w:val="99"/>
    <w:rPr>
      <w:color w:val="0563C1"/>
      <w:u w:val="single"/>
    </w:rPr>
  </w:style>
  <w:style w:type="character" w:customStyle="1" w:styleId="UnresolvedMention1">
    <w:name w:val="Unresolved Mention1"/>
    <w:qFormat/>
    <w:rPr>
      <w:color w:val="605E5C"/>
    </w:rPr>
  </w:style>
  <w:style w:type="character" w:styleId="CommentReference">
    <w:name w:val="annotation reference"/>
    <w:uiPriority w:val="99"/>
    <w:qFormat/>
    <w:rPr>
      <w:sz w:val="16"/>
      <w:szCs w:val="16"/>
    </w:rPr>
  </w:style>
  <w:style w:type="character" w:customStyle="1" w:styleId="CommentTextChar">
    <w:name w:val="Comment Text Char"/>
    <w:uiPriority w:val="99"/>
    <w:qFormat/>
    <w:rPr>
      <w:rFonts w:eastAsia="Times New Roman" w:cs="Times New Roman"/>
      <w:sz w:val="20"/>
      <w:szCs w:val="20"/>
      <w:lang w:eastAsia="en-GB"/>
    </w:rPr>
  </w:style>
  <w:style w:type="character" w:customStyle="1" w:styleId="CommentSubjectChar">
    <w:name w:val="Comment Subject Char"/>
    <w:qFormat/>
    <w:rPr>
      <w:rFonts w:eastAsia="Times New Roman" w:cs="Times New Roman"/>
      <w:b/>
      <w:bCs/>
      <w:sz w:val="20"/>
      <w:szCs w:val="20"/>
      <w:lang w:eastAsia="en-GB"/>
    </w:rPr>
  </w:style>
  <w:style w:type="character" w:customStyle="1" w:styleId="BalloonTextChar">
    <w:name w:val="Balloon Text Char"/>
    <w:qFormat/>
    <w:rPr>
      <w:rFonts w:ascii="Segoe UI" w:eastAsia="Times New Roman" w:hAnsi="Segoe UI" w:cs="Segoe UI"/>
      <w:sz w:val="18"/>
      <w:szCs w:val="18"/>
      <w:lang w:eastAsia="en-GB"/>
    </w:rPr>
  </w:style>
  <w:style w:type="character" w:customStyle="1" w:styleId="FootnoteTextChar">
    <w:name w:val="Footnote Text Char"/>
    <w:qFormat/>
    <w:rPr>
      <w:rFonts w:ascii="Calibri" w:eastAsia="Times New Roman" w:hAnsi="Calibri" w:cs="Times New Roman"/>
      <w:sz w:val="17"/>
      <w:szCs w:val="20"/>
      <w:lang w:eastAsia="de-DE"/>
    </w:rPr>
  </w:style>
  <w:style w:type="character" w:customStyle="1" w:styleId="QuoteChar">
    <w:name w:val="Quote Char"/>
    <w:qFormat/>
    <w:rPr>
      <w:rFonts w:ascii="Calibri" w:eastAsia="Calibri" w:hAnsi="Calibri" w:cs="Times New Roman"/>
      <w:i/>
      <w:iCs/>
      <w:color w:val="404040"/>
      <w:sz w:val="24"/>
      <w:lang w:eastAsia="en-US"/>
    </w:rPr>
  </w:style>
  <w:style w:type="character" w:styleId="Strong">
    <w:name w:val="Strong"/>
    <w:qFormat/>
    <w:rPr>
      <w:b/>
      <w:bCs/>
    </w:rPr>
  </w:style>
  <w:style w:type="character" w:customStyle="1" w:styleId="TitleChar">
    <w:name w:val="Title Char"/>
    <w:qFormat/>
    <w:rPr>
      <w:rFonts w:ascii="Calibri Light" w:eastAsia="Times New Roman" w:hAnsi="Calibri Light" w:cs="Times New Roman"/>
      <w:spacing w:val="-10"/>
      <w:kern w:val="2"/>
      <w:sz w:val="56"/>
      <w:szCs w:val="56"/>
      <w:lang w:eastAsia="en-US"/>
    </w:rPr>
  </w:style>
  <w:style w:type="character" w:styleId="FollowedHyperlink">
    <w:name w:val="FollowedHyperlink"/>
    <w:rPr>
      <w:color w:val="954F72"/>
      <w:u w:val="single"/>
    </w:rPr>
  </w:style>
  <w:style w:type="character" w:styleId="UnresolvedMention">
    <w:name w:val="Unresolved Mention"/>
    <w:basedOn w:val="DefaultParagraphFont"/>
    <w:uiPriority w:val="99"/>
    <w:qFormat/>
    <w:rPr>
      <w:color w:val="605E5C"/>
    </w:rPr>
  </w:style>
  <w:style w:type="character" w:styleId="Emphasis">
    <w:name w:val="Emphasis"/>
    <w:basedOn w:val="DefaultParagraphFont"/>
    <w:qFormat/>
    <w:rPr>
      <w:i/>
      <w:iCs/>
    </w:rPr>
  </w:style>
  <w:style w:type="character" w:customStyle="1" w:styleId="SubtitleChar">
    <w:name w:val="Subtitle Char"/>
    <w:basedOn w:val="DefaultParagraphFont"/>
    <w:qFormat/>
    <w:rPr>
      <w:rFonts w:ascii="Georgia" w:eastAsia="Georgia" w:hAnsi="Georgia" w:cs="Georgia"/>
      <w:i/>
      <w:color w:val="666666"/>
      <w:sz w:val="48"/>
      <w:szCs w:val="48"/>
      <w:lang w:eastAsia="en-GB"/>
    </w:rPr>
  </w:style>
  <w:style w:type="character" w:customStyle="1" w:styleId="linenumber1">
    <w:name w:val="line number1"/>
    <w:basedOn w:val="DefaultParagraphFont"/>
    <w:qFormat/>
  </w:style>
  <w:style w:type="character" w:customStyle="1" w:styleId="cf01">
    <w:name w:val="cf01"/>
    <w:basedOn w:val="DefaultParagraphFont"/>
    <w:qFormat/>
    <w:rPr>
      <w:rFonts w:ascii="Segoe UI" w:hAnsi="Segoe UI" w:cs="Segoe UI"/>
      <w:sz w:val="18"/>
      <w:szCs w:val="18"/>
    </w:rPr>
  </w:style>
  <w:style w:type="character" w:customStyle="1" w:styleId="Heading7Char">
    <w:name w:val="Heading 7 Char"/>
    <w:basedOn w:val="DefaultParagraphFont"/>
    <w:qFormat/>
    <w:rPr>
      <w:rFonts w:ascii="Calibri Light" w:eastAsia="DengXian" w:hAnsi="Calibri Light" w:cs="Arial"/>
      <w:i/>
      <w:iCs/>
      <w:color w:val="1F4D78"/>
      <w:sz w:val="24"/>
      <w:szCs w:val="24"/>
      <w:lang w:eastAsia="en-GB"/>
    </w:rPr>
  </w:style>
  <w:style w:type="character" w:customStyle="1" w:styleId="apple-tab-span">
    <w:name w:val="apple-tab-span"/>
    <w:basedOn w:val="DefaultParagraphFont"/>
    <w:qFormat/>
  </w:style>
  <w:style w:type="character" w:customStyle="1" w:styleId="FootnoteCharacters">
    <w:name w:val="Footnote Characters"/>
    <w:qFormat/>
    <w:rPr>
      <w:vertAlign w:val="superscript"/>
    </w:rPr>
  </w:style>
  <w:style w:type="character" w:styleId="FootnoteReference">
    <w:name w:val="footnote reference"/>
    <w:rPr>
      <w:vertAlign w:val="superscript"/>
    </w:rPr>
  </w:style>
  <w:style w:type="character" w:customStyle="1" w:styleId="IndexLink">
    <w:name w:val="Index Link"/>
    <w:qFormat/>
  </w:style>
  <w:style w:type="character" w:customStyle="1" w:styleId="EndnoteCharacters">
    <w:name w:val="Endnote Characters"/>
    <w:qFormat/>
  </w:style>
  <w:style w:type="character" w:styleId="EndnoteReference">
    <w:name w:val="endnote reference"/>
    <w:rPr>
      <w:vertAlign w:val="superscript"/>
    </w:rPr>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NoSpacing">
    <w:name w:val="No Spacing"/>
    <w:qFormat/>
    <w:pPr>
      <w:overflowPunct w:val="0"/>
    </w:pPr>
    <w:rPr>
      <w:sz w:val="22"/>
      <w:szCs w:val="22"/>
      <w:lang w:eastAsia="en-US"/>
    </w:rPr>
  </w:style>
  <w:style w:type="paragraph" w:styleId="IndexHeading">
    <w:name w:val="index heading"/>
    <w:basedOn w:val="Heading"/>
  </w:style>
  <w:style w:type="paragraph" w:styleId="TOCHeading">
    <w:name w:val="TOC Heading"/>
    <w:basedOn w:val="Heading1"/>
    <w:next w:val="Normal"/>
    <w:qFormat/>
    <w:pPr>
      <w:spacing w:line="259" w:lineRule="auto"/>
    </w:pPr>
    <w:rPr>
      <w:lang w:eastAsia="en-US"/>
    </w:rPr>
  </w:style>
  <w:style w:type="paragraph" w:customStyle="1" w:styleId="HeaderandFooter">
    <w:name w:val="Header and Footer"/>
    <w:basedOn w:val="Normal"/>
    <w:qFormat/>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paragraph" w:customStyle="1" w:styleId="caption1">
    <w:name w:val="caption1"/>
    <w:basedOn w:val="Normal"/>
    <w:next w:val="Normal"/>
    <w:qFormat/>
    <w:pPr>
      <w:spacing w:after="200"/>
    </w:pPr>
    <w:rPr>
      <w:i/>
      <w:iCs/>
      <w:color w:val="538135"/>
      <w:sz w:val="18"/>
      <w:szCs w:val="18"/>
    </w:rPr>
  </w:style>
  <w:style w:type="paragraph" w:styleId="TOC1">
    <w:name w:val="toc 1"/>
    <w:basedOn w:val="Normal"/>
    <w:next w:val="Normal"/>
    <w:autoRedefine/>
    <w:uiPriority w:val="39"/>
    <w:pPr>
      <w:tabs>
        <w:tab w:val="right" w:leader="dot" w:pos="9016"/>
      </w:tabs>
      <w:spacing w:after="100"/>
    </w:pPr>
  </w:style>
  <w:style w:type="paragraph" w:styleId="TOC2">
    <w:name w:val="toc 2"/>
    <w:basedOn w:val="Normal"/>
    <w:next w:val="Normal"/>
    <w:autoRedefine/>
    <w:uiPriority w:val="39"/>
    <w:pPr>
      <w:spacing w:after="100"/>
      <w:ind w:left="240"/>
    </w:pPr>
  </w:style>
  <w:style w:type="paragraph" w:styleId="TOC3">
    <w:name w:val="toc 3"/>
    <w:basedOn w:val="Normal"/>
    <w:next w:val="Normal"/>
    <w:autoRedefine/>
    <w:uiPriority w:val="39"/>
    <w:pPr>
      <w:spacing w:after="100"/>
      <w:ind w:left="480"/>
    </w:pPr>
  </w:style>
  <w:style w:type="paragraph" w:styleId="TableofFigures">
    <w:name w:val="table of figures"/>
    <w:basedOn w:val="Normal"/>
    <w:next w:val="Normal"/>
    <w:uiPriority w:val="99"/>
    <w:qFormat/>
  </w:style>
  <w:style w:type="paragraph" w:styleId="ListParagraph">
    <w:name w:val="List Paragraph"/>
    <w:basedOn w:val="Normal"/>
    <w:qFormat/>
    <w:pPr>
      <w:ind w:left="720"/>
      <w:contextualSpacing/>
    </w:pPr>
  </w:style>
  <w:style w:type="paragraph" w:styleId="CommentText">
    <w:name w:val="annotation text"/>
    <w:basedOn w:val="Normal"/>
    <w:uiPriority w:val="99"/>
    <w:qFormat/>
    <w:rPr>
      <w:sz w:val="20"/>
      <w:szCs w:val="20"/>
    </w:rPr>
  </w:style>
  <w:style w:type="paragraph" w:styleId="CommentSubject">
    <w:name w:val="annotation subject"/>
    <w:basedOn w:val="CommentText"/>
    <w:next w:val="CommentText"/>
    <w:qFormat/>
    <w:rPr>
      <w:b/>
      <w:bCs/>
    </w:rPr>
  </w:style>
  <w:style w:type="paragraph" w:styleId="BalloonText">
    <w:name w:val="Balloon Text"/>
    <w:basedOn w:val="Normal"/>
    <w:qFormat/>
    <w:rPr>
      <w:rFonts w:ascii="Segoe UI" w:hAnsi="Segoe UI" w:cs="Segoe UI"/>
      <w:sz w:val="18"/>
      <w:szCs w:val="18"/>
    </w:rPr>
  </w:style>
  <w:style w:type="paragraph" w:styleId="NormalWeb">
    <w:name w:val="Normal (Web)"/>
    <w:basedOn w:val="Normal"/>
    <w:uiPriority w:val="99"/>
    <w:qFormat/>
    <w:pPr>
      <w:spacing w:before="280" w:after="280" w:line="240" w:lineRule="auto"/>
    </w:pPr>
    <w:rPr>
      <w:rFonts w:ascii="Times New Roman" w:hAnsi="Times New Roman"/>
      <w:lang w:eastAsia="en-US"/>
    </w:rPr>
  </w:style>
  <w:style w:type="paragraph" w:styleId="FootnoteText">
    <w:name w:val="footnote text"/>
    <w:basedOn w:val="Normal"/>
    <w:pPr>
      <w:tabs>
        <w:tab w:val="left" w:pos="284"/>
      </w:tabs>
      <w:spacing w:after="40" w:line="264" w:lineRule="auto"/>
      <w:ind w:left="284" w:hanging="284"/>
      <w:jc w:val="both"/>
    </w:pPr>
    <w:rPr>
      <w:sz w:val="17"/>
      <w:szCs w:val="20"/>
      <w:lang w:eastAsia="de-DE"/>
    </w:rPr>
  </w:style>
  <w:style w:type="paragraph" w:styleId="Quote">
    <w:name w:val="Quote"/>
    <w:basedOn w:val="Normal"/>
    <w:next w:val="Normal"/>
    <w:qFormat/>
    <w:pPr>
      <w:spacing w:before="200" w:after="160" w:line="252" w:lineRule="auto"/>
      <w:ind w:left="864" w:right="864"/>
      <w:jc w:val="center"/>
    </w:pPr>
    <w:rPr>
      <w:rFonts w:eastAsia="Calibri"/>
      <w:i/>
      <w:iCs/>
      <w:color w:val="404040"/>
      <w:szCs w:val="22"/>
      <w:lang w:eastAsia="en-US"/>
    </w:rPr>
  </w:style>
  <w:style w:type="paragraph" w:styleId="Title">
    <w:name w:val="Title"/>
    <w:basedOn w:val="Normal"/>
    <w:next w:val="Normal"/>
    <w:uiPriority w:val="10"/>
    <w:qFormat/>
    <w:pPr>
      <w:spacing w:line="240" w:lineRule="auto"/>
      <w:contextualSpacing/>
    </w:pPr>
    <w:rPr>
      <w:rFonts w:ascii="Calibri Light" w:hAnsi="Calibri Light"/>
      <w:spacing w:val="-10"/>
      <w:kern w:val="2"/>
      <w:sz w:val="56"/>
      <w:szCs w:val="56"/>
      <w:lang w:eastAsia="en-US"/>
    </w:rPr>
  </w:style>
  <w:style w:type="paragraph" w:styleId="Revision">
    <w:name w:val="Revision"/>
    <w:qFormat/>
    <w:pPr>
      <w:overflowPunct w:val="0"/>
    </w:pPr>
    <w:rPr>
      <w:rFonts w:eastAsia="Times New Roman" w:cs="Times New Roman"/>
      <w:sz w:val="24"/>
      <w:szCs w:val="24"/>
      <w:lang w:eastAsia="en-GB"/>
    </w:rPr>
  </w:style>
  <w:style w:type="paragraph" w:styleId="TOC4">
    <w:name w:val="toc 4"/>
    <w:basedOn w:val="Normal"/>
    <w:next w:val="Normal"/>
    <w:autoRedefine/>
    <w:uiPriority w:val="39"/>
    <w:pPr>
      <w:spacing w:after="100"/>
      <w:ind w:left="720"/>
    </w:pPr>
  </w:style>
  <w:style w:type="paragraph" w:styleId="TOC5">
    <w:name w:val="toc 5"/>
    <w:basedOn w:val="Normal"/>
    <w:next w:val="Normal"/>
    <w:autoRedefine/>
    <w:uiPriority w:val="39"/>
    <w:pPr>
      <w:spacing w:after="100"/>
      <w:ind w:left="960"/>
    </w:pPr>
  </w:style>
  <w:style w:type="paragraph" w:customStyle="1" w:styleId="TranscriptTableText">
    <w:name w:val="Transcript Table Text"/>
    <w:basedOn w:val="Normal"/>
    <w:qFormat/>
    <w:pPr>
      <w:spacing w:before="120" w:after="120" w:line="280" w:lineRule="exact"/>
    </w:pPr>
    <w:rPr>
      <w:rFonts w:ascii="Arial" w:eastAsia="Calibri" w:hAnsi="Arial" w:cs="Arial"/>
      <w:color w:val="000000"/>
      <w:sz w:val="22"/>
      <w:szCs w:val="22"/>
    </w:rPr>
  </w:style>
  <w:style w:type="paragraph" w:customStyle="1" w:styleId="Normal0">
    <w:name w:val="[Normal]"/>
    <w:qFormat/>
    <w:pPr>
      <w:widowControl w:val="0"/>
      <w:overflowPunct w:val="0"/>
    </w:pPr>
    <w:rPr>
      <w:rFonts w:ascii="Arial" w:eastAsia="Calibri" w:hAnsi="Arial"/>
      <w:sz w:val="24"/>
      <w:szCs w:val="24"/>
      <w:lang w:eastAsia="en-GB"/>
    </w:r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paragraph" w:styleId="TOC6">
    <w:name w:val="toc 6"/>
    <w:basedOn w:val="Normal"/>
    <w:next w:val="Normal"/>
    <w:autoRedefine/>
    <w:uiPriority w:val="39"/>
    <w:pPr>
      <w:spacing w:after="100" w:line="259" w:lineRule="auto"/>
      <w:ind w:left="1100"/>
    </w:pPr>
    <w:rPr>
      <w:rFonts w:eastAsia="DengXian" w:cs="Arial"/>
      <w:sz w:val="22"/>
      <w:szCs w:val="22"/>
    </w:rPr>
  </w:style>
  <w:style w:type="paragraph" w:styleId="TOC7">
    <w:name w:val="toc 7"/>
    <w:basedOn w:val="Normal"/>
    <w:next w:val="Normal"/>
    <w:autoRedefine/>
    <w:uiPriority w:val="39"/>
    <w:pPr>
      <w:spacing w:after="100" w:line="259" w:lineRule="auto"/>
      <w:ind w:left="1320"/>
    </w:pPr>
    <w:rPr>
      <w:rFonts w:eastAsia="DengXian" w:cs="Arial"/>
      <w:sz w:val="22"/>
      <w:szCs w:val="22"/>
    </w:rPr>
  </w:style>
  <w:style w:type="paragraph" w:styleId="TOC8">
    <w:name w:val="toc 8"/>
    <w:basedOn w:val="Normal"/>
    <w:next w:val="Normal"/>
    <w:autoRedefine/>
    <w:uiPriority w:val="39"/>
    <w:pPr>
      <w:spacing w:after="100" w:line="259" w:lineRule="auto"/>
      <w:ind w:left="1540"/>
    </w:pPr>
    <w:rPr>
      <w:rFonts w:eastAsia="DengXian" w:cs="Arial"/>
      <w:sz w:val="22"/>
      <w:szCs w:val="22"/>
    </w:rPr>
  </w:style>
  <w:style w:type="paragraph" w:styleId="TOC9">
    <w:name w:val="toc 9"/>
    <w:basedOn w:val="Normal"/>
    <w:next w:val="Normal"/>
    <w:autoRedefine/>
    <w:uiPriority w:val="39"/>
    <w:pPr>
      <w:spacing w:after="100" w:line="259" w:lineRule="auto"/>
      <w:ind w:left="1760"/>
    </w:pPr>
    <w:rPr>
      <w:rFonts w:eastAsia="DengXian" w:cs="Arial"/>
      <w:sz w:val="22"/>
      <w:szCs w:val="22"/>
    </w:rPr>
  </w:style>
  <w:style w:type="paragraph" w:customStyle="1" w:styleId="pf0">
    <w:name w:val="pf0"/>
    <w:basedOn w:val="Normal"/>
    <w:qFormat/>
    <w:pPr>
      <w:spacing w:before="280" w:after="280" w:line="240" w:lineRule="auto"/>
    </w:pPr>
    <w:rPr>
      <w:rFonts w:ascii="Times New Roman" w:hAnsi="Times New Roman"/>
      <w:lang w:eastAsia="zh-CN"/>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45249">
      <w:bodyDiv w:val="1"/>
      <w:marLeft w:val="0"/>
      <w:marRight w:val="0"/>
      <w:marTop w:val="0"/>
      <w:marBottom w:val="0"/>
      <w:divBdr>
        <w:top w:val="none" w:sz="0" w:space="0" w:color="auto"/>
        <w:left w:val="none" w:sz="0" w:space="0" w:color="auto"/>
        <w:bottom w:val="none" w:sz="0" w:space="0" w:color="auto"/>
        <w:right w:val="none" w:sz="0" w:space="0" w:color="auto"/>
      </w:divBdr>
    </w:div>
    <w:div w:id="154594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image" Target="media/image22.png"/><Relationship Id="rId21" Type="http://schemas.openxmlformats.org/officeDocument/2006/relationships/footer" Target="footer4.xml"/><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hyperlink" Target="mailto:r.l.finn@sheffield.ac.uk" TargetMode="External"/><Relationship Id="rId50" Type="http://schemas.openxmlformats.org/officeDocument/2006/relationships/hyperlink" Target="mailto:m.mcguinness@sheffiled.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hyperlink" Target="https://www.iso.org/standard/50062.html" TargetMode="External"/><Relationship Id="rId32" Type="http://schemas.openxmlformats.org/officeDocument/2006/relationships/footer" Target="footer8.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mailto:"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gif"/><Relationship Id="rId31" Type="http://schemas.openxmlformats.org/officeDocument/2006/relationships/footer" Target="footer7.xml"/><Relationship Id="rId44" Type="http://schemas.openxmlformats.org/officeDocument/2006/relationships/hyperlink" Target="https://www.sheffield.ac.uk/govern/data-protection/privacy/general" TargetMode="External"/><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6.xml"/><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hyperlink" Target="https://www.sheffield.ac.uk/govern/data-protection/privacy/general" TargetMode="External"/><Relationship Id="rId8" Type="http://schemas.openxmlformats.org/officeDocument/2006/relationships/image" Target="media/image1.pn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www.iso.org/standard/75106.html" TargetMode="Externa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hyperlink" Target="mailto:m.mcguinness@sheffiled.ac.uk" TargetMode="External"/><Relationship Id="rId20" Type="http://schemas.openxmlformats.org/officeDocument/2006/relationships/footer" Target="footer3.xml"/><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yperlink" Target="mailto:" TargetMode="External"/></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B2B94-B190-4C5C-8FBE-79F268B70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315</Pages>
  <Words>602308</Words>
  <Characters>3433161</Characters>
  <Application>Microsoft Office Word</Application>
  <DocSecurity>0</DocSecurity>
  <Lines>28609</Lines>
  <Paragraphs>8054</Paragraphs>
  <ScaleCrop>false</ScaleCrop>
  <HeadingPairs>
    <vt:vector size="2" baseType="variant">
      <vt:variant>
        <vt:lpstr>Title</vt:lpstr>
      </vt:variant>
      <vt:variant>
        <vt:i4>1</vt:i4>
      </vt:variant>
    </vt:vector>
  </HeadingPairs>
  <TitlesOfParts>
    <vt:vector size="1" baseType="lpstr">
      <vt:lpstr>An investigation into South Yorkshire Fire and Rescue Services’ use of social media for community disaster resilience</vt:lpstr>
    </vt:vector>
  </TitlesOfParts>
  <Company>The University of Sheffield</Company>
  <LinksUpToDate>false</LinksUpToDate>
  <CharactersWithSpaces>4027415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investigation into South Yorkshire Fire and Rescue Services’ use of social media for community disaster resilience</dc:title>
  <dc:subject/>
  <dc:creator>Alex Ricketts</dc:creator>
  <dc:description/>
  <cp:lastModifiedBy>Alexandra Ricketts</cp:lastModifiedBy>
  <cp:revision>2</cp:revision>
  <cp:lastPrinted>2025-04-09T19:20:00Z</cp:lastPrinted>
  <dcterms:created xsi:type="dcterms:W3CDTF">2025-04-17T15:14:00Z</dcterms:created>
  <dcterms:modified xsi:type="dcterms:W3CDTF">2025-04-17T15:14:00Z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http://www.zotero.org/styles/harvard-the-university-of-sheffield-town-and-regional-planning</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Id 1_1">
    <vt:lpwstr>http://www.zotero.org/styles/apa</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http://www.zotero.org/styles/harvard-cite-them-right</vt:lpwstr>
  </property>
  <property fmtid="{D5CDD505-2E9C-101B-9397-08002B2CF9AE}" pid="9" name="Mendeley Recent Style Id 5_1">
    <vt:lpwstr>http://www.zotero.org/styles/ieee</vt:lpwstr>
  </property>
  <property fmtid="{D5CDD505-2E9C-101B-9397-08002B2CF9AE}" pid="10" name="Mendeley Recent Style Id 6_1">
    <vt:lpwstr>http://www.zotero.org/styles/modern-humanities-research-association</vt:lpwstr>
  </property>
  <property fmtid="{D5CDD505-2E9C-101B-9397-08002B2CF9AE}" pid="11" name="Mendeley Recent Style Id 7_1">
    <vt:lpwstr>http://www.zotero.org/styles/modern-language-association</vt:lpwstr>
  </property>
  <property fmtid="{D5CDD505-2E9C-101B-9397-08002B2CF9AE}" pid="12" name="Mendeley Recent Style Id 8_1">
    <vt:lpwstr>http://www.zotero.org/styles/nature</vt:lpwstr>
  </property>
  <property fmtid="{D5CDD505-2E9C-101B-9397-08002B2CF9AE}" pid="13" name="Mendeley Recent Style Id 9_1">
    <vt:lpwstr>http://www.zotero.org/styles/harvard-the-university-of-sheffield-town-and-regional-planning</vt:lpwstr>
  </property>
  <property fmtid="{D5CDD505-2E9C-101B-9397-08002B2CF9AE}" pid="14" name="Mendeley Recent Style Name 0_1">
    <vt:lpwstr>American Political Science Association</vt:lpwstr>
  </property>
  <property fmtid="{D5CDD505-2E9C-101B-9397-08002B2CF9AE}" pid="15" name="Mendeley Recent Style Name 1_1">
    <vt:lpwstr>American Psychological Association 7th edition</vt:lpwstr>
  </property>
  <property fmtid="{D5CDD505-2E9C-101B-9397-08002B2CF9AE}" pid="16" name="Mendeley Recent Style Name 2_1">
    <vt:lpwstr>American Sociological Association 6th edition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Cite Them Right 12th edition - Harvard</vt:lpwstr>
  </property>
  <property fmtid="{D5CDD505-2E9C-101B-9397-08002B2CF9AE}" pid="19" name="Mendeley Recent Style Name 5_1">
    <vt:lpwstr>IEEE</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Name 7_1">
    <vt:lpwstr>Modern Language Association 9th edition</vt:lpwstr>
  </property>
  <property fmtid="{D5CDD505-2E9C-101B-9397-08002B2CF9AE}" pid="22" name="Mendeley Recent Style Name 8_1">
    <vt:lpwstr>Nature</vt:lpwstr>
  </property>
  <property fmtid="{D5CDD505-2E9C-101B-9397-08002B2CF9AE}" pid="23" name="Mendeley Recent Style Name 9_1">
    <vt:lpwstr>The University of Sheffield - Town and Regional Planning - Harvard</vt:lpwstr>
  </property>
  <property fmtid="{D5CDD505-2E9C-101B-9397-08002B2CF9AE}" pid="24" name="Mendeley Unique User Id_1">
    <vt:lpwstr>8c3fc25d-579a-374e-adf3-725057846e16</vt:lpwstr>
  </property>
</Properties>
</file>